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56" w:rsidRPr="004E3A0C" w:rsidRDefault="001E5AA8" w:rsidP="00F7517C">
      <w:pPr>
        <w:autoSpaceDE w:val="0"/>
        <w:autoSpaceDN w:val="0"/>
        <w:adjustRightInd w:val="0"/>
        <w:spacing w:after="0" w:line="240" w:lineRule="auto"/>
        <w:jc w:val="center"/>
        <w:rPr>
          <w:rFonts w:ascii="Times New Roman" w:hAnsi="Times New Roman" w:cs="Times New Roman"/>
          <w:b/>
          <w:i/>
          <w:sz w:val="24"/>
          <w:szCs w:val="24"/>
          <w:lang w:val="uk-UA"/>
        </w:rPr>
      </w:pPr>
      <w:r w:rsidRPr="004E3A0C">
        <w:rPr>
          <w:rFonts w:ascii="Times New Roman" w:hAnsi="Times New Roman" w:cs="Times New Roman"/>
          <w:b/>
          <w:i/>
          <w:sz w:val="24"/>
          <w:szCs w:val="24"/>
          <w:lang w:val="uk-UA"/>
        </w:rPr>
        <w:t>ДОРОЖН</w:t>
      </w:r>
      <w:r w:rsidR="005B43F1" w:rsidRPr="004E3A0C">
        <w:rPr>
          <w:rFonts w:ascii="Times New Roman" w:hAnsi="Times New Roman" w:cs="Times New Roman"/>
          <w:b/>
          <w:i/>
          <w:sz w:val="24"/>
          <w:szCs w:val="24"/>
          <w:lang w:val="uk-UA"/>
        </w:rPr>
        <w:t>Я</w:t>
      </w:r>
      <w:r w:rsidRPr="004E3A0C">
        <w:rPr>
          <w:rFonts w:ascii="Times New Roman" w:hAnsi="Times New Roman" w:cs="Times New Roman"/>
          <w:b/>
          <w:i/>
          <w:sz w:val="24"/>
          <w:szCs w:val="24"/>
          <w:lang w:val="uk-UA"/>
        </w:rPr>
        <w:t xml:space="preserve"> КАРТ</w:t>
      </w:r>
      <w:r w:rsidR="005B43F1" w:rsidRPr="004E3A0C">
        <w:rPr>
          <w:rFonts w:ascii="Times New Roman" w:hAnsi="Times New Roman" w:cs="Times New Roman"/>
          <w:b/>
          <w:i/>
          <w:sz w:val="24"/>
          <w:szCs w:val="24"/>
          <w:lang w:val="uk-UA"/>
        </w:rPr>
        <w:t>А</w:t>
      </w:r>
      <w:r w:rsidRPr="004E3A0C">
        <w:rPr>
          <w:rFonts w:ascii="Times New Roman" w:hAnsi="Times New Roman" w:cs="Times New Roman"/>
          <w:b/>
          <w:i/>
          <w:sz w:val="24"/>
          <w:szCs w:val="24"/>
          <w:lang w:val="uk-UA"/>
        </w:rPr>
        <w:t xml:space="preserve"> ДЛЯ ІМПЛЕМЕНТАЦІЇ</w:t>
      </w:r>
    </w:p>
    <w:p w:rsidR="000E0617" w:rsidRPr="004E3A0C" w:rsidRDefault="000E0617" w:rsidP="00F7517C">
      <w:pPr>
        <w:spacing w:after="0" w:line="240" w:lineRule="auto"/>
        <w:jc w:val="center"/>
        <w:rPr>
          <w:rFonts w:ascii="Times New Roman" w:hAnsi="Times New Roman" w:cs="Times New Roman"/>
          <w:b/>
          <w:sz w:val="24"/>
          <w:szCs w:val="24"/>
          <w:lang w:val="uk-UA"/>
        </w:rPr>
      </w:pPr>
      <w:r w:rsidRPr="004E3A0C">
        <w:rPr>
          <w:rFonts w:ascii="Times New Roman" w:hAnsi="Times New Roman" w:cs="Times New Roman"/>
          <w:b/>
          <w:sz w:val="24"/>
          <w:szCs w:val="24"/>
          <w:lang w:val="uk-UA"/>
        </w:rPr>
        <w:t>ДИРЕКТИВИ 2001/14/ЄС ЄВРОПЕЙСЬКОГО ПАРЛАМЕНТУ ТА РАДИ</w:t>
      </w:r>
    </w:p>
    <w:p w:rsidR="000E0617" w:rsidRPr="004E3A0C" w:rsidRDefault="000E0617" w:rsidP="00F7517C">
      <w:pPr>
        <w:pStyle w:val="1"/>
        <w:spacing w:before="0" w:after="0"/>
        <w:ind w:hanging="119"/>
        <w:rPr>
          <w:sz w:val="24"/>
          <w:szCs w:val="24"/>
        </w:rPr>
      </w:pPr>
      <w:r w:rsidRPr="004E3A0C">
        <w:rPr>
          <w:sz w:val="24"/>
          <w:szCs w:val="24"/>
        </w:rPr>
        <w:t>від 26 лютого 2001 року</w:t>
      </w:r>
    </w:p>
    <w:p w:rsidR="000E0617" w:rsidRPr="00C85EE9" w:rsidRDefault="000E0617" w:rsidP="00F7517C">
      <w:pPr>
        <w:pStyle w:val="BodyText"/>
        <w:spacing w:after="0"/>
        <w:jc w:val="center"/>
        <w:rPr>
          <w:b/>
          <w:lang w:val="uk-UA"/>
        </w:rPr>
      </w:pPr>
      <w:r w:rsidRPr="004E3A0C">
        <w:rPr>
          <w:b/>
          <w:lang w:val="uk-UA"/>
        </w:rPr>
        <w:t>Про розподілення пропускної спроможності залізничної інфраструктури, стягнення зборів за користування залізничною інфраструктурою</w:t>
      </w:r>
      <w:r w:rsidR="00C85EE9">
        <w:rPr>
          <w:b/>
          <w:lang w:val="en-US"/>
        </w:rPr>
        <w:t xml:space="preserve"> </w:t>
      </w:r>
      <w:r w:rsidR="00C85EE9">
        <w:rPr>
          <w:b/>
          <w:lang w:val="uk-UA"/>
        </w:rPr>
        <w:t>та сертифікацію безпеки</w:t>
      </w:r>
    </w:p>
    <w:p w:rsidR="000E0617" w:rsidRPr="004E3A0C" w:rsidRDefault="000E0617" w:rsidP="00F7517C">
      <w:pPr>
        <w:autoSpaceDE w:val="0"/>
        <w:autoSpaceDN w:val="0"/>
        <w:adjustRightInd w:val="0"/>
        <w:spacing w:after="0" w:line="240" w:lineRule="auto"/>
        <w:rPr>
          <w:rFonts w:ascii="Times New Roman" w:hAnsi="Times New Roman" w:cs="Times New Roman"/>
          <w:b/>
          <w:i/>
          <w:sz w:val="24"/>
          <w:szCs w:val="24"/>
          <w:lang w:val="uk-UA"/>
        </w:rPr>
      </w:pPr>
    </w:p>
    <w:p w:rsidR="00FD2B56" w:rsidRDefault="00FD2B56" w:rsidP="00F7517C">
      <w:pPr>
        <w:autoSpaceDE w:val="0"/>
        <w:autoSpaceDN w:val="0"/>
        <w:adjustRightInd w:val="0"/>
        <w:spacing w:after="0" w:line="240" w:lineRule="auto"/>
        <w:rPr>
          <w:rFonts w:ascii="Times New Roman" w:hAnsi="Times New Roman" w:cs="Times New Roman"/>
          <w:i/>
          <w:sz w:val="24"/>
          <w:szCs w:val="24"/>
          <w:lang w:val="uk-UA"/>
        </w:rPr>
      </w:pPr>
    </w:p>
    <w:p w:rsidR="00C85EE9" w:rsidRPr="00C85EE9" w:rsidRDefault="00C85EE9" w:rsidP="00C85EE9">
      <w:pPr>
        <w:autoSpaceDE w:val="0"/>
        <w:autoSpaceDN w:val="0"/>
        <w:adjustRightInd w:val="0"/>
        <w:spacing w:after="0" w:line="240" w:lineRule="auto"/>
        <w:jc w:val="center"/>
        <w:rPr>
          <w:rFonts w:ascii="Times New Roman" w:hAnsi="Times New Roman" w:cs="Times New Roman"/>
          <w:b/>
          <w:sz w:val="24"/>
          <w:szCs w:val="24"/>
          <w:lang w:val="uk-UA"/>
        </w:rPr>
      </w:pPr>
      <w:r w:rsidRPr="00C85EE9">
        <w:rPr>
          <w:rFonts w:ascii="Times New Roman" w:hAnsi="Times New Roman" w:cs="Times New Roman"/>
          <w:b/>
          <w:sz w:val="24"/>
          <w:szCs w:val="24"/>
          <w:lang w:val="uk-UA"/>
        </w:rPr>
        <w:t>ЗМІСТ</w:t>
      </w:r>
    </w:p>
    <w:p w:rsidR="00C85EE9" w:rsidRDefault="00C85EE9" w:rsidP="00F7517C">
      <w:pPr>
        <w:autoSpaceDE w:val="0"/>
        <w:autoSpaceDN w:val="0"/>
        <w:adjustRightInd w:val="0"/>
        <w:spacing w:after="0" w:line="240" w:lineRule="auto"/>
        <w:rPr>
          <w:rFonts w:ascii="Times New Roman" w:hAnsi="Times New Roman" w:cs="Times New Roman"/>
          <w:i/>
          <w:sz w:val="24"/>
          <w:szCs w:val="24"/>
          <w:lang w:val="uk-UA"/>
        </w:rPr>
      </w:pPr>
    </w:p>
    <w:sdt>
      <w:sdtPr>
        <w:id w:val="-1836068917"/>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8E7D40" w:rsidRDefault="008E7D40">
          <w:pPr>
            <w:pStyle w:val="TOCHeading"/>
          </w:pPr>
        </w:p>
        <w:p w:rsidR="008E7D40" w:rsidRDefault="008E7D40">
          <w:pPr>
            <w:pStyle w:val="TOC1"/>
            <w:tabs>
              <w:tab w:val="right" w:leader="dot" w:pos="9062"/>
            </w:tabs>
            <w:rPr>
              <w:noProof/>
            </w:rPr>
          </w:pPr>
          <w:r>
            <w:fldChar w:fldCharType="begin"/>
          </w:r>
          <w:r>
            <w:instrText xml:space="preserve"> TOC \o "1-3" \h \z \u </w:instrText>
          </w:r>
          <w:r>
            <w:fldChar w:fldCharType="separate"/>
          </w:r>
          <w:hyperlink w:anchor="_Toc432079586" w:history="1">
            <w:r w:rsidRPr="008F7916">
              <w:rPr>
                <w:rStyle w:val="Hyperlink"/>
                <w:noProof/>
                <w:lang w:val="uk-UA"/>
              </w:rPr>
              <w:t>1 Вступ і загальний огляд</w:t>
            </w:r>
            <w:r>
              <w:rPr>
                <w:noProof/>
                <w:webHidden/>
              </w:rPr>
              <w:tab/>
            </w:r>
            <w:r>
              <w:rPr>
                <w:noProof/>
                <w:webHidden/>
              </w:rPr>
              <w:fldChar w:fldCharType="begin"/>
            </w:r>
            <w:r>
              <w:rPr>
                <w:noProof/>
                <w:webHidden/>
              </w:rPr>
              <w:instrText xml:space="preserve"> PAGEREF _Toc432079586 \h </w:instrText>
            </w:r>
            <w:r>
              <w:rPr>
                <w:noProof/>
                <w:webHidden/>
              </w:rPr>
            </w:r>
            <w:r>
              <w:rPr>
                <w:noProof/>
                <w:webHidden/>
              </w:rPr>
              <w:fldChar w:fldCharType="separate"/>
            </w:r>
            <w:r>
              <w:rPr>
                <w:noProof/>
                <w:webHidden/>
              </w:rPr>
              <w:t>2</w:t>
            </w:r>
            <w:r>
              <w:rPr>
                <w:noProof/>
                <w:webHidden/>
              </w:rPr>
              <w:fldChar w:fldCharType="end"/>
            </w:r>
          </w:hyperlink>
        </w:p>
        <w:p w:rsidR="008E7D40" w:rsidRDefault="008E7D40">
          <w:pPr>
            <w:pStyle w:val="TOC1"/>
            <w:tabs>
              <w:tab w:val="right" w:leader="dot" w:pos="9062"/>
            </w:tabs>
            <w:rPr>
              <w:noProof/>
            </w:rPr>
          </w:pPr>
          <w:hyperlink w:anchor="_Toc432079587" w:history="1">
            <w:r w:rsidRPr="008F7916">
              <w:rPr>
                <w:rStyle w:val="Hyperlink"/>
                <w:noProof/>
                <w:lang w:val="uk-UA"/>
              </w:rPr>
              <w:t>2 Розробка плану стратегії та імплементації</w:t>
            </w:r>
            <w:r>
              <w:rPr>
                <w:noProof/>
                <w:webHidden/>
              </w:rPr>
              <w:tab/>
            </w:r>
            <w:r>
              <w:rPr>
                <w:noProof/>
                <w:webHidden/>
              </w:rPr>
              <w:fldChar w:fldCharType="begin"/>
            </w:r>
            <w:r>
              <w:rPr>
                <w:noProof/>
                <w:webHidden/>
              </w:rPr>
              <w:instrText xml:space="preserve"> PAGEREF _Toc432079587 \h </w:instrText>
            </w:r>
            <w:r>
              <w:rPr>
                <w:noProof/>
                <w:webHidden/>
              </w:rPr>
            </w:r>
            <w:r>
              <w:rPr>
                <w:noProof/>
                <w:webHidden/>
              </w:rPr>
              <w:fldChar w:fldCharType="separate"/>
            </w:r>
            <w:r>
              <w:rPr>
                <w:noProof/>
                <w:webHidden/>
              </w:rPr>
              <w:t>7</w:t>
            </w:r>
            <w:r>
              <w:rPr>
                <w:noProof/>
                <w:webHidden/>
              </w:rPr>
              <w:fldChar w:fldCharType="end"/>
            </w:r>
          </w:hyperlink>
        </w:p>
        <w:p w:rsidR="008E7D40" w:rsidRDefault="008E7D40">
          <w:pPr>
            <w:pStyle w:val="TOC1"/>
            <w:tabs>
              <w:tab w:val="right" w:leader="dot" w:pos="9062"/>
            </w:tabs>
            <w:rPr>
              <w:noProof/>
            </w:rPr>
          </w:pPr>
          <w:hyperlink w:anchor="_Toc432079588" w:history="1">
            <w:r w:rsidRPr="008F7916">
              <w:rPr>
                <w:rStyle w:val="Hyperlink"/>
                <w:noProof/>
                <w:lang w:val="uk-UA"/>
              </w:rPr>
              <w:t>3 Установи та відповідні сторони</w:t>
            </w:r>
            <w:r>
              <w:rPr>
                <w:noProof/>
                <w:webHidden/>
              </w:rPr>
              <w:tab/>
            </w:r>
            <w:r>
              <w:rPr>
                <w:noProof/>
                <w:webHidden/>
              </w:rPr>
              <w:fldChar w:fldCharType="begin"/>
            </w:r>
            <w:r>
              <w:rPr>
                <w:noProof/>
                <w:webHidden/>
              </w:rPr>
              <w:instrText xml:space="preserve"> PAGEREF _Toc432079588 \h </w:instrText>
            </w:r>
            <w:r>
              <w:rPr>
                <w:noProof/>
                <w:webHidden/>
              </w:rPr>
            </w:r>
            <w:r>
              <w:rPr>
                <w:noProof/>
                <w:webHidden/>
              </w:rPr>
              <w:fldChar w:fldCharType="separate"/>
            </w:r>
            <w:r>
              <w:rPr>
                <w:noProof/>
                <w:webHidden/>
              </w:rPr>
              <w:t>7</w:t>
            </w:r>
            <w:r>
              <w:rPr>
                <w:noProof/>
                <w:webHidden/>
              </w:rPr>
              <w:fldChar w:fldCharType="end"/>
            </w:r>
          </w:hyperlink>
        </w:p>
        <w:p w:rsidR="008E7D40" w:rsidRDefault="008E7D40">
          <w:pPr>
            <w:pStyle w:val="TOC1"/>
            <w:tabs>
              <w:tab w:val="right" w:leader="dot" w:pos="9062"/>
            </w:tabs>
            <w:rPr>
              <w:noProof/>
            </w:rPr>
          </w:pPr>
          <w:hyperlink w:anchor="_Toc432079589" w:history="1">
            <w:r w:rsidRPr="008F7916">
              <w:rPr>
                <w:rStyle w:val="Hyperlink"/>
                <w:noProof/>
                <w:lang w:val="uk-UA"/>
              </w:rPr>
              <w:t>6 Пріоритети і терміни</w:t>
            </w:r>
            <w:r>
              <w:rPr>
                <w:noProof/>
                <w:webHidden/>
              </w:rPr>
              <w:tab/>
            </w:r>
            <w:r>
              <w:rPr>
                <w:noProof/>
                <w:webHidden/>
              </w:rPr>
              <w:fldChar w:fldCharType="begin"/>
            </w:r>
            <w:r>
              <w:rPr>
                <w:noProof/>
                <w:webHidden/>
              </w:rPr>
              <w:instrText xml:space="preserve"> PAGEREF _Toc432079589 \h </w:instrText>
            </w:r>
            <w:r>
              <w:rPr>
                <w:noProof/>
                <w:webHidden/>
              </w:rPr>
            </w:r>
            <w:r>
              <w:rPr>
                <w:noProof/>
                <w:webHidden/>
              </w:rPr>
              <w:fldChar w:fldCharType="separate"/>
            </w:r>
            <w:r>
              <w:rPr>
                <w:noProof/>
                <w:webHidden/>
              </w:rPr>
              <w:t>10</w:t>
            </w:r>
            <w:r>
              <w:rPr>
                <w:noProof/>
                <w:webHidden/>
              </w:rPr>
              <w:fldChar w:fldCharType="end"/>
            </w:r>
          </w:hyperlink>
        </w:p>
        <w:p w:rsidR="008E7D40" w:rsidRDefault="008E7D40">
          <w:pPr>
            <w:pStyle w:val="TOC1"/>
            <w:tabs>
              <w:tab w:val="right" w:leader="dot" w:pos="9062"/>
            </w:tabs>
            <w:rPr>
              <w:noProof/>
            </w:rPr>
          </w:pPr>
          <w:hyperlink w:anchor="_Toc432079590" w:history="1">
            <w:r w:rsidRPr="008F7916">
              <w:rPr>
                <w:rStyle w:val="Hyperlink"/>
                <w:noProof/>
                <w:lang w:val="uk-UA"/>
              </w:rPr>
              <w:t>7 Фінансово-економічні питання</w:t>
            </w:r>
            <w:r>
              <w:rPr>
                <w:noProof/>
                <w:webHidden/>
              </w:rPr>
              <w:tab/>
            </w:r>
            <w:r>
              <w:rPr>
                <w:noProof/>
                <w:webHidden/>
              </w:rPr>
              <w:fldChar w:fldCharType="begin"/>
            </w:r>
            <w:r>
              <w:rPr>
                <w:noProof/>
                <w:webHidden/>
              </w:rPr>
              <w:instrText xml:space="preserve"> PAGEREF _Toc432079590 \h </w:instrText>
            </w:r>
            <w:r>
              <w:rPr>
                <w:noProof/>
                <w:webHidden/>
              </w:rPr>
            </w:r>
            <w:r>
              <w:rPr>
                <w:noProof/>
                <w:webHidden/>
              </w:rPr>
              <w:fldChar w:fldCharType="separate"/>
            </w:r>
            <w:r>
              <w:rPr>
                <w:noProof/>
                <w:webHidden/>
              </w:rPr>
              <w:t>10</w:t>
            </w:r>
            <w:r>
              <w:rPr>
                <w:noProof/>
                <w:webHidden/>
              </w:rPr>
              <w:fldChar w:fldCharType="end"/>
            </w:r>
          </w:hyperlink>
        </w:p>
        <w:p w:rsidR="008E7D40" w:rsidRDefault="008E7D40">
          <w:pPr>
            <w:pStyle w:val="TOC1"/>
            <w:tabs>
              <w:tab w:val="right" w:leader="dot" w:pos="9062"/>
            </w:tabs>
            <w:rPr>
              <w:noProof/>
            </w:rPr>
          </w:pPr>
          <w:hyperlink w:anchor="_Toc432079591" w:history="1">
            <w:r w:rsidRPr="008F7916">
              <w:rPr>
                <w:rStyle w:val="Hyperlink"/>
                <w:noProof/>
                <w:lang w:val="uk-UA"/>
              </w:rPr>
              <w:t>8 Узагальнення основних питань</w:t>
            </w:r>
            <w:r>
              <w:rPr>
                <w:noProof/>
                <w:webHidden/>
              </w:rPr>
              <w:tab/>
            </w:r>
            <w:r>
              <w:rPr>
                <w:noProof/>
                <w:webHidden/>
              </w:rPr>
              <w:fldChar w:fldCharType="begin"/>
            </w:r>
            <w:r>
              <w:rPr>
                <w:noProof/>
                <w:webHidden/>
              </w:rPr>
              <w:instrText xml:space="preserve"> PAGEREF _Toc432079591 \h </w:instrText>
            </w:r>
            <w:r>
              <w:rPr>
                <w:noProof/>
                <w:webHidden/>
              </w:rPr>
            </w:r>
            <w:r>
              <w:rPr>
                <w:noProof/>
                <w:webHidden/>
              </w:rPr>
              <w:fldChar w:fldCharType="separate"/>
            </w:r>
            <w:r>
              <w:rPr>
                <w:noProof/>
                <w:webHidden/>
              </w:rPr>
              <w:t>11</w:t>
            </w:r>
            <w:r>
              <w:rPr>
                <w:noProof/>
                <w:webHidden/>
              </w:rPr>
              <w:fldChar w:fldCharType="end"/>
            </w:r>
          </w:hyperlink>
        </w:p>
        <w:p w:rsidR="008E7D40" w:rsidRDefault="008E7D40">
          <w:pPr>
            <w:pStyle w:val="TOC1"/>
            <w:tabs>
              <w:tab w:val="right" w:leader="dot" w:pos="9062"/>
            </w:tabs>
            <w:rPr>
              <w:noProof/>
            </w:rPr>
          </w:pPr>
          <w:hyperlink w:anchor="_Toc432079592" w:history="1">
            <w:r w:rsidRPr="008F7916">
              <w:rPr>
                <w:rStyle w:val="Hyperlink"/>
                <w:noProof/>
                <w:lang w:val="uk-UA"/>
              </w:rPr>
              <w:t>Додаток 1. Відповідальні регуляторні органи в державах ЄС та Російській Федерації</w:t>
            </w:r>
            <w:r>
              <w:rPr>
                <w:noProof/>
                <w:webHidden/>
              </w:rPr>
              <w:tab/>
            </w:r>
            <w:r>
              <w:rPr>
                <w:noProof/>
                <w:webHidden/>
              </w:rPr>
              <w:fldChar w:fldCharType="begin"/>
            </w:r>
            <w:r>
              <w:rPr>
                <w:noProof/>
                <w:webHidden/>
              </w:rPr>
              <w:instrText xml:space="preserve"> PAGEREF _Toc432079592 \h </w:instrText>
            </w:r>
            <w:r>
              <w:rPr>
                <w:noProof/>
                <w:webHidden/>
              </w:rPr>
            </w:r>
            <w:r>
              <w:rPr>
                <w:noProof/>
                <w:webHidden/>
              </w:rPr>
              <w:fldChar w:fldCharType="separate"/>
            </w:r>
            <w:r>
              <w:rPr>
                <w:noProof/>
                <w:webHidden/>
              </w:rPr>
              <w:t>13</w:t>
            </w:r>
            <w:r>
              <w:rPr>
                <w:noProof/>
                <w:webHidden/>
              </w:rPr>
              <w:fldChar w:fldCharType="end"/>
            </w:r>
          </w:hyperlink>
        </w:p>
        <w:p w:rsidR="008E7D40" w:rsidRDefault="008E7D40">
          <w:r>
            <w:rPr>
              <w:b/>
              <w:bCs/>
              <w:noProof/>
            </w:rPr>
            <w:fldChar w:fldCharType="end"/>
          </w:r>
        </w:p>
      </w:sdtContent>
    </w:sdt>
    <w:p w:rsidR="00C85EE9" w:rsidRDefault="00C85EE9" w:rsidP="00F7517C">
      <w:pPr>
        <w:autoSpaceDE w:val="0"/>
        <w:autoSpaceDN w:val="0"/>
        <w:adjustRightInd w:val="0"/>
        <w:spacing w:after="0" w:line="240" w:lineRule="auto"/>
        <w:rPr>
          <w:rFonts w:ascii="Times New Roman" w:hAnsi="Times New Roman" w:cs="Times New Roman"/>
          <w:i/>
          <w:sz w:val="24"/>
          <w:szCs w:val="24"/>
          <w:lang w:val="uk-UA"/>
        </w:rPr>
      </w:pPr>
    </w:p>
    <w:p w:rsidR="00C85EE9" w:rsidRDefault="00C85EE9">
      <w:pPr>
        <w:rPr>
          <w:rFonts w:ascii="Times New Roman" w:hAnsi="Times New Roman" w:cs="Times New Roman"/>
          <w:i/>
          <w:sz w:val="24"/>
          <w:szCs w:val="24"/>
          <w:lang w:val="uk-UA"/>
        </w:rPr>
      </w:pPr>
      <w:r>
        <w:rPr>
          <w:rFonts w:ascii="Times New Roman" w:hAnsi="Times New Roman" w:cs="Times New Roman"/>
          <w:i/>
          <w:sz w:val="24"/>
          <w:szCs w:val="24"/>
          <w:lang w:val="uk-UA"/>
        </w:rPr>
        <w:br w:type="page"/>
      </w:r>
      <w:bookmarkStart w:id="0" w:name="_GoBack"/>
      <w:bookmarkEnd w:id="0"/>
    </w:p>
    <w:p w:rsidR="00C85EE9" w:rsidRPr="004E3A0C" w:rsidRDefault="00C85EE9" w:rsidP="00F7517C">
      <w:pPr>
        <w:autoSpaceDE w:val="0"/>
        <w:autoSpaceDN w:val="0"/>
        <w:adjustRightInd w:val="0"/>
        <w:spacing w:after="0" w:line="240" w:lineRule="auto"/>
        <w:rPr>
          <w:rFonts w:ascii="Times New Roman" w:hAnsi="Times New Roman" w:cs="Times New Roman"/>
          <w:i/>
          <w:sz w:val="24"/>
          <w:szCs w:val="24"/>
          <w:lang w:val="uk-UA"/>
        </w:rPr>
      </w:pPr>
    </w:p>
    <w:p w:rsidR="00FD2B56" w:rsidRPr="004E3A0C" w:rsidRDefault="00FD2B56" w:rsidP="00C85EE9">
      <w:pPr>
        <w:pStyle w:val="Heading1"/>
        <w:rPr>
          <w:lang w:val="uk-UA"/>
        </w:rPr>
      </w:pPr>
      <w:bookmarkStart w:id="1" w:name="_Toc432079586"/>
      <w:r w:rsidRPr="004E3A0C">
        <w:rPr>
          <w:lang w:val="uk-UA"/>
        </w:rPr>
        <w:t xml:space="preserve">1 </w:t>
      </w:r>
      <w:r w:rsidR="001E5AA8" w:rsidRPr="004E3A0C">
        <w:rPr>
          <w:lang w:val="uk-UA"/>
        </w:rPr>
        <w:t>Вступ і загальний огляд</w:t>
      </w:r>
      <w:bookmarkEnd w:id="1"/>
    </w:p>
    <w:p w:rsidR="00FD2B56" w:rsidRPr="004E3A0C" w:rsidRDefault="00FD2B56" w:rsidP="00F7517C">
      <w:pPr>
        <w:autoSpaceDE w:val="0"/>
        <w:autoSpaceDN w:val="0"/>
        <w:adjustRightInd w:val="0"/>
        <w:spacing w:after="0" w:line="240" w:lineRule="auto"/>
        <w:rPr>
          <w:rFonts w:ascii="Times New Roman" w:hAnsi="Times New Roman" w:cs="Times New Roman"/>
          <w:sz w:val="24"/>
          <w:szCs w:val="24"/>
          <w:lang w:val="uk-UA"/>
        </w:rPr>
      </w:pPr>
    </w:p>
    <w:p w:rsidR="00C85EE9" w:rsidRDefault="00C85EE9" w:rsidP="00F7517C">
      <w:pPr>
        <w:pStyle w:val="Directive2colomns"/>
        <w:spacing w:before="0" w:after="0"/>
        <w:ind w:left="0" w:right="0"/>
        <w:rPr>
          <w:sz w:val="24"/>
          <w:szCs w:val="24"/>
        </w:rPr>
      </w:pPr>
      <w:r>
        <w:rPr>
          <w:sz w:val="24"/>
          <w:szCs w:val="24"/>
        </w:rPr>
        <w:t>Європейський Союз (ЄС) заохочує створення справедливих й ефективних систем стягнення оплати за використання інфраструктури. Тому було введено стимули для заохочення як оптимального використання існуючої інфраструктури, так і необхідних інвестицій у нову інфраструктуру. Системи стягнення оплати повинні також створювати умови для чесної конкуренції між різними  видами транспорту.</w:t>
      </w:r>
    </w:p>
    <w:p w:rsidR="00C85EE9" w:rsidRDefault="00C85EE9" w:rsidP="00F7517C">
      <w:pPr>
        <w:pStyle w:val="Directive2colomns"/>
        <w:spacing w:before="0" w:after="0"/>
        <w:ind w:left="0" w:right="0"/>
        <w:rPr>
          <w:sz w:val="24"/>
          <w:szCs w:val="24"/>
        </w:rPr>
      </w:pPr>
    </w:p>
    <w:p w:rsidR="00C85EE9" w:rsidRDefault="00C85EE9" w:rsidP="00F7517C">
      <w:pPr>
        <w:pStyle w:val="Directive2colomns"/>
        <w:spacing w:before="0" w:after="0"/>
        <w:ind w:left="0" w:right="0"/>
        <w:rPr>
          <w:sz w:val="24"/>
          <w:szCs w:val="24"/>
        </w:rPr>
      </w:pPr>
      <w:r>
        <w:rPr>
          <w:sz w:val="24"/>
          <w:szCs w:val="24"/>
        </w:rPr>
        <w:t xml:space="preserve">Директива 2001/14/ЄС визначає правила встановлення тарифів на інфраструктуру та розподілення пропускної здатності. Вона включає вимогу до менеджерів інфраструктури стосовно оприлюднення </w:t>
      </w:r>
      <w:r w:rsidR="00C17F45">
        <w:rPr>
          <w:sz w:val="24"/>
          <w:szCs w:val="24"/>
        </w:rPr>
        <w:t>порядку використання інфраструктури, яким визначається пропускна здатність інфраструктури, а також схеми доступу та тарифи. Вона також вимагає від кожної держави-члена створення регуляторного органу для нагляду за залізничним ринком. Такі регулятори, які хоч і можуть входити до складу міністерства транспорту держави-члена, повинні бути незалежними від будь-якого менеджера інфраструктури, тарифного органу, органу з розподілення або заявник у питаннях організації, правової структури, у рішеннях стосовно фінансування та у процесі прийняття рішення взагалі.</w:t>
      </w:r>
    </w:p>
    <w:p w:rsidR="00C17F45" w:rsidRDefault="00C17F45" w:rsidP="00F7517C">
      <w:pPr>
        <w:pStyle w:val="Directive2colomns"/>
        <w:spacing w:before="0" w:after="0"/>
        <w:ind w:left="0" w:right="0"/>
        <w:rPr>
          <w:sz w:val="24"/>
          <w:szCs w:val="24"/>
        </w:rPr>
      </w:pPr>
    </w:p>
    <w:p w:rsidR="00C17F45" w:rsidRDefault="00C17F45" w:rsidP="00F7517C">
      <w:pPr>
        <w:pStyle w:val="Directive2colomns"/>
        <w:spacing w:before="0" w:after="0"/>
        <w:ind w:left="0" w:right="0"/>
        <w:rPr>
          <w:b/>
          <w:sz w:val="24"/>
          <w:szCs w:val="24"/>
        </w:rPr>
      </w:pPr>
      <w:r>
        <w:rPr>
          <w:b/>
          <w:sz w:val="24"/>
          <w:szCs w:val="24"/>
        </w:rPr>
        <w:t>Термінологія</w:t>
      </w:r>
    </w:p>
    <w:p w:rsidR="00C17F45" w:rsidRPr="00C17F45" w:rsidRDefault="00C17F45" w:rsidP="00F7517C">
      <w:pPr>
        <w:pStyle w:val="Directive2colomns"/>
        <w:spacing w:before="0" w:after="0"/>
        <w:ind w:left="0" w:right="0"/>
        <w:rPr>
          <w:b/>
          <w:sz w:val="24"/>
          <w:szCs w:val="24"/>
        </w:rPr>
      </w:pPr>
    </w:p>
    <w:p w:rsidR="00C85EE9" w:rsidRDefault="00C17F45" w:rsidP="00F7517C">
      <w:pPr>
        <w:pStyle w:val="Directive2colomns"/>
        <w:spacing w:before="0" w:after="0"/>
        <w:ind w:left="0" w:right="0"/>
        <w:rPr>
          <w:sz w:val="24"/>
          <w:szCs w:val="24"/>
        </w:rPr>
      </w:pPr>
      <w:r>
        <w:rPr>
          <w:sz w:val="24"/>
          <w:szCs w:val="24"/>
        </w:rPr>
        <w:t>У контексті цієї Директиви:</w:t>
      </w:r>
    </w:p>
    <w:p w:rsidR="00C17F45" w:rsidRDefault="00C17F45" w:rsidP="00F7517C">
      <w:pPr>
        <w:pStyle w:val="Directive2colomns"/>
        <w:spacing w:before="0" w:after="0"/>
        <w:ind w:left="0" w:right="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а) «розподілення» означає розподілення пропускної здатності залізничної інфраструктури менеджером інфраструктури;</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b) «заявник» означає підприємство, що займається залізничними перевезеннями, яке має ліцензію та/або міжнародне об’єднання залізничних підприємств, та, у державах-членах, які надають таку можливість,   інші фізичні особи та/або юридичні особи, які зацікавлені в отриманні пропускної здатності інфраструктури для здійснення суспільно важливих перевезень або реалізації комерційних інтересів, такі як органи державної влади згідно Регламенту (ЄЕС) № 1191/69(</w:t>
      </w:r>
      <w:r w:rsidRPr="00C17F45">
        <w:rPr>
          <w:rStyle w:val="FootnoteReference"/>
          <w:sz w:val="24"/>
          <w:szCs w:val="24"/>
        </w:rPr>
        <w:footnoteReference w:id="1"/>
      </w:r>
      <w:r w:rsidRPr="00C17F45">
        <w:rPr>
          <w:sz w:val="24"/>
          <w:szCs w:val="24"/>
        </w:rPr>
        <w:t>) та вантажовідправники, вантажні експедитори та оператори комбінованих перевезень, для надання залізничних послуг на їхній відповідній території;</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с) «перевантажена інфраструктура» означає сегмент інфраструктури, попит на пропускну здатність інфраструктури якого не може бути повністю задоволений протягом певних періодів часу, навіть після узгодження різних запитів на пропускну здатність;</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d) «план оптимізації пропускної здатності» означає захід або низку заходів з поетапним втіленням, які пропонуються для пом</w:t>
      </w:r>
      <w:r w:rsidRPr="00C17F45">
        <w:rPr>
          <w:rFonts w:ascii="Arial" w:hAnsi="Arial" w:cs="Arial"/>
          <w:sz w:val="24"/>
          <w:szCs w:val="24"/>
        </w:rPr>
        <w:t>’</w:t>
      </w:r>
      <w:r w:rsidRPr="00C17F45">
        <w:rPr>
          <w:sz w:val="24"/>
          <w:szCs w:val="24"/>
        </w:rPr>
        <w:t>якшення тиску на пропускну здатність, що веде до проголошення сегменту інфраструктури «перевантаженою інфраструктурою»;</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е) «координація» означає процес, за допомогою якого розподільчий орган і заявники будуть намагатися вирішити ситуацію, в якій є конкуруючі заявки на пропускну здатність інфраструктури;</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f) «рамкова угода» означає загальну угоду, юридично обов’язкову в рамках публічного або приватного права, що встановлює права та обов’язки заявника і менеджера інфраструктури чи розподільчого органу, стосовно пропускної здатності інфраструктури, яка повинна бути розподілена, та стягнення зборів за період, який перевищує період за робочим розкладом;</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g) «пропускна здатність інфраструктури» означає можливість складання графіку ма</w:t>
      </w:r>
      <w:r>
        <w:rPr>
          <w:sz w:val="24"/>
          <w:szCs w:val="24"/>
        </w:rPr>
        <w:t>р</w:t>
      </w:r>
      <w:r w:rsidRPr="00C17F45">
        <w:rPr>
          <w:sz w:val="24"/>
          <w:szCs w:val="24"/>
        </w:rPr>
        <w:t>шрутів потягів стосовно компоненту інфраструктури протягом певного періоду</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 xml:space="preserve">h) «менеджер інфраструктури» </w:t>
      </w:r>
      <w:r>
        <w:rPr>
          <w:sz w:val="24"/>
          <w:szCs w:val="24"/>
        </w:rPr>
        <w:t xml:space="preserve">(МІ) </w:t>
      </w:r>
      <w:r w:rsidRPr="00C17F45">
        <w:rPr>
          <w:sz w:val="24"/>
          <w:szCs w:val="24"/>
        </w:rPr>
        <w:t>означає будь-який орган або підприємство, яке власне відповідає за спорудження та підтримання залізничної інфраструктури в належному стані. Сюди можна також включити управління системами контролю та безпеки інфраструктури. Функції менеджера інфраструктури у мережі або частині мережі можуть бути розподілені між різними органами чи підприємствами;</w:t>
      </w:r>
    </w:p>
    <w:p w:rsidR="00C17F45" w:rsidRPr="00C17F45" w:rsidRDefault="00C17F45" w:rsidP="00C17F45">
      <w:pPr>
        <w:pStyle w:val="Directive2colomns"/>
        <w:spacing w:before="0" w:after="0"/>
        <w:ind w:firstLine="6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«мережа» означає всю залізничну інфраструктуру, якою володіє та/або управляє менеджер інфраструктури;</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j) «</w:t>
      </w:r>
      <w:r>
        <w:rPr>
          <w:sz w:val="24"/>
          <w:szCs w:val="24"/>
        </w:rPr>
        <w:t>п</w:t>
      </w:r>
      <w:r w:rsidRPr="00C17F45">
        <w:rPr>
          <w:sz w:val="24"/>
          <w:szCs w:val="24"/>
        </w:rPr>
        <w:t>орядок користування залізницею» означає детальний виклад основних правил, строків, процедур і критеріїв стосовно тарифних схем та схем розподілення пропускної здатності. Сюди можна також включити таку інформацію, яка необхідна для створення умов для подання заявки на пропускну здатність інфраструктури;</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k) «залізничне підприємство» означає будь-яке державне або приватне підприємство, ліцензоване згідно відповідного законодавства Співтовариства, основна діяльність якого полягає у наданні послуг з перевезення вантажів та/або пасажирів залізницею за умови забезпечення тяги самим підприємством,; це включає охоплює також підприємства, які локомотиви забезпечують лише тягу;</w:t>
      </w:r>
    </w:p>
    <w:p w:rsidR="00C17F45" w:rsidRPr="00C17F45" w:rsidRDefault="00C17F45" w:rsidP="00C17F45">
      <w:pPr>
        <w:pStyle w:val="Directive2colomns"/>
        <w:spacing w:before="0" w:after="0"/>
        <w:rPr>
          <w:sz w:val="24"/>
          <w:szCs w:val="24"/>
        </w:rPr>
      </w:pPr>
    </w:p>
    <w:p w:rsidR="00C17F45" w:rsidRPr="00C17F45" w:rsidRDefault="00C17F45" w:rsidP="00C17F45">
      <w:pPr>
        <w:pStyle w:val="Directive2colomns"/>
        <w:numPr>
          <w:ilvl w:val="0"/>
          <w:numId w:val="12"/>
        </w:numPr>
        <w:spacing w:before="0" w:after="0"/>
        <w:rPr>
          <w:sz w:val="24"/>
          <w:szCs w:val="24"/>
        </w:rPr>
      </w:pPr>
      <w:r w:rsidRPr="00C17F45">
        <w:rPr>
          <w:sz w:val="24"/>
          <w:szCs w:val="24"/>
        </w:rPr>
        <w:t>l) «маршрут потягу» означає пропускну здатність інфраструктури, необхідну для руху потягу від одного пункту до іншого за певний часовий проміжок;</w:t>
      </w:r>
    </w:p>
    <w:p w:rsidR="00C17F45" w:rsidRPr="00C17F45" w:rsidRDefault="00C17F45" w:rsidP="00C17F45">
      <w:pPr>
        <w:pStyle w:val="Directive2colomns"/>
        <w:spacing w:before="0" w:after="0"/>
        <w:rPr>
          <w:sz w:val="24"/>
          <w:szCs w:val="24"/>
        </w:rPr>
      </w:pPr>
    </w:p>
    <w:p w:rsidR="00C17F45" w:rsidRDefault="00C17F45" w:rsidP="00C17F45">
      <w:pPr>
        <w:pStyle w:val="Directive2colomns"/>
        <w:numPr>
          <w:ilvl w:val="0"/>
          <w:numId w:val="12"/>
        </w:numPr>
        <w:spacing w:before="0" w:after="0"/>
        <w:rPr>
          <w:sz w:val="24"/>
          <w:szCs w:val="24"/>
        </w:rPr>
      </w:pPr>
      <w:r w:rsidRPr="00C17F45">
        <w:rPr>
          <w:sz w:val="24"/>
          <w:szCs w:val="24"/>
        </w:rPr>
        <w:t xml:space="preserve">m) «робочий розклад» означає дані, що визначають усі заплановані рухи потягів та рухомого складу, які відбудуться на відповідній інфраструктурі протягом періоду його дії </w:t>
      </w:r>
    </w:p>
    <w:p w:rsidR="00C17F45" w:rsidRDefault="00C17F45" w:rsidP="00C17F45">
      <w:pPr>
        <w:pStyle w:val="Directive2colomns"/>
        <w:spacing w:before="0" w:after="0"/>
        <w:ind w:left="839"/>
        <w:rPr>
          <w:sz w:val="24"/>
          <w:szCs w:val="24"/>
        </w:rPr>
      </w:pPr>
    </w:p>
    <w:p w:rsidR="00C17F45" w:rsidRDefault="00C17F45" w:rsidP="00C17F45">
      <w:pPr>
        <w:pStyle w:val="Directive2colomns"/>
        <w:numPr>
          <w:ilvl w:val="0"/>
          <w:numId w:val="12"/>
        </w:numPr>
        <w:spacing w:before="0" w:after="0"/>
        <w:rPr>
          <w:sz w:val="24"/>
          <w:szCs w:val="24"/>
        </w:rPr>
      </w:pPr>
      <w:r>
        <w:rPr>
          <w:sz w:val="24"/>
          <w:szCs w:val="24"/>
        </w:rPr>
        <w:t xml:space="preserve">сертифікат безпеки означає сертифікат, який видається заявнику Національною транспортною адміністрацією (Директива 2004/94/ЄС: «ЗХ метою отримання доступу до сертифікованої залізничної інфраструктури залізничне підприємство повинно мати сертифікат безпеки. Цей сертифікат </w:t>
      </w:r>
      <w:r>
        <w:rPr>
          <w:sz w:val="24"/>
          <w:szCs w:val="24"/>
        </w:rPr>
        <w:lastRenderedPageBreak/>
        <w:t>може охоплювати всю залізничну мережу держави-члена або лише її визначену частину»).</w:t>
      </w:r>
    </w:p>
    <w:p w:rsidR="00C17F45" w:rsidRPr="00C17F45" w:rsidRDefault="00C17F45" w:rsidP="00C17F45">
      <w:pPr>
        <w:pStyle w:val="Directive2colomns"/>
        <w:spacing w:before="0" w:after="0"/>
        <w:rPr>
          <w:sz w:val="24"/>
          <w:szCs w:val="24"/>
        </w:rPr>
      </w:pPr>
    </w:p>
    <w:p w:rsidR="00C17F45" w:rsidRPr="00C17F45" w:rsidRDefault="00C17F45" w:rsidP="00F7517C">
      <w:pPr>
        <w:pStyle w:val="Directive2colomns"/>
        <w:spacing w:before="0" w:after="0"/>
        <w:ind w:left="0" w:right="0"/>
        <w:rPr>
          <w:b/>
          <w:sz w:val="24"/>
          <w:szCs w:val="24"/>
        </w:rPr>
      </w:pPr>
      <w:r>
        <w:rPr>
          <w:b/>
          <w:sz w:val="24"/>
          <w:szCs w:val="24"/>
        </w:rPr>
        <w:t>Основні положення</w:t>
      </w:r>
    </w:p>
    <w:p w:rsidR="00C85EE9" w:rsidRDefault="00C85EE9" w:rsidP="00F7517C">
      <w:pPr>
        <w:pStyle w:val="Directive2colomns"/>
        <w:spacing w:before="0" w:after="0"/>
        <w:ind w:left="0" w:right="0"/>
        <w:rPr>
          <w:sz w:val="24"/>
          <w:szCs w:val="24"/>
        </w:rPr>
      </w:pPr>
    </w:p>
    <w:p w:rsidR="00E603AA" w:rsidRDefault="00C17F45" w:rsidP="00F7517C">
      <w:pPr>
        <w:pStyle w:val="Directive2colomns"/>
        <w:spacing w:before="0" w:after="0"/>
        <w:ind w:left="0" w:right="0"/>
        <w:rPr>
          <w:sz w:val="24"/>
          <w:szCs w:val="24"/>
        </w:rPr>
      </w:pPr>
      <w:r>
        <w:rPr>
          <w:sz w:val="24"/>
          <w:szCs w:val="24"/>
        </w:rPr>
        <w:t>Ц</w:t>
      </w:r>
      <w:r w:rsidR="00E603AA" w:rsidRPr="004E3A0C">
        <w:rPr>
          <w:sz w:val="24"/>
          <w:szCs w:val="24"/>
        </w:rPr>
        <w:t xml:space="preserve">я Директива застосовується для використання залізничної інфраструктури для вітчизняних </w:t>
      </w:r>
      <w:r>
        <w:rPr>
          <w:sz w:val="24"/>
          <w:szCs w:val="24"/>
        </w:rPr>
        <w:t>або</w:t>
      </w:r>
      <w:r w:rsidR="00E603AA" w:rsidRPr="004E3A0C">
        <w:rPr>
          <w:sz w:val="24"/>
          <w:szCs w:val="24"/>
        </w:rPr>
        <w:t xml:space="preserve"> міжнародних залізничних сполучень.</w:t>
      </w:r>
    </w:p>
    <w:p w:rsidR="00C17F45" w:rsidRDefault="00C17F45" w:rsidP="00F7517C">
      <w:pPr>
        <w:pStyle w:val="Directive2colomns"/>
        <w:spacing w:before="0" w:after="0"/>
        <w:ind w:left="0" w:right="0"/>
        <w:rPr>
          <w:sz w:val="24"/>
          <w:szCs w:val="24"/>
        </w:rPr>
      </w:pPr>
    </w:p>
    <w:p w:rsidR="00C17F45" w:rsidRPr="004E3A0C" w:rsidRDefault="00C17F45" w:rsidP="00F7517C">
      <w:pPr>
        <w:pStyle w:val="Directive2colomns"/>
        <w:spacing w:before="0" w:after="0"/>
        <w:ind w:left="0" w:right="0"/>
        <w:rPr>
          <w:sz w:val="24"/>
          <w:szCs w:val="24"/>
        </w:rPr>
      </w:pPr>
      <w:r>
        <w:rPr>
          <w:sz w:val="24"/>
          <w:szCs w:val="24"/>
        </w:rPr>
        <w:t>Зі сфери її застосування виключено наступне</w:t>
      </w:r>
    </w:p>
    <w:p w:rsidR="00E603AA" w:rsidRPr="004E3A0C" w:rsidRDefault="00E603AA" w:rsidP="00F7517C">
      <w:pPr>
        <w:pStyle w:val="Directive2colomns"/>
        <w:spacing w:before="0" w:after="0"/>
        <w:ind w:left="0" w:right="0"/>
        <w:rPr>
          <w:sz w:val="24"/>
          <w:szCs w:val="24"/>
        </w:rPr>
      </w:pPr>
    </w:p>
    <w:p w:rsidR="00E603AA" w:rsidRDefault="00764437" w:rsidP="00C17F45">
      <w:pPr>
        <w:pStyle w:val="Directive2colomns"/>
        <w:spacing w:before="0" w:after="0"/>
        <w:ind w:left="426" w:right="0" w:hanging="426"/>
        <w:rPr>
          <w:sz w:val="24"/>
          <w:szCs w:val="24"/>
        </w:rPr>
      </w:pPr>
      <w:r w:rsidRPr="004E3A0C">
        <w:rPr>
          <w:sz w:val="24"/>
          <w:szCs w:val="24"/>
        </w:rPr>
        <w:t>-</w:t>
      </w:r>
      <w:r w:rsidR="00E603AA" w:rsidRPr="004E3A0C">
        <w:rPr>
          <w:sz w:val="24"/>
          <w:szCs w:val="24"/>
        </w:rPr>
        <w:t xml:space="preserve"> </w:t>
      </w:r>
      <w:r w:rsidR="00E603AA" w:rsidRPr="004E3A0C">
        <w:rPr>
          <w:sz w:val="24"/>
          <w:szCs w:val="24"/>
        </w:rPr>
        <w:tab/>
        <w:t>одиночні місцеві чи регіональні мережі для перевезення пасажи</w:t>
      </w:r>
      <w:r w:rsidR="00C17F45">
        <w:rPr>
          <w:sz w:val="24"/>
          <w:szCs w:val="24"/>
        </w:rPr>
        <w:t xml:space="preserve">рів залізничною інфраструктурою та </w:t>
      </w:r>
      <w:r w:rsidR="00E603AA" w:rsidRPr="004E3A0C">
        <w:rPr>
          <w:sz w:val="24"/>
          <w:szCs w:val="24"/>
        </w:rPr>
        <w:t>мереж</w:t>
      </w:r>
      <w:r w:rsidRPr="004E3A0C">
        <w:rPr>
          <w:sz w:val="24"/>
          <w:szCs w:val="24"/>
        </w:rPr>
        <w:t>і</w:t>
      </w:r>
      <w:r w:rsidR="00E603AA" w:rsidRPr="004E3A0C">
        <w:rPr>
          <w:sz w:val="24"/>
          <w:szCs w:val="24"/>
        </w:rPr>
        <w:t>, призначен</w:t>
      </w:r>
      <w:r w:rsidRPr="004E3A0C">
        <w:rPr>
          <w:sz w:val="24"/>
          <w:szCs w:val="24"/>
        </w:rPr>
        <w:t>і</w:t>
      </w:r>
      <w:r w:rsidR="00E603AA" w:rsidRPr="004E3A0C">
        <w:rPr>
          <w:sz w:val="24"/>
          <w:szCs w:val="24"/>
        </w:rPr>
        <w:t xml:space="preserve"> лише для здійснення міських чи приміських пасажирських перевезень;</w:t>
      </w:r>
    </w:p>
    <w:p w:rsidR="00AC6FF5" w:rsidRPr="004E3A0C" w:rsidRDefault="00AC6FF5" w:rsidP="00C17F45">
      <w:pPr>
        <w:pStyle w:val="Directive2colomns"/>
        <w:spacing w:before="0" w:after="0"/>
        <w:ind w:left="426" w:right="0" w:hanging="426"/>
        <w:rPr>
          <w:sz w:val="24"/>
          <w:szCs w:val="24"/>
        </w:rPr>
      </w:pPr>
    </w:p>
    <w:p w:rsidR="00C17F45" w:rsidRDefault="00764437" w:rsidP="00C17F45">
      <w:pPr>
        <w:pStyle w:val="Directive2colomns"/>
        <w:spacing w:before="0" w:after="0"/>
        <w:ind w:left="426" w:right="0" w:hanging="426"/>
        <w:rPr>
          <w:sz w:val="24"/>
          <w:szCs w:val="24"/>
        </w:rPr>
      </w:pPr>
      <w:r w:rsidRPr="004E3A0C">
        <w:rPr>
          <w:sz w:val="24"/>
          <w:szCs w:val="24"/>
        </w:rPr>
        <w:t>-</w:t>
      </w:r>
      <w:r w:rsidR="00E603AA" w:rsidRPr="004E3A0C">
        <w:rPr>
          <w:sz w:val="24"/>
          <w:szCs w:val="24"/>
        </w:rPr>
        <w:t xml:space="preserve"> </w:t>
      </w:r>
      <w:r w:rsidR="00E603AA" w:rsidRPr="004E3A0C">
        <w:rPr>
          <w:sz w:val="24"/>
          <w:szCs w:val="24"/>
        </w:rPr>
        <w:tab/>
      </w:r>
      <w:r w:rsidR="00C17F45" w:rsidRPr="004E3A0C">
        <w:rPr>
          <w:sz w:val="24"/>
          <w:szCs w:val="24"/>
        </w:rPr>
        <w:t>приватну залізничну інфраструктуру, яка використовується лише власником дл</w:t>
      </w:r>
      <w:r w:rsidR="00C17F45">
        <w:rPr>
          <w:sz w:val="24"/>
          <w:szCs w:val="24"/>
        </w:rPr>
        <w:t>я власних вантажних перевезень</w:t>
      </w:r>
    </w:p>
    <w:p w:rsidR="00C17F45" w:rsidRDefault="00C17F45" w:rsidP="00C17F45">
      <w:pPr>
        <w:pStyle w:val="Directive2colomns"/>
        <w:spacing w:before="0" w:after="0"/>
        <w:ind w:right="0"/>
        <w:rPr>
          <w:sz w:val="24"/>
          <w:szCs w:val="24"/>
        </w:rPr>
      </w:pPr>
    </w:p>
    <w:p w:rsidR="00C17F45" w:rsidRDefault="00C17F45" w:rsidP="00C17F45">
      <w:pPr>
        <w:pStyle w:val="Directive2colomns"/>
        <w:spacing w:before="0" w:after="0"/>
        <w:ind w:left="426" w:right="0" w:hanging="426"/>
        <w:rPr>
          <w:sz w:val="24"/>
          <w:szCs w:val="24"/>
        </w:rPr>
      </w:pPr>
      <w:r>
        <w:rPr>
          <w:sz w:val="24"/>
          <w:szCs w:val="24"/>
        </w:rPr>
        <w:t>-</w:t>
      </w:r>
      <w:r>
        <w:rPr>
          <w:sz w:val="24"/>
          <w:szCs w:val="24"/>
        </w:rPr>
        <w:tab/>
        <w:t xml:space="preserve">човникові перевезення для автомобілів по </w:t>
      </w:r>
      <w:proofErr w:type="spellStart"/>
      <w:r>
        <w:rPr>
          <w:sz w:val="24"/>
          <w:szCs w:val="24"/>
        </w:rPr>
        <w:t>Євротуннелю</w:t>
      </w:r>
      <w:proofErr w:type="spellEnd"/>
    </w:p>
    <w:p w:rsidR="00C17F45" w:rsidRDefault="00C17F45" w:rsidP="00C17F45">
      <w:pPr>
        <w:pStyle w:val="Directive2colomns"/>
        <w:spacing w:before="0" w:after="0"/>
        <w:ind w:left="426" w:right="0" w:hanging="426"/>
        <w:rPr>
          <w:sz w:val="24"/>
          <w:szCs w:val="24"/>
        </w:rPr>
      </w:pPr>
    </w:p>
    <w:p w:rsidR="00C17F45" w:rsidRDefault="00C17F45" w:rsidP="00C17F45">
      <w:pPr>
        <w:pStyle w:val="Directive2colomns"/>
        <w:spacing w:before="0" w:after="0"/>
        <w:ind w:left="426" w:right="0" w:hanging="426"/>
        <w:rPr>
          <w:sz w:val="24"/>
          <w:szCs w:val="24"/>
        </w:rPr>
      </w:pPr>
      <w:r>
        <w:rPr>
          <w:sz w:val="24"/>
          <w:szCs w:val="24"/>
        </w:rPr>
        <w:t>-</w:t>
      </w:r>
      <w:r>
        <w:rPr>
          <w:sz w:val="24"/>
          <w:szCs w:val="24"/>
        </w:rPr>
        <w:tab/>
        <w:t>залізничні перевезення, які виконуються транзитом через Співтовариство.</w:t>
      </w:r>
    </w:p>
    <w:p w:rsidR="00C17F45" w:rsidRDefault="00C17F45" w:rsidP="00C17F45">
      <w:pPr>
        <w:pStyle w:val="Directive2colomns"/>
        <w:spacing w:before="0" w:after="0"/>
        <w:ind w:left="426" w:right="0" w:hanging="426"/>
        <w:rPr>
          <w:sz w:val="24"/>
          <w:szCs w:val="24"/>
        </w:rPr>
      </w:pPr>
    </w:p>
    <w:p w:rsidR="00C17F45" w:rsidRDefault="00C17F45" w:rsidP="00C17F45">
      <w:pPr>
        <w:pStyle w:val="Directive2colomns"/>
        <w:spacing w:before="0" w:after="0"/>
        <w:ind w:left="0" w:right="0"/>
        <w:rPr>
          <w:sz w:val="24"/>
          <w:szCs w:val="24"/>
        </w:rPr>
      </w:pPr>
      <w:r>
        <w:rPr>
          <w:sz w:val="24"/>
          <w:szCs w:val="24"/>
        </w:rPr>
        <w:t>Менеджери інфраструктури повинні оприлюднювати порядок користування інфраструктурою, який містить наступну інформацію:</w:t>
      </w:r>
    </w:p>
    <w:p w:rsidR="00C17F45" w:rsidRDefault="00C17F45" w:rsidP="00C17F45">
      <w:pPr>
        <w:pStyle w:val="Directive2colomns"/>
        <w:numPr>
          <w:ilvl w:val="0"/>
          <w:numId w:val="14"/>
        </w:numPr>
        <w:spacing w:before="0" w:after="0"/>
        <w:ind w:right="0"/>
        <w:rPr>
          <w:sz w:val="24"/>
          <w:szCs w:val="24"/>
        </w:rPr>
      </w:pPr>
      <w:r>
        <w:rPr>
          <w:sz w:val="24"/>
          <w:szCs w:val="24"/>
        </w:rPr>
        <w:t>характер інфраструктури, яка є доступною для залізничних підприємств і умови доступу до неї</w:t>
      </w:r>
    </w:p>
    <w:p w:rsidR="00C17F45" w:rsidRDefault="00C17F45" w:rsidP="00C17F45">
      <w:pPr>
        <w:pStyle w:val="Directive2colomns"/>
        <w:numPr>
          <w:ilvl w:val="0"/>
          <w:numId w:val="14"/>
        </w:numPr>
        <w:spacing w:before="0" w:after="0"/>
        <w:ind w:right="0"/>
        <w:rPr>
          <w:sz w:val="24"/>
          <w:szCs w:val="24"/>
        </w:rPr>
      </w:pPr>
      <w:r>
        <w:rPr>
          <w:sz w:val="24"/>
          <w:szCs w:val="24"/>
        </w:rPr>
        <w:t>принципи стягнення оплати, зокрема ймовірні тарифи на наступні п’ять років</w:t>
      </w:r>
    </w:p>
    <w:p w:rsidR="00C17F45" w:rsidRDefault="00C17F45" w:rsidP="00C17F45">
      <w:pPr>
        <w:pStyle w:val="Directive2colomns"/>
        <w:numPr>
          <w:ilvl w:val="0"/>
          <w:numId w:val="14"/>
        </w:numPr>
        <w:spacing w:before="0" w:after="0"/>
        <w:ind w:right="0"/>
        <w:rPr>
          <w:sz w:val="24"/>
          <w:szCs w:val="24"/>
        </w:rPr>
      </w:pPr>
      <w:r>
        <w:rPr>
          <w:sz w:val="24"/>
          <w:szCs w:val="24"/>
        </w:rPr>
        <w:t>принципи та критерії для розподілення пропускної здатності (характеристики, обмеження, процедури та терміни).</w:t>
      </w:r>
    </w:p>
    <w:p w:rsidR="00C17F45" w:rsidRDefault="00C17F45" w:rsidP="00C17F45">
      <w:pPr>
        <w:pStyle w:val="Directive2colomns"/>
        <w:spacing w:before="0" w:after="0"/>
        <w:ind w:left="0" w:right="0"/>
        <w:rPr>
          <w:sz w:val="24"/>
          <w:szCs w:val="24"/>
        </w:rPr>
      </w:pPr>
    </w:p>
    <w:p w:rsidR="00C17F45" w:rsidRDefault="00C17F45" w:rsidP="00C17F45">
      <w:pPr>
        <w:pStyle w:val="Directive2colomns"/>
        <w:spacing w:before="0" w:after="0"/>
        <w:ind w:left="0" w:right="0"/>
        <w:rPr>
          <w:b/>
          <w:sz w:val="24"/>
          <w:szCs w:val="24"/>
        </w:rPr>
      </w:pPr>
      <w:r>
        <w:rPr>
          <w:b/>
          <w:sz w:val="24"/>
          <w:szCs w:val="24"/>
        </w:rPr>
        <w:t>Тарифи на інфраструктуру</w:t>
      </w:r>
    </w:p>
    <w:p w:rsidR="00C17F45" w:rsidRDefault="00C17F45" w:rsidP="00C17F45">
      <w:pPr>
        <w:pStyle w:val="Directive2colomns"/>
        <w:spacing w:before="0" w:after="0"/>
        <w:ind w:left="0" w:right="0"/>
        <w:rPr>
          <w:b/>
          <w:sz w:val="24"/>
          <w:szCs w:val="24"/>
        </w:rPr>
      </w:pPr>
    </w:p>
    <w:p w:rsidR="00C17F45" w:rsidRDefault="00C17F45" w:rsidP="00C17F45">
      <w:pPr>
        <w:pStyle w:val="Directive2colomns"/>
        <w:spacing w:before="0" w:after="0"/>
        <w:ind w:left="0" w:right="0"/>
        <w:rPr>
          <w:sz w:val="24"/>
          <w:szCs w:val="24"/>
        </w:rPr>
      </w:pPr>
      <w:r>
        <w:rPr>
          <w:sz w:val="24"/>
          <w:szCs w:val="24"/>
        </w:rPr>
        <w:t xml:space="preserve">Тарифи встановлюються і оплата збирається незалежним органом зі стягнення платежів, як правило менеджером інфраструктури, за умови, що </w:t>
      </w:r>
      <w:r>
        <w:rPr>
          <w:i/>
          <w:sz w:val="24"/>
          <w:szCs w:val="24"/>
        </w:rPr>
        <w:t>він не залежить від залізничних підприємств</w:t>
      </w:r>
      <w:r>
        <w:rPr>
          <w:sz w:val="24"/>
          <w:szCs w:val="24"/>
        </w:rPr>
        <w:t>.</w:t>
      </w:r>
    </w:p>
    <w:p w:rsidR="00C17F45" w:rsidRDefault="00C17F45" w:rsidP="00C17F45">
      <w:pPr>
        <w:pStyle w:val="Directive2colomns"/>
        <w:spacing w:before="0" w:after="0"/>
        <w:ind w:left="0" w:right="0"/>
        <w:rPr>
          <w:sz w:val="24"/>
          <w:szCs w:val="24"/>
        </w:rPr>
      </w:pPr>
    </w:p>
    <w:p w:rsidR="00C17F45" w:rsidRDefault="00C17F45" w:rsidP="00C17F45">
      <w:pPr>
        <w:pStyle w:val="Directive2colomns"/>
        <w:spacing w:before="0" w:after="0"/>
        <w:ind w:left="0" w:right="0"/>
        <w:rPr>
          <w:sz w:val="24"/>
          <w:szCs w:val="24"/>
        </w:rPr>
      </w:pPr>
      <w:r>
        <w:rPr>
          <w:sz w:val="24"/>
          <w:szCs w:val="24"/>
        </w:rPr>
        <w:t>Директива визначає мінімальний пакет доступу і обов’язковий доступ до послуг, на які мають право залізничні підприємства. У свою чергу залізничні підприємства зобов’язані надавати певні обов’язкові послуги, до яких можуть бути додані додаткові та допоміжні послуги, які зазначено у додатку.</w:t>
      </w:r>
    </w:p>
    <w:p w:rsidR="00C17F45" w:rsidRDefault="00C17F45" w:rsidP="00C17F45">
      <w:pPr>
        <w:pStyle w:val="Directive2colomns"/>
        <w:spacing w:before="0" w:after="0"/>
        <w:ind w:left="0" w:right="0"/>
        <w:rPr>
          <w:sz w:val="24"/>
          <w:szCs w:val="24"/>
        </w:rPr>
      </w:pPr>
    </w:p>
    <w:p w:rsidR="00C17F45" w:rsidRDefault="00C17F45" w:rsidP="00C17F45">
      <w:pPr>
        <w:pStyle w:val="Directive2colomns"/>
        <w:spacing w:before="0" w:after="0"/>
        <w:ind w:left="0" w:right="0"/>
        <w:rPr>
          <w:sz w:val="24"/>
          <w:szCs w:val="24"/>
        </w:rPr>
      </w:pPr>
      <w:r>
        <w:rPr>
          <w:sz w:val="24"/>
          <w:szCs w:val="24"/>
        </w:rPr>
        <w:t xml:space="preserve">Директива визначає принципи стягнення платежів: платежі повинні сплачуватися менеджерам інфраструктури і використовуватися для фінансування їх діяльності. Загалом тариф на використання залізничної інфраструктури дорівнює витратам, які є прямим наслідком експлуатації потягів. Інфраструктурний тариф може включати суму, яка відображає нестачу пропускної здатності. Інфраструктурний тариф може бути </w:t>
      </w:r>
      <w:proofErr w:type="spellStart"/>
      <w:r>
        <w:rPr>
          <w:sz w:val="24"/>
          <w:szCs w:val="24"/>
        </w:rPr>
        <w:t>відкорегований</w:t>
      </w:r>
      <w:proofErr w:type="spellEnd"/>
      <w:r>
        <w:rPr>
          <w:sz w:val="24"/>
          <w:szCs w:val="24"/>
        </w:rPr>
        <w:t xml:space="preserve"> для врахування вартості впливу на довкілля під час експлуатації потягів.</w:t>
      </w:r>
    </w:p>
    <w:p w:rsidR="00C17F45" w:rsidRDefault="00C17F45" w:rsidP="00C17F45">
      <w:pPr>
        <w:pStyle w:val="Directive2colomns"/>
        <w:spacing w:before="0" w:after="0"/>
        <w:ind w:left="0" w:right="0"/>
        <w:rPr>
          <w:sz w:val="24"/>
          <w:szCs w:val="24"/>
        </w:rPr>
      </w:pPr>
    </w:p>
    <w:p w:rsidR="00C17F45" w:rsidRDefault="00C17F45" w:rsidP="00C17F45">
      <w:pPr>
        <w:pStyle w:val="Directive2colomns"/>
        <w:spacing w:before="0" w:after="0"/>
        <w:ind w:left="0" w:right="0"/>
        <w:rPr>
          <w:sz w:val="24"/>
          <w:szCs w:val="24"/>
        </w:rPr>
      </w:pPr>
      <w:r>
        <w:rPr>
          <w:sz w:val="24"/>
          <w:szCs w:val="24"/>
        </w:rPr>
        <w:t xml:space="preserve">За рахунок виключень з цих правил тарифікації директива дозволяє менеджерам інфраструктури вводити підвищені ставки, якщо </w:t>
      </w:r>
      <w:r w:rsidRPr="00C17F45">
        <w:rPr>
          <w:sz w:val="24"/>
          <w:szCs w:val="24"/>
        </w:rPr>
        <w:t xml:space="preserve">ринок може це дозволити, на основі ефективних, прозорих і недискримінаційних принципів, гарантуючи при цьому </w:t>
      </w:r>
      <w:r w:rsidRPr="00C17F45">
        <w:rPr>
          <w:sz w:val="24"/>
          <w:szCs w:val="24"/>
        </w:rPr>
        <w:lastRenderedPageBreak/>
        <w:t xml:space="preserve">ефективну конкурентоздатність, особливо у міжнародних вантажних залізничних перевезеннях. </w:t>
      </w:r>
      <w:r>
        <w:rPr>
          <w:sz w:val="24"/>
          <w:szCs w:val="24"/>
        </w:rPr>
        <w:t>За певних умов, залізничні підприємства можуть отримати знижки на тарифи.</w:t>
      </w:r>
    </w:p>
    <w:p w:rsidR="00C17F45" w:rsidRDefault="00C17F45" w:rsidP="00C17F45">
      <w:pPr>
        <w:pStyle w:val="Directive2colomns"/>
        <w:spacing w:before="0" w:after="0"/>
        <w:ind w:left="0" w:right="0"/>
        <w:rPr>
          <w:sz w:val="24"/>
          <w:szCs w:val="24"/>
        </w:rPr>
      </w:pPr>
    </w:p>
    <w:p w:rsidR="00C17F45" w:rsidRDefault="00C17F45" w:rsidP="00C17F45">
      <w:pPr>
        <w:pStyle w:val="Directive2colomns"/>
        <w:spacing w:before="0" w:after="0"/>
        <w:ind w:left="0" w:right="0"/>
        <w:rPr>
          <w:sz w:val="24"/>
          <w:szCs w:val="24"/>
        </w:rPr>
      </w:pPr>
      <w:r>
        <w:rPr>
          <w:sz w:val="24"/>
          <w:szCs w:val="24"/>
        </w:rPr>
        <w:t>Директива також містить положення щодо:</w:t>
      </w:r>
    </w:p>
    <w:p w:rsidR="00C17F45" w:rsidRDefault="00C17F45" w:rsidP="00C17F45">
      <w:pPr>
        <w:pStyle w:val="Directive2colomns"/>
        <w:spacing w:before="0" w:after="0"/>
        <w:ind w:left="0" w:right="0"/>
        <w:rPr>
          <w:sz w:val="24"/>
          <w:szCs w:val="24"/>
        </w:rPr>
      </w:pPr>
    </w:p>
    <w:p w:rsidR="00C17F45" w:rsidRDefault="00C17F45" w:rsidP="00C17F45">
      <w:pPr>
        <w:pStyle w:val="Directive2colomns"/>
        <w:numPr>
          <w:ilvl w:val="0"/>
          <w:numId w:val="15"/>
        </w:numPr>
        <w:spacing w:before="0" w:after="0"/>
        <w:ind w:right="0"/>
        <w:rPr>
          <w:sz w:val="24"/>
          <w:szCs w:val="24"/>
        </w:rPr>
      </w:pPr>
      <w:r>
        <w:rPr>
          <w:sz w:val="24"/>
          <w:szCs w:val="24"/>
        </w:rPr>
        <w:t xml:space="preserve">компенсаційних схем для </w:t>
      </w:r>
      <w:r w:rsidRPr="00C17F45">
        <w:rPr>
          <w:sz w:val="24"/>
          <w:szCs w:val="24"/>
        </w:rPr>
        <w:t>несплачених витрат платежів за забруднення навколишнього середовища, аварії та інфраструктуру</w:t>
      </w:r>
    </w:p>
    <w:p w:rsidR="00C17F45" w:rsidRDefault="00C17F45" w:rsidP="00C17F45">
      <w:pPr>
        <w:pStyle w:val="Directive2colomns"/>
        <w:numPr>
          <w:ilvl w:val="0"/>
          <w:numId w:val="15"/>
        </w:numPr>
        <w:spacing w:before="0" w:after="0"/>
        <w:ind w:right="0"/>
        <w:rPr>
          <w:sz w:val="24"/>
          <w:szCs w:val="24"/>
        </w:rPr>
      </w:pPr>
      <w:r>
        <w:rPr>
          <w:sz w:val="24"/>
          <w:szCs w:val="24"/>
        </w:rPr>
        <w:t>схеми ефективної експлуатації</w:t>
      </w:r>
    </w:p>
    <w:p w:rsidR="00C17F45" w:rsidRDefault="00C17F45" w:rsidP="00C17F45">
      <w:pPr>
        <w:pStyle w:val="Directive2colomns"/>
        <w:numPr>
          <w:ilvl w:val="0"/>
          <w:numId w:val="15"/>
        </w:numPr>
        <w:spacing w:before="0" w:after="0"/>
        <w:ind w:right="0"/>
        <w:rPr>
          <w:sz w:val="24"/>
          <w:szCs w:val="24"/>
        </w:rPr>
      </w:pPr>
      <w:r>
        <w:rPr>
          <w:sz w:val="24"/>
          <w:szCs w:val="24"/>
        </w:rPr>
        <w:t>тарифів за резервування пропускної здатності (за пропускну здатність зарезервовану, але не використану).</w:t>
      </w:r>
    </w:p>
    <w:p w:rsidR="00C17F45" w:rsidRDefault="00C17F45" w:rsidP="00C17F45">
      <w:pPr>
        <w:pStyle w:val="Directive2colomns"/>
        <w:spacing w:before="0" w:after="0"/>
        <w:ind w:left="0" w:right="0"/>
        <w:rPr>
          <w:sz w:val="24"/>
          <w:szCs w:val="24"/>
        </w:rPr>
      </w:pPr>
    </w:p>
    <w:p w:rsidR="00C17F45" w:rsidRDefault="00C17F45" w:rsidP="00C17F45">
      <w:pPr>
        <w:pStyle w:val="Directive2colomns"/>
        <w:spacing w:before="0" w:after="0"/>
        <w:ind w:left="0" w:right="0"/>
        <w:rPr>
          <w:b/>
          <w:sz w:val="24"/>
          <w:szCs w:val="24"/>
        </w:rPr>
      </w:pPr>
      <w:r>
        <w:rPr>
          <w:b/>
          <w:sz w:val="24"/>
          <w:szCs w:val="24"/>
        </w:rPr>
        <w:t>Розподілення пропускної здатності інфраструктури</w:t>
      </w:r>
    </w:p>
    <w:p w:rsidR="00C17F45" w:rsidRDefault="00C17F45" w:rsidP="00C17F45">
      <w:pPr>
        <w:pStyle w:val="Directive2colomns"/>
        <w:spacing w:before="0" w:after="0"/>
        <w:ind w:left="0" w:right="0"/>
        <w:rPr>
          <w:b/>
          <w:sz w:val="24"/>
          <w:szCs w:val="24"/>
        </w:rPr>
      </w:pPr>
    </w:p>
    <w:p w:rsidR="00C17F45" w:rsidRPr="00C17F45" w:rsidRDefault="00C17F45" w:rsidP="00C17F45">
      <w:pPr>
        <w:pStyle w:val="Directive2colomns"/>
        <w:spacing w:before="0" w:after="0"/>
        <w:ind w:left="0" w:right="0"/>
        <w:rPr>
          <w:sz w:val="24"/>
          <w:szCs w:val="24"/>
        </w:rPr>
      </w:pPr>
      <w:r>
        <w:rPr>
          <w:sz w:val="24"/>
          <w:szCs w:val="24"/>
        </w:rPr>
        <w:t xml:space="preserve">Право на використання залізничної інфраструктури надається відповідним менеджером інфраструктури. Менеджер інфраструктури розподіляє також наявну пропускну здатність, яка, </w:t>
      </w:r>
      <w:r w:rsidRPr="00C17F45">
        <w:rPr>
          <w:sz w:val="24"/>
          <w:szCs w:val="24"/>
        </w:rPr>
        <w:t>якщо вона надана заявнику, не може бути передана ним іншому підприємству.</w:t>
      </w:r>
    </w:p>
    <w:p w:rsidR="00C17F45" w:rsidRDefault="00C17F45" w:rsidP="00C17F45">
      <w:pPr>
        <w:pStyle w:val="Directive2colomns"/>
        <w:spacing w:before="0" w:after="0"/>
        <w:ind w:left="426" w:right="0" w:hanging="426"/>
        <w:rPr>
          <w:sz w:val="24"/>
          <w:szCs w:val="24"/>
        </w:rPr>
      </w:pPr>
    </w:p>
    <w:p w:rsidR="00C17F45" w:rsidRDefault="00C17F45" w:rsidP="00C17F45">
      <w:pPr>
        <w:pStyle w:val="Directive2colomns"/>
        <w:spacing w:before="0" w:after="0"/>
        <w:ind w:left="0" w:right="0"/>
        <w:rPr>
          <w:sz w:val="24"/>
          <w:szCs w:val="24"/>
        </w:rPr>
      </w:pPr>
      <w:r w:rsidRPr="00C17F45">
        <w:rPr>
          <w:i/>
          <w:sz w:val="24"/>
          <w:szCs w:val="24"/>
        </w:rPr>
        <w:t>Права і обов’язки менеджера інфраструктури та уповноважених заявників визначаються у контракті</w:t>
      </w:r>
      <w:r w:rsidRPr="00C17F45">
        <w:rPr>
          <w:sz w:val="24"/>
          <w:szCs w:val="24"/>
        </w:rPr>
        <w:t>.</w:t>
      </w:r>
      <w:r>
        <w:rPr>
          <w:sz w:val="24"/>
          <w:szCs w:val="24"/>
        </w:rPr>
        <w:t xml:space="preserve"> Якщо заявник має намір використати певну пропускну здатність інфраструктури для виконання міжнародних пасажирських перевезень, регуляторні органи забезпечують інформування всіх органів, яких це стосується.</w:t>
      </w:r>
    </w:p>
    <w:p w:rsidR="00C17F45" w:rsidRDefault="00C17F45" w:rsidP="00C17F45">
      <w:pPr>
        <w:pStyle w:val="Directive2colomns"/>
        <w:spacing w:before="0" w:after="0"/>
        <w:ind w:left="0" w:right="0"/>
        <w:rPr>
          <w:sz w:val="24"/>
          <w:szCs w:val="24"/>
        </w:rPr>
      </w:pPr>
    </w:p>
    <w:p w:rsidR="00C17F45" w:rsidRDefault="00C17F45" w:rsidP="00C17F45">
      <w:pPr>
        <w:pStyle w:val="Directive2colomns"/>
        <w:spacing w:before="0" w:after="0"/>
        <w:ind w:left="0" w:right="0"/>
        <w:rPr>
          <w:i/>
          <w:sz w:val="24"/>
          <w:szCs w:val="24"/>
        </w:rPr>
      </w:pPr>
      <w:r>
        <w:rPr>
          <w:sz w:val="24"/>
          <w:szCs w:val="24"/>
        </w:rPr>
        <w:t>Пропускна здатність розподіляється</w:t>
      </w:r>
      <w:r w:rsidR="008B26C6">
        <w:rPr>
          <w:sz w:val="24"/>
          <w:szCs w:val="24"/>
          <w:lang w:val="en-US"/>
        </w:rPr>
        <w:t xml:space="preserve"> </w:t>
      </w:r>
      <w:r w:rsidR="008B26C6">
        <w:rPr>
          <w:sz w:val="24"/>
          <w:szCs w:val="24"/>
        </w:rPr>
        <w:t xml:space="preserve">незалежним органом, яким може бути менеджер інфраструктури, </w:t>
      </w:r>
      <w:r w:rsidR="008B26C6">
        <w:rPr>
          <w:i/>
          <w:sz w:val="24"/>
          <w:szCs w:val="24"/>
        </w:rPr>
        <w:t>за умови, що він цілком незалежний від залізничних підприємств.</w:t>
      </w:r>
    </w:p>
    <w:p w:rsidR="008B26C6" w:rsidRDefault="008B26C6" w:rsidP="00C17F45">
      <w:pPr>
        <w:pStyle w:val="Directive2colomns"/>
        <w:spacing w:before="0" w:after="0"/>
        <w:ind w:left="0" w:right="0"/>
        <w:rPr>
          <w:i/>
          <w:sz w:val="24"/>
          <w:szCs w:val="24"/>
        </w:rPr>
      </w:pPr>
    </w:p>
    <w:p w:rsidR="008B26C6" w:rsidRDefault="008B26C6" w:rsidP="00C17F45">
      <w:pPr>
        <w:pStyle w:val="Directive2colomns"/>
        <w:spacing w:before="0" w:after="0"/>
        <w:ind w:left="0" w:right="0"/>
        <w:rPr>
          <w:sz w:val="24"/>
          <w:szCs w:val="24"/>
        </w:rPr>
      </w:pPr>
      <w:r>
        <w:rPr>
          <w:sz w:val="24"/>
          <w:szCs w:val="24"/>
        </w:rPr>
        <w:t>Для забезпечення тісної співпраці директива, серед іншого, передбачає створення організації для координації, на міжнародному рівні, розподілення пропускної здатності на різних мережах. Це може включати встановлення міжнародних маршрутів для потягів.</w:t>
      </w:r>
    </w:p>
    <w:p w:rsidR="008B26C6" w:rsidRDefault="008B26C6" w:rsidP="00C17F45">
      <w:pPr>
        <w:pStyle w:val="Directive2colomns"/>
        <w:spacing w:before="0" w:after="0"/>
        <w:ind w:left="0" w:right="0"/>
        <w:rPr>
          <w:sz w:val="24"/>
          <w:szCs w:val="24"/>
        </w:rPr>
      </w:pPr>
    </w:p>
    <w:p w:rsidR="00445FFB" w:rsidRDefault="008B26C6" w:rsidP="00C17F45">
      <w:pPr>
        <w:pStyle w:val="Directive2colomns"/>
        <w:spacing w:before="0" w:after="0"/>
        <w:ind w:left="0" w:right="0"/>
        <w:rPr>
          <w:sz w:val="24"/>
          <w:szCs w:val="24"/>
        </w:rPr>
      </w:pPr>
      <w:r>
        <w:rPr>
          <w:i/>
          <w:sz w:val="24"/>
          <w:szCs w:val="24"/>
        </w:rPr>
        <w:t xml:space="preserve">Залізничне підприємство та менеджер інфраструктури можуть укласти рамкову угоду, яка не виключає використання інфраструктури іншими залізничними підприємствами і може змінюватися. </w:t>
      </w:r>
      <w:r w:rsidRPr="008B26C6">
        <w:rPr>
          <w:sz w:val="24"/>
          <w:szCs w:val="24"/>
        </w:rPr>
        <w:t xml:space="preserve">Угода не </w:t>
      </w:r>
      <w:r w:rsidR="00445FFB" w:rsidRPr="00445FFB">
        <w:rPr>
          <w:sz w:val="24"/>
          <w:szCs w:val="24"/>
        </w:rPr>
        <w:t>повинна детально визначати  маршрут руху потягу, проте має задовольняти законні комерційні потреби заявника.</w:t>
      </w:r>
      <w:r w:rsidR="00445FFB">
        <w:rPr>
          <w:sz w:val="24"/>
          <w:szCs w:val="24"/>
        </w:rPr>
        <w:t xml:space="preserve"> Загалом, рамкова угода діє протягом п’ятирічного періоду і може подовжуватися на період, який дорівнює її початковій тривалості. Проте у випадку перевезень, для яких використовується спеціалізована інфраструктура, рамкова угода може укладатися на період в 15 років і може подовжуватися лише у виняткових випадках.</w:t>
      </w:r>
    </w:p>
    <w:p w:rsidR="00445FFB" w:rsidRDefault="00445FFB" w:rsidP="00C17F45">
      <w:pPr>
        <w:pStyle w:val="Directive2colomns"/>
        <w:spacing w:before="0" w:after="0"/>
        <w:ind w:left="0" w:right="0"/>
        <w:rPr>
          <w:sz w:val="24"/>
          <w:szCs w:val="24"/>
        </w:rPr>
      </w:pPr>
    </w:p>
    <w:p w:rsidR="00445FFB" w:rsidRDefault="00445FFB" w:rsidP="00C17F45">
      <w:pPr>
        <w:pStyle w:val="Directive2colomns"/>
        <w:spacing w:before="0" w:after="0"/>
        <w:ind w:left="0" w:right="0"/>
        <w:rPr>
          <w:sz w:val="24"/>
          <w:szCs w:val="24"/>
        </w:rPr>
      </w:pPr>
      <w:r>
        <w:rPr>
          <w:sz w:val="24"/>
          <w:szCs w:val="24"/>
        </w:rPr>
        <w:t>Директива визначає графік виконання процесу розподілення пропускної здатності та описує, як залізничні підприємства повинні подавати заявки на використання інфраструктури.</w:t>
      </w:r>
    </w:p>
    <w:p w:rsidR="00445FFB" w:rsidRDefault="00445FFB" w:rsidP="00C17F45">
      <w:pPr>
        <w:pStyle w:val="Directive2colomns"/>
        <w:spacing w:before="0" w:after="0"/>
        <w:ind w:left="0" w:right="0"/>
        <w:rPr>
          <w:sz w:val="24"/>
          <w:szCs w:val="24"/>
        </w:rPr>
      </w:pPr>
    </w:p>
    <w:p w:rsidR="00445FFB" w:rsidRDefault="00445FFB" w:rsidP="00C17F45">
      <w:pPr>
        <w:pStyle w:val="Directive2colomns"/>
        <w:spacing w:before="0" w:after="0"/>
        <w:ind w:left="0" w:right="0"/>
        <w:rPr>
          <w:sz w:val="24"/>
          <w:szCs w:val="24"/>
        </w:rPr>
      </w:pPr>
      <w:r>
        <w:rPr>
          <w:sz w:val="24"/>
          <w:szCs w:val="24"/>
        </w:rPr>
        <w:t xml:space="preserve">Менеджери інфраструктури повинні робити все можливе для задоволення всіх запитів на пропускну здатність та забезпечення найкращим чином, наскільки це можливо, всіх вимог. За винятком особливих ситуацій (спеціальні рамкові угоди, нестача пропускної здатності або спеціалізована інфраструктура), жодному перевезенню чи підприємству не повинен надаватися пріоритет у рамках процесу складання графіку та координації. </w:t>
      </w:r>
    </w:p>
    <w:p w:rsidR="00445FFB" w:rsidRDefault="00445FFB" w:rsidP="00C17F45">
      <w:pPr>
        <w:pStyle w:val="Directive2colomns"/>
        <w:spacing w:before="0" w:after="0"/>
        <w:ind w:left="0" w:right="0"/>
        <w:rPr>
          <w:i/>
          <w:sz w:val="24"/>
          <w:szCs w:val="24"/>
        </w:rPr>
      </w:pPr>
      <w:r>
        <w:rPr>
          <w:i/>
          <w:sz w:val="24"/>
          <w:szCs w:val="24"/>
        </w:rPr>
        <w:lastRenderedPageBreak/>
        <w:t>Менеджери інфраструктури, які не можуть задовольнити всі запити на пропускну здатність, повинні оголосити про перевантаження відповідної ділянки. Тоді вони повинні виконати аналіз пропускної здатності для визначення обмежень пропускної здатності та запропонувати альтернативи.</w:t>
      </w:r>
    </w:p>
    <w:p w:rsidR="00445FFB" w:rsidRDefault="00445FFB" w:rsidP="00C17F45">
      <w:pPr>
        <w:pStyle w:val="Directive2colomns"/>
        <w:spacing w:before="0" w:after="0"/>
        <w:ind w:left="0" w:right="0"/>
        <w:rPr>
          <w:i/>
          <w:sz w:val="24"/>
          <w:szCs w:val="24"/>
        </w:rPr>
      </w:pPr>
    </w:p>
    <w:p w:rsidR="00445FFB" w:rsidRDefault="006C4829" w:rsidP="00C17F45">
      <w:pPr>
        <w:pStyle w:val="Directive2colomns"/>
        <w:spacing w:before="0" w:after="0"/>
        <w:ind w:left="0" w:right="0"/>
        <w:rPr>
          <w:sz w:val="24"/>
          <w:szCs w:val="24"/>
        </w:rPr>
      </w:pPr>
      <w:r>
        <w:rPr>
          <w:sz w:val="24"/>
          <w:szCs w:val="24"/>
        </w:rPr>
        <w:t>Протягом шести місяців після завершення аналізу пропускної здатності менеджер інфраструктури повинен розробити план оптимізації пропускної здатності.</w:t>
      </w:r>
    </w:p>
    <w:p w:rsidR="006C4829" w:rsidRDefault="006C4829" w:rsidP="00C17F45">
      <w:pPr>
        <w:pStyle w:val="Directive2colomns"/>
        <w:spacing w:before="0" w:after="0"/>
        <w:ind w:left="0" w:right="0"/>
        <w:rPr>
          <w:sz w:val="24"/>
          <w:szCs w:val="24"/>
        </w:rPr>
      </w:pPr>
    </w:p>
    <w:p w:rsidR="006C4829" w:rsidRDefault="006C4829" w:rsidP="00C17F45">
      <w:pPr>
        <w:pStyle w:val="Directive2colomns"/>
        <w:spacing w:before="0" w:after="0"/>
        <w:ind w:left="0" w:right="0"/>
        <w:rPr>
          <w:sz w:val="24"/>
          <w:szCs w:val="24"/>
        </w:rPr>
      </w:pPr>
      <w:r>
        <w:rPr>
          <w:sz w:val="24"/>
          <w:szCs w:val="24"/>
        </w:rPr>
        <w:t xml:space="preserve">Менеджери інфраструктури визначають умови використання маршрутів потягів. У випадку перевантаженої інфраструктури менеджер інфраструктури може вимагати </w:t>
      </w:r>
      <w:r w:rsidRPr="006C4829">
        <w:rPr>
          <w:sz w:val="24"/>
          <w:szCs w:val="24"/>
        </w:rPr>
        <w:t xml:space="preserve">відмови від </w:t>
      </w:r>
      <w:r>
        <w:rPr>
          <w:sz w:val="24"/>
          <w:szCs w:val="24"/>
        </w:rPr>
        <w:t xml:space="preserve">будь-якого </w:t>
      </w:r>
      <w:r w:rsidRPr="006C4829">
        <w:rPr>
          <w:sz w:val="24"/>
          <w:szCs w:val="24"/>
        </w:rPr>
        <w:t>маршруту руху який протягом щонайменше місяця використовувався менше, ніж визначено граничною квотою, яку записано у Порядку користування залізницею.</w:t>
      </w:r>
    </w:p>
    <w:p w:rsidR="006C4829" w:rsidRDefault="006C4829" w:rsidP="00C17F45">
      <w:pPr>
        <w:pStyle w:val="Directive2colomns"/>
        <w:spacing w:before="0" w:after="0"/>
        <w:ind w:left="0" w:right="0"/>
        <w:rPr>
          <w:sz w:val="24"/>
          <w:szCs w:val="24"/>
        </w:rPr>
      </w:pPr>
    </w:p>
    <w:p w:rsidR="006C4829" w:rsidRDefault="006C4829" w:rsidP="00C17F45">
      <w:pPr>
        <w:pStyle w:val="Directive2colomns"/>
        <w:spacing w:before="0" w:after="0"/>
        <w:ind w:left="0" w:right="0"/>
        <w:rPr>
          <w:sz w:val="24"/>
          <w:szCs w:val="24"/>
        </w:rPr>
      </w:pPr>
      <w:r>
        <w:rPr>
          <w:sz w:val="24"/>
          <w:szCs w:val="24"/>
        </w:rPr>
        <w:t>Директива передбачає варіант апеляційної процедури у випадку будь-якої незгоди з розподіленням пропускної здатності.</w:t>
      </w:r>
    </w:p>
    <w:p w:rsidR="006C4829" w:rsidRDefault="006C4829" w:rsidP="00C17F45">
      <w:pPr>
        <w:pStyle w:val="Directive2colomns"/>
        <w:spacing w:before="0" w:after="0"/>
        <w:ind w:left="0" w:right="0"/>
        <w:rPr>
          <w:sz w:val="24"/>
          <w:szCs w:val="24"/>
        </w:rPr>
      </w:pPr>
    </w:p>
    <w:p w:rsidR="006C4829" w:rsidRDefault="006C4829" w:rsidP="00C17F45">
      <w:pPr>
        <w:pStyle w:val="Directive2colomns"/>
        <w:spacing w:before="0" w:after="0"/>
        <w:ind w:left="0" w:right="0"/>
        <w:rPr>
          <w:sz w:val="24"/>
          <w:szCs w:val="24"/>
        </w:rPr>
      </w:pPr>
      <w:r>
        <w:rPr>
          <w:b/>
          <w:sz w:val="24"/>
          <w:szCs w:val="24"/>
        </w:rPr>
        <w:t>Регуляторні органи</w:t>
      </w:r>
    </w:p>
    <w:p w:rsidR="006C4829" w:rsidRDefault="006C4829" w:rsidP="00C17F45">
      <w:pPr>
        <w:pStyle w:val="Directive2colomns"/>
        <w:spacing w:before="0" w:after="0"/>
        <w:ind w:left="0" w:right="0"/>
        <w:rPr>
          <w:sz w:val="24"/>
          <w:szCs w:val="24"/>
        </w:rPr>
      </w:pPr>
    </w:p>
    <w:p w:rsidR="006C4829" w:rsidRPr="006C4829" w:rsidRDefault="006C4829" w:rsidP="00C17F45">
      <w:pPr>
        <w:pStyle w:val="Directive2colomns"/>
        <w:spacing w:before="0" w:after="0"/>
        <w:ind w:left="0" w:right="0"/>
        <w:rPr>
          <w:sz w:val="24"/>
          <w:szCs w:val="24"/>
        </w:rPr>
      </w:pPr>
      <w:r>
        <w:rPr>
          <w:sz w:val="24"/>
          <w:szCs w:val="24"/>
        </w:rPr>
        <w:t>Д</w:t>
      </w:r>
      <w:r w:rsidRPr="006C4829">
        <w:rPr>
          <w:sz w:val="24"/>
          <w:szCs w:val="24"/>
        </w:rPr>
        <w:t xml:space="preserve">ержави-члени мають заснувати </w:t>
      </w:r>
      <w:r>
        <w:rPr>
          <w:sz w:val="24"/>
          <w:szCs w:val="24"/>
        </w:rPr>
        <w:t>регуляторний</w:t>
      </w:r>
      <w:r w:rsidRPr="006C4829">
        <w:rPr>
          <w:sz w:val="24"/>
          <w:szCs w:val="24"/>
        </w:rPr>
        <w:t xml:space="preserve"> орган</w:t>
      </w:r>
      <w:r>
        <w:rPr>
          <w:sz w:val="24"/>
          <w:szCs w:val="24"/>
        </w:rPr>
        <w:t xml:space="preserve">, який </w:t>
      </w:r>
      <w:r w:rsidRPr="006C4829">
        <w:rPr>
          <w:sz w:val="24"/>
          <w:szCs w:val="24"/>
        </w:rPr>
        <w:t xml:space="preserve">має бути незалежним від </w:t>
      </w:r>
      <w:r>
        <w:rPr>
          <w:sz w:val="24"/>
          <w:szCs w:val="24"/>
        </w:rPr>
        <w:t>менеджерів інфраструктури</w:t>
      </w:r>
      <w:r w:rsidRPr="006C4829">
        <w:rPr>
          <w:sz w:val="24"/>
          <w:szCs w:val="24"/>
        </w:rPr>
        <w:t>,</w:t>
      </w:r>
      <w:r>
        <w:rPr>
          <w:sz w:val="24"/>
          <w:szCs w:val="24"/>
        </w:rPr>
        <w:t xml:space="preserve"> залізничних підприємств або будь-яких інших органів, залучених до підписання контракту на надання громадських перевезень. </w:t>
      </w:r>
      <w:r w:rsidRPr="006C4829">
        <w:rPr>
          <w:sz w:val="24"/>
          <w:szCs w:val="24"/>
        </w:rPr>
        <w:t xml:space="preserve"> </w:t>
      </w:r>
      <w:r>
        <w:rPr>
          <w:i/>
          <w:sz w:val="24"/>
          <w:szCs w:val="24"/>
        </w:rPr>
        <w:t xml:space="preserve">Будь-яке підприємство, яке вважає, що до нього поставилися несправедливо або </w:t>
      </w:r>
      <w:proofErr w:type="spellStart"/>
      <w:r>
        <w:rPr>
          <w:i/>
          <w:sz w:val="24"/>
          <w:szCs w:val="24"/>
        </w:rPr>
        <w:t>дискримінаційно</w:t>
      </w:r>
      <w:proofErr w:type="spellEnd"/>
      <w:r>
        <w:rPr>
          <w:i/>
          <w:sz w:val="24"/>
          <w:szCs w:val="24"/>
        </w:rPr>
        <w:t>, може звернутися з заявою до цього органу</w:t>
      </w:r>
      <w:r>
        <w:rPr>
          <w:sz w:val="24"/>
          <w:szCs w:val="24"/>
        </w:rPr>
        <w:t xml:space="preserve">. Від регуляторного органу вимагається виправити ситуаціє на підставі інформації, яку він може отримати від залучених сторін. Його рішення повинно підлягати судовому розгляду у випадку запиту зі сторони зацікавлених сторін. </w:t>
      </w:r>
    </w:p>
    <w:p w:rsidR="006C4829" w:rsidRDefault="006C4829" w:rsidP="00C17F45">
      <w:pPr>
        <w:pStyle w:val="Directive2colomns"/>
        <w:spacing w:before="0" w:after="0"/>
        <w:ind w:left="0" w:right="0"/>
        <w:rPr>
          <w:sz w:val="24"/>
          <w:szCs w:val="24"/>
        </w:rPr>
      </w:pPr>
    </w:p>
    <w:p w:rsidR="001A1CEB" w:rsidRDefault="006C4829" w:rsidP="00F7517C">
      <w:pPr>
        <w:pStyle w:val="Directive2colomns"/>
        <w:spacing w:before="0" w:after="0"/>
        <w:ind w:left="0" w:right="0"/>
        <w:rPr>
          <w:b/>
          <w:sz w:val="24"/>
          <w:szCs w:val="24"/>
        </w:rPr>
      </w:pPr>
      <w:r>
        <w:rPr>
          <w:b/>
          <w:sz w:val="24"/>
          <w:szCs w:val="24"/>
        </w:rPr>
        <w:t>Супутні законодавчі документи</w:t>
      </w:r>
    </w:p>
    <w:p w:rsidR="006C4829" w:rsidRDefault="006C4829" w:rsidP="00F7517C">
      <w:pPr>
        <w:pStyle w:val="Directive2colomns"/>
        <w:spacing w:before="0" w:after="0"/>
        <w:ind w:left="0" w:right="0"/>
        <w:rPr>
          <w:b/>
          <w:sz w:val="24"/>
          <w:szCs w:val="24"/>
        </w:rPr>
      </w:pPr>
    </w:p>
    <w:p w:rsidR="006C4829" w:rsidRDefault="006C4829" w:rsidP="006C4829">
      <w:pPr>
        <w:pStyle w:val="Directive2colomns"/>
        <w:numPr>
          <w:ilvl w:val="0"/>
          <w:numId w:val="16"/>
        </w:numPr>
        <w:spacing w:before="0" w:after="0"/>
        <w:ind w:right="0"/>
        <w:rPr>
          <w:sz w:val="24"/>
          <w:szCs w:val="24"/>
        </w:rPr>
      </w:pPr>
      <w:r>
        <w:rPr>
          <w:sz w:val="24"/>
          <w:szCs w:val="24"/>
        </w:rPr>
        <w:t>Директива Ради 91/440/ЄЕ</w:t>
      </w:r>
      <w:r w:rsidR="00E12764">
        <w:rPr>
          <w:sz w:val="24"/>
          <w:szCs w:val="24"/>
        </w:rPr>
        <w:t>С від 29 липня 1991р. про розвиток залізниць Співтовариства</w:t>
      </w:r>
    </w:p>
    <w:p w:rsidR="00E12764" w:rsidRPr="00E12764" w:rsidRDefault="00E12764" w:rsidP="00737DA8">
      <w:pPr>
        <w:pStyle w:val="Directive2colomns"/>
        <w:numPr>
          <w:ilvl w:val="0"/>
          <w:numId w:val="16"/>
        </w:numPr>
        <w:spacing w:before="0" w:after="0"/>
        <w:ind w:right="0"/>
        <w:rPr>
          <w:sz w:val="24"/>
          <w:szCs w:val="24"/>
          <w:lang w:val="en-GB"/>
        </w:rPr>
      </w:pPr>
      <w:r w:rsidRPr="00E12764">
        <w:rPr>
          <w:sz w:val="24"/>
          <w:szCs w:val="24"/>
        </w:rPr>
        <w:t xml:space="preserve">Директива 2004/49/ЄС Європейського парламенту та Ради від 29 квітня 2004р. </w:t>
      </w:r>
      <w:r w:rsidRPr="00E12764">
        <w:rPr>
          <w:bCs/>
          <w:sz w:val="24"/>
          <w:szCs w:val="24"/>
          <w:lang w:val="en-GB"/>
        </w:rPr>
        <w:t>"</w:t>
      </w:r>
      <w:proofErr w:type="spellStart"/>
      <w:r w:rsidRPr="00E12764">
        <w:rPr>
          <w:bCs/>
          <w:sz w:val="24"/>
          <w:szCs w:val="24"/>
          <w:lang w:val="en-GB"/>
        </w:rPr>
        <w:t>Про</w:t>
      </w:r>
      <w:proofErr w:type="spellEnd"/>
      <w:r w:rsidRPr="00E12764">
        <w:rPr>
          <w:bCs/>
          <w:sz w:val="24"/>
          <w:szCs w:val="24"/>
          <w:lang w:val="en-GB"/>
        </w:rPr>
        <w:t xml:space="preserve"> </w:t>
      </w:r>
      <w:proofErr w:type="spellStart"/>
      <w:r w:rsidRPr="00E12764">
        <w:rPr>
          <w:bCs/>
          <w:sz w:val="24"/>
          <w:szCs w:val="24"/>
          <w:lang w:val="en-GB"/>
        </w:rPr>
        <w:t>безпеку</w:t>
      </w:r>
      <w:proofErr w:type="spellEnd"/>
      <w:r w:rsidRPr="00E12764">
        <w:rPr>
          <w:bCs/>
          <w:sz w:val="24"/>
          <w:szCs w:val="24"/>
          <w:lang w:val="en-GB"/>
        </w:rPr>
        <w:t xml:space="preserve"> </w:t>
      </w:r>
      <w:proofErr w:type="spellStart"/>
      <w:r w:rsidRPr="00E12764">
        <w:rPr>
          <w:bCs/>
          <w:sz w:val="24"/>
          <w:szCs w:val="24"/>
          <w:lang w:val="en-GB"/>
        </w:rPr>
        <w:t>залізниць</w:t>
      </w:r>
      <w:proofErr w:type="spellEnd"/>
      <w:r w:rsidRPr="00E12764">
        <w:rPr>
          <w:bCs/>
          <w:sz w:val="24"/>
          <w:szCs w:val="24"/>
          <w:lang w:val="en-GB"/>
        </w:rPr>
        <w:t xml:space="preserve"> у </w:t>
      </w:r>
      <w:proofErr w:type="spellStart"/>
      <w:r w:rsidRPr="00E12764">
        <w:rPr>
          <w:bCs/>
          <w:sz w:val="24"/>
          <w:szCs w:val="24"/>
          <w:lang w:val="en-GB"/>
        </w:rPr>
        <w:t>Співтоваристві</w:t>
      </w:r>
      <w:proofErr w:type="spellEnd"/>
      <w:r w:rsidRPr="00E12764">
        <w:rPr>
          <w:bCs/>
          <w:sz w:val="24"/>
          <w:szCs w:val="24"/>
          <w:lang w:val="en-GB"/>
        </w:rPr>
        <w:t xml:space="preserve">, </w:t>
      </w:r>
      <w:proofErr w:type="spellStart"/>
      <w:r w:rsidRPr="00E12764">
        <w:rPr>
          <w:bCs/>
          <w:sz w:val="24"/>
          <w:szCs w:val="24"/>
          <w:lang w:val="en-GB"/>
        </w:rPr>
        <w:t>яка</w:t>
      </w:r>
      <w:proofErr w:type="spellEnd"/>
      <w:r w:rsidRPr="00E12764">
        <w:rPr>
          <w:bCs/>
          <w:sz w:val="24"/>
          <w:szCs w:val="24"/>
          <w:lang w:val="en-GB"/>
        </w:rPr>
        <w:t xml:space="preserve"> </w:t>
      </w:r>
      <w:proofErr w:type="spellStart"/>
      <w:r w:rsidRPr="00E12764">
        <w:rPr>
          <w:bCs/>
          <w:sz w:val="24"/>
          <w:szCs w:val="24"/>
          <w:lang w:val="en-GB"/>
        </w:rPr>
        <w:t>вносить</w:t>
      </w:r>
      <w:proofErr w:type="spellEnd"/>
      <w:r w:rsidRPr="00E12764">
        <w:rPr>
          <w:bCs/>
          <w:sz w:val="24"/>
          <w:szCs w:val="24"/>
          <w:lang w:val="en-GB"/>
        </w:rPr>
        <w:t xml:space="preserve"> </w:t>
      </w:r>
      <w:proofErr w:type="spellStart"/>
      <w:r w:rsidRPr="00E12764">
        <w:rPr>
          <w:bCs/>
          <w:sz w:val="24"/>
          <w:szCs w:val="24"/>
          <w:lang w:val="en-GB"/>
        </w:rPr>
        <w:t>зміни</w:t>
      </w:r>
      <w:proofErr w:type="spellEnd"/>
      <w:r w:rsidRPr="00E12764">
        <w:rPr>
          <w:bCs/>
          <w:sz w:val="24"/>
          <w:szCs w:val="24"/>
          <w:lang w:val="en-GB"/>
        </w:rPr>
        <w:t xml:space="preserve"> </w:t>
      </w:r>
      <w:proofErr w:type="spellStart"/>
      <w:r w:rsidRPr="00E12764">
        <w:rPr>
          <w:bCs/>
          <w:sz w:val="24"/>
          <w:szCs w:val="24"/>
          <w:lang w:val="en-GB"/>
        </w:rPr>
        <w:t>до</w:t>
      </w:r>
      <w:proofErr w:type="spellEnd"/>
      <w:r w:rsidRPr="00E12764">
        <w:rPr>
          <w:bCs/>
          <w:sz w:val="24"/>
          <w:szCs w:val="24"/>
          <w:lang w:val="en-GB"/>
        </w:rPr>
        <w:t xml:space="preserve"> </w:t>
      </w:r>
      <w:proofErr w:type="spellStart"/>
      <w:r w:rsidRPr="00E12764">
        <w:rPr>
          <w:bCs/>
          <w:sz w:val="24"/>
          <w:szCs w:val="24"/>
          <w:lang w:val="en-GB"/>
        </w:rPr>
        <w:t>Директиви</w:t>
      </w:r>
      <w:proofErr w:type="spellEnd"/>
      <w:r w:rsidRPr="00E12764">
        <w:rPr>
          <w:bCs/>
          <w:sz w:val="24"/>
          <w:szCs w:val="24"/>
          <w:lang w:val="en-GB"/>
        </w:rPr>
        <w:t xml:space="preserve"> </w:t>
      </w:r>
      <w:proofErr w:type="spellStart"/>
      <w:r w:rsidRPr="00E12764">
        <w:rPr>
          <w:bCs/>
          <w:sz w:val="24"/>
          <w:szCs w:val="24"/>
          <w:lang w:val="en-GB"/>
        </w:rPr>
        <w:t>Ради</w:t>
      </w:r>
      <w:proofErr w:type="spellEnd"/>
      <w:r w:rsidRPr="00E12764">
        <w:rPr>
          <w:bCs/>
          <w:sz w:val="24"/>
          <w:szCs w:val="24"/>
          <w:lang w:val="en-GB"/>
        </w:rPr>
        <w:t xml:space="preserve"> 95/18/ЄС </w:t>
      </w:r>
      <w:proofErr w:type="spellStart"/>
      <w:r w:rsidRPr="00E12764">
        <w:rPr>
          <w:bCs/>
          <w:sz w:val="24"/>
          <w:szCs w:val="24"/>
          <w:lang w:val="en-GB"/>
        </w:rPr>
        <w:t>про</w:t>
      </w:r>
      <w:proofErr w:type="spellEnd"/>
      <w:r w:rsidRPr="00E12764">
        <w:rPr>
          <w:bCs/>
          <w:sz w:val="24"/>
          <w:szCs w:val="24"/>
          <w:lang w:val="en-GB"/>
        </w:rPr>
        <w:t xml:space="preserve"> </w:t>
      </w:r>
      <w:proofErr w:type="spellStart"/>
      <w:r w:rsidRPr="00E12764">
        <w:rPr>
          <w:bCs/>
          <w:sz w:val="24"/>
          <w:szCs w:val="24"/>
          <w:lang w:val="en-GB"/>
        </w:rPr>
        <w:t>ліцензування</w:t>
      </w:r>
      <w:proofErr w:type="spellEnd"/>
      <w:r w:rsidRPr="00E12764">
        <w:rPr>
          <w:bCs/>
          <w:sz w:val="24"/>
          <w:szCs w:val="24"/>
          <w:lang w:val="en-GB"/>
        </w:rPr>
        <w:t xml:space="preserve"> </w:t>
      </w:r>
      <w:proofErr w:type="spellStart"/>
      <w:r w:rsidRPr="00E12764">
        <w:rPr>
          <w:bCs/>
          <w:sz w:val="24"/>
          <w:szCs w:val="24"/>
          <w:lang w:val="en-GB"/>
        </w:rPr>
        <w:t>підприємств</w:t>
      </w:r>
      <w:proofErr w:type="spellEnd"/>
      <w:r w:rsidRPr="00E12764">
        <w:rPr>
          <w:bCs/>
          <w:sz w:val="24"/>
          <w:szCs w:val="24"/>
          <w:lang w:val="en-GB"/>
        </w:rPr>
        <w:t xml:space="preserve"> </w:t>
      </w:r>
      <w:proofErr w:type="spellStart"/>
      <w:r w:rsidRPr="00E12764">
        <w:rPr>
          <w:bCs/>
          <w:sz w:val="24"/>
          <w:szCs w:val="24"/>
          <w:lang w:val="en-GB"/>
        </w:rPr>
        <w:t>залізничного</w:t>
      </w:r>
      <w:proofErr w:type="spellEnd"/>
      <w:r w:rsidRPr="00E12764">
        <w:rPr>
          <w:bCs/>
          <w:sz w:val="24"/>
          <w:szCs w:val="24"/>
          <w:lang w:val="en-GB"/>
        </w:rPr>
        <w:t xml:space="preserve"> </w:t>
      </w:r>
      <w:proofErr w:type="spellStart"/>
      <w:r w:rsidRPr="00E12764">
        <w:rPr>
          <w:bCs/>
          <w:sz w:val="24"/>
          <w:szCs w:val="24"/>
          <w:lang w:val="en-GB"/>
        </w:rPr>
        <w:t>транспорту</w:t>
      </w:r>
      <w:proofErr w:type="spellEnd"/>
      <w:r w:rsidRPr="00E12764">
        <w:rPr>
          <w:bCs/>
          <w:sz w:val="24"/>
          <w:szCs w:val="24"/>
          <w:lang w:val="en-GB"/>
        </w:rPr>
        <w:t xml:space="preserve"> </w:t>
      </w:r>
      <w:proofErr w:type="spellStart"/>
      <w:r w:rsidRPr="00E12764">
        <w:rPr>
          <w:bCs/>
          <w:sz w:val="24"/>
          <w:szCs w:val="24"/>
          <w:lang w:val="en-GB"/>
        </w:rPr>
        <w:t>та</w:t>
      </w:r>
      <w:proofErr w:type="spellEnd"/>
      <w:r w:rsidRPr="00E12764">
        <w:rPr>
          <w:bCs/>
          <w:sz w:val="24"/>
          <w:szCs w:val="24"/>
          <w:lang w:val="en-GB"/>
        </w:rPr>
        <w:t xml:space="preserve"> </w:t>
      </w:r>
      <w:proofErr w:type="spellStart"/>
      <w:r w:rsidRPr="00E12764">
        <w:rPr>
          <w:bCs/>
          <w:sz w:val="24"/>
          <w:szCs w:val="24"/>
          <w:lang w:val="en-GB"/>
        </w:rPr>
        <w:t>до</w:t>
      </w:r>
      <w:proofErr w:type="spellEnd"/>
      <w:r w:rsidRPr="00E12764">
        <w:rPr>
          <w:bCs/>
          <w:sz w:val="24"/>
          <w:szCs w:val="24"/>
          <w:lang w:val="en-GB"/>
        </w:rPr>
        <w:t xml:space="preserve"> </w:t>
      </w:r>
      <w:proofErr w:type="spellStart"/>
      <w:r w:rsidRPr="00E12764">
        <w:rPr>
          <w:bCs/>
          <w:sz w:val="24"/>
          <w:szCs w:val="24"/>
          <w:lang w:val="en-GB"/>
        </w:rPr>
        <w:t>Директиви</w:t>
      </w:r>
      <w:proofErr w:type="spellEnd"/>
      <w:r w:rsidRPr="00E12764">
        <w:rPr>
          <w:bCs/>
          <w:sz w:val="24"/>
          <w:szCs w:val="24"/>
          <w:lang w:val="en-GB"/>
        </w:rPr>
        <w:t xml:space="preserve"> 2001/14/ЄС </w:t>
      </w:r>
      <w:proofErr w:type="spellStart"/>
      <w:r w:rsidRPr="00E12764">
        <w:rPr>
          <w:bCs/>
          <w:sz w:val="24"/>
          <w:szCs w:val="24"/>
          <w:lang w:val="en-GB"/>
        </w:rPr>
        <w:t>про</w:t>
      </w:r>
      <w:proofErr w:type="spellEnd"/>
      <w:r w:rsidRPr="00E12764">
        <w:rPr>
          <w:bCs/>
          <w:sz w:val="24"/>
          <w:szCs w:val="24"/>
          <w:lang w:val="en-GB"/>
        </w:rPr>
        <w:t xml:space="preserve"> </w:t>
      </w:r>
      <w:proofErr w:type="spellStart"/>
      <w:r w:rsidRPr="00E12764">
        <w:rPr>
          <w:bCs/>
          <w:sz w:val="24"/>
          <w:szCs w:val="24"/>
          <w:lang w:val="en-GB"/>
        </w:rPr>
        <w:t>розподіл</w:t>
      </w:r>
      <w:proofErr w:type="spellEnd"/>
      <w:r w:rsidRPr="00E12764">
        <w:rPr>
          <w:bCs/>
          <w:sz w:val="24"/>
          <w:szCs w:val="24"/>
          <w:lang w:val="en-GB"/>
        </w:rPr>
        <w:t xml:space="preserve"> потужностей </w:t>
      </w:r>
      <w:proofErr w:type="spellStart"/>
      <w:r w:rsidRPr="00E12764">
        <w:rPr>
          <w:bCs/>
          <w:sz w:val="24"/>
          <w:szCs w:val="24"/>
          <w:lang w:val="en-GB"/>
        </w:rPr>
        <w:t>залізничних</w:t>
      </w:r>
      <w:proofErr w:type="spellEnd"/>
      <w:r w:rsidRPr="00E12764">
        <w:rPr>
          <w:bCs/>
          <w:sz w:val="24"/>
          <w:szCs w:val="24"/>
          <w:lang w:val="en-GB"/>
        </w:rPr>
        <w:t xml:space="preserve"> </w:t>
      </w:r>
      <w:proofErr w:type="spellStart"/>
      <w:r w:rsidRPr="00E12764">
        <w:rPr>
          <w:bCs/>
          <w:sz w:val="24"/>
          <w:szCs w:val="24"/>
          <w:lang w:val="en-GB"/>
        </w:rPr>
        <w:t>інфраструктур</w:t>
      </w:r>
      <w:proofErr w:type="spellEnd"/>
      <w:r w:rsidRPr="00E12764">
        <w:rPr>
          <w:bCs/>
          <w:sz w:val="24"/>
          <w:szCs w:val="24"/>
          <w:lang w:val="en-GB"/>
        </w:rPr>
        <w:t xml:space="preserve"> </w:t>
      </w:r>
      <w:proofErr w:type="spellStart"/>
      <w:r w:rsidRPr="00E12764">
        <w:rPr>
          <w:bCs/>
          <w:sz w:val="24"/>
          <w:szCs w:val="24"/>
          <w:lang w:val="en-GB"/>
        </w:rPr>
        <w:t>та</w:t>
      </w:r>
      <w:proofErr w:type="spellEnd"/>
      <w:r w:rsidRPr="00E12764">
        <w:rPr>
          <w:bCs/>
          <w:sz w:val="24"/>
          <w:szCs w:val="24"/>
          <w:lang w:val="en-GB"/>
        </w:rPr>
        <w:t xml:space="preserve"> </w:t>
      </w:r>
      <w:proofErr w:type="spellStart"/>
      <w:r w:rsidRPr="00E12764">
        <w:rPr>
          <w:bCs/>
          <w:sz w:val="24"/>
          <w:szCs w:val="24"/>
          <w:lang w:val="en-GB"/>
        </w:rPr>
        <w:t>стягнення</w:t>
      </w:r>
      <w:proofErr w:type="spellEnd"/>
      <w:r w:rsidRPr="00E12764">
        <w:rPr>
          <w:bCs/>
          <w:sz w:val="24"/>
          <w:szCs w:val="24"/>
          <w:lang w:val="en-GB"/>
        </w:rPr>
        <w:t xml:space="preserve"> </w:t>
      </w:r>
      <w:proofErr w:type="spellStart"/>
      <w:r w:rsidRPr="00E12764">
        <w:rPr>
          <w:bCs/>
          <w:sz w:val="24"/>
          <w:szCs w:val="24"/>
          <w:lang w:val="en-GB"/>
        </w:rPr>
        <w:t>платежів</w:t>
      </w:r>
      <w:proofErr w:type="spellEnd"/>
      <w:r w:rsidRPr="00E12764">
        <w:rPr>
          <w:bCs/>
          <w:sz w:val="24"/>
          <w:szCs w:val="24"/>
          <w:lang w:val="en-GB"/>
        </w:rPr>
        <w:t xml:space="preserve"> </w:t>
      </w:r>
      <w:r w:rsidRPr="00E12764">
        <w:rPr>
          <w:bCs/>
          <w:sz w:val="24"/>
          <w:szCs w:val="24"/>
        </w:rPr>
        <w:t>з</w:t>
      </w:r>
      <w:r w:rsidRPr="00E12764">
        <w:rPr>
          <w:bCs/>
          <w:sz w:val="24"/>
          <w:szCs w:val="24"/>
          <w:lang w:val="en-GB"/>
        </w:rPr>
        <w:t xml:space="preserve">а </w:t>
      </w:r>
      <w:proofErr w:type="spellStart"/>
      <w:r w:rsidRPr="00E12764">
        <w:rPr>
          <w:bCs/>
          <w:sz w:val="24"/>
          <w:szCs w:val="24"/>
          <w:lang w:val="en-GB"/>
        </w:rPr>
        <w:t>використання</w:t>
      </w:r>
      <w:proofErr w:type="spellEnd"/>
      <w:r w:rsidRPr="00E12764">
        <w:rPr>
          <w:bCs/>
          <w:sz w:val="24"/>
          <w:szCs w:val="24"/>
          <w:lang w:val="en-GB"/>
        </w:rPr>
        <w:t xml:space="preserve"> </w:t>
      </w:r>
      <w:proofErr w:type="spellStart"/>
      <w:r w:rsidRPr="00E12764">
        <w:rPr>
          <w:bCs/>
          <w:sz w:val="24"/>
          <w:szCs w:val="24"/>
          <w:lang w:val="en-GB"/>
        </w:rPr>
        <w:t>залізничної</w:t>
      </w:r>
      <w:proofErr w:type="spellEnd"/>
      <w:r w:rsidRPr="00E12764">
        <w:rPr>
          <w:bCs/>
          <w:sz w:val="24"/>
          <w:szCs w:val="24"/>
          <w:lang w:val="en-GB"/>
        </w:rPr>
        <w:t xml:space="preserve"> </w:t>
      </w:r>
      <w:proofErr w:type="spellStart"/>
      <w:r w:rsidRPr="00E12764">
        <w:rPr>
          <w:bCs/>
          <w:sz w:val="24"/>
          <w:szCs w:val="24"/>
          <w:lang w:val="en-GB"/>
        </w:rPr>
        <w:t>інфраструктури</w:t>
      </w:r>
      <w:proofErr w:type="spellEnd"/>
      <w:r w:rsidRPr="00E12764">
        <w:rPr>
          <w:bCs/>
          <w:sz w:val="24"/>
          <w:szCs w:val="24"/>
          <w:lang w:val="en-GB"/>
        </w:rPr>
        <w:t xml:space="preserve"> </w:t>
      </w:r>
      <w:proofErr w:type="spellStart"/>
      <w:r w:rsidRPr="00E12764">
        <w:rPr>
          <w:bCs/>
          <w:sz w:val="24"/>
          <w:szCs w:val="24"/>
          <w:lang w:val="en-GB"/>
        </w:rPr>
        <w:t>та</w:t>
      </w:r>
      <w:proofErr w:type="spellEnd"/>
      <w:r w:rsidRPr="00E12764">
        <w:rPr>
          <w:bCs/>
          <w:sz w:val="24"/>
          <w:szCs w:val="24"/>
          <w:lang w:val="en-GB"/>
        </w:rPr>
        <w:t xml:space="preserve"> </w:t>
      </w:r>
      <w:proofErr w:type="spellStart"/>
      <w:r w:rsidRPr="00E12764">
        <w:rPr>
          <w:bCs/>
          <w:sz w:val="24"/>
          <w:szCs w:val="24"/>
          <w:lang w:val="en-GB"/>
        </w:rPr>
        <w:t>про</w:t>
      </w:r>
      <w:proofErr w:type="spellEnd"/>
      <w:r w:rsidRPr="00E12764">
        <w:rPr>
          <w:bCs/>
          <w:sz w:val="24"/>
          <w:szCs w:val="24"/>
          <w:lang w:val="en-GB"/>
        </w:rPr>
        <w:t xml:space="preserve"> </w:t>
      </w:r>
      <w:proofErr w:type="spellStart"/>
      <w:r w:rsidRPr="00E12764">
        <w:rPr>
          <w:bCs/>
          <w:sz w:val="24"/>
          <w:szCs w:val="24"/>
          <w:lang w:val="en-GB"/>
        </w:rPr>
        <w:t>сертифікацію</w:t>
      </w:r>
      <w:proofErr w:type="spellEnd"/>
      <w:r w:rsidRPr="00E12764">
        <w:rPr>
          <w:bCs/>
          <w:sz w:val="24"/>
          <w:szCs w:val="24"/>
          <w:lang w:val="en-GB"/>
        </w:rPr>
        <w:t xml:space="preserve"> </w:t>
      </w:r>
      <w:proofErr w:type="spellStart"/>
      <w:r w:rsidRPr="00E12764">
        <w:rPr>
          <w:bCs/>
          <w:sz w:val="24"/>
          <w:szCs w:val="24"/>
          <w:lang w:val="en-GB"/>
        </w:rPr>
        <w:t>безпеки</w:t>
      </w:r>
      <w:proofErr w:type="spellEnd"/>
      <w:r w:rsidRPr="00E12764">
        <w:rPr>
          <w:bCs/>
          <w:sz w:val="24"/>
          <w:szCs w:val="24"/>
          <w:lang w:val="en-GB"/>
        </w:rPr>
        <w:t xml:space="preserve">" </w:t>
      </w:r>
    </w:p>
    <w:p w:rsidR="00E12764" w:rsidRDefault="00E12764" w:rsidP="006C4829">
      <w:pPr>
        <w:pStyle w:val="Directive2colomns"/>
        <w:numPr>
          <w:ilvl w:val="0"/>
          <w:numId w:val="16"/>
        </w:numPr>
        <w:spacing w:before="0" w:after="0"/>
        <w:ind w:right="0"/>
        <w:rPr>
          <w:sz w:val="24"/>
          <w:szCs w:val="24"/>
        </w:rPr>
      </w:pPr>
      <w:r>
        <w:rPr>
          <w:sz w:val="24"/>
          <w:szCs w:val="24"/>
        </w:rPr>
        <w:t>Директива 2008/57/ЄС Європейського парламенту та Ради від 17 червня 2008р. про експлуатаційну сумісність залізничної системи у межах Співтовариства (текст є актуальним для ЄЕП). Ця Директива визначає положення щодо видачі дозволів на експлуатації залізничних транспортних засобів.</w:t>
      </w:r>
    </w:p>
    <w:p w:rsidR="00E12764" w:rsidRPr="00E12764" w:rsidRDefault="00E12764" w:rsidP="00E12764">
      <w:pPr>
        <w:pStyle w:val="Directive2colomns"/>
        <w:numPr>
          <w:ilvl w:val="0"/>
          <w:numId w:val="16"/>
        </w:numPr>
        <w:spacing w:after="0"/>
        <w:rPr>
          <w:sz w:val="24"/>
          <w:szCs w:val="24"/>
          <w:lang w:val="en-GB"/>
        </w:rPr>
      </w:pPr>
      <w:r>
        <w:rPr>
          <w:sz w:val="24"/>
          <w:szCs w:val="24"/>
        </w:rPr>
        <w:t xml:space="preserve">Комюніке Комісії від 17 вересня 2010р. стосовно розвитку єдиного європейського залізничного простору </w:t>
      </w:r>
      <w:r w:rsidRPr="00E12764">
        <w:rPr>
          <w:bCs/>
          <w:sz w:val="24"/>
          <w:szCs w:val="24"/>
          <w:lang w:val="en-GB"/>
        </w:rPr>
        <w:t xml:space="preserve">[COM (2010) 474 final – </w:t>
      </w:r>
      <w:r>
        <w:rPr>
          <w:bCs/>
          <w:sz w:val="24"/>
          <w:szCs w:val="24"/>
        </w:rPr>
        <w:t>в бюлетені не опубліковано</w:t>
      </w:r>
      <w:r w:rsidRPr="00E12764">
        <w:rPr>
          <w:bCs/>
          <w:sz w:val="24"/>
          <w:szCs w:val="24"/>
          <w:lang w:val="en-GB"/>
        </w:rPr>
        <w:t>].</w:t>
      </w:r>
    </w:p>
    <w:p w:rsidR="00E12764" w:rsidRPr="006C4829" w:rsidRDefault="00E12764" w:rsidP="00E12764">
      <w:pPr>
        <w:pStyle w:val="Directive2colomns"/>
        <w:spacing w:before="0" w:after="0"/>
        <w:ind w:left="720" w:right="0"/>
        <w:rPr>
          <w:sz w:val="24"/>
          <w:szCs w:val="24"/>
        </w:rPr>
      </w:pPr>
    </w:p>
    <w:p w:rsidR="00FD2B56" w:rsidRDefault="00FD2B56" w:rsidP="00F7517C">
      <w:pPr>
        <w:autoSpaceDE w:val="0"/>
        <w:autoSpaceDN w:val="0"/>
        <w:adjustRightInd w:val="0"/>
        <w:spacing w:after="0" w:line="240" w:lineRule="auto"/>
        <w:rPr>
          <w:rFonts w:ascii="Times New Roman" w:hAnsi="Times New Roman" w:cs="Times New Roman"/>
          <w:sz w:val="24"/>
          <w:szCs w:val="24"/>
          <w:lang w:val="uk-UA"/>
        </w:rPr>
      </w:pPr>
    </w:p>
    <w:p w:rsidR="00E12764" w:rsidRDefault="00E12764" w:rsidP="00F7517C">
      <w:pPr>
        <w:autoSpaceDE w:val="0"/>
        <w:autoSpaceDN w:val="0"/>
        <w:adjustRightInd w:val="0"/>
        <w:spacing w:after="0" w:line="240" w:lineRule="auto"/>
        <w:rPr>
          <w:rFonts w:ascii="Times New Roman" w:hAnsi="Times New Roman" w:cs="Times New Roman"/>
          <w:sz w:val="24"/>
          <w:szCs w:val="24"/>
          <w:lang w:val="uk-UA"/>
        </w:rPr>
      </w:pPr>
    </w:p>
    <w:p w:rsidR="00E12764" w:rsidRDefault="00E12764" w:rsidP="00F7517C">
      <w:pPr>
        <w:autoSpaceDE w:val="0"/>
        <w:autoSpaceDN w:val="0"/>
        <w:adjustRightInd w:val="0"/>
        <w:spacing w:after="0" w:line="240" w:lineRule="auto"/>
        <w:rPr>
          <w:rFonts w:ascii="Times New Roman" w:hAnsi="Times New Roman" w:cs="Times New Roman"/>
          <w:sz w:val="24"/>
          <w:szCs w:val="24"/>
          <w:lang w:val="uk-UA"/>
        </w:rPr>
      </w:pPr>
    </w:p>
    <w:p w:rsidR="00E12764" w:rsidRPr="004E3A0C" w:rsidRDefault="00E12764" w:rsidP="00F7517C">
      <w:pPr>
        <w:autoSpaceDE w:val="0"/>
        <w:autoSpaceDN w:val="0"/>
        <w:adjustRightInd w:val="0"/>
        <w:spacing w:after="0" w:line="240" w:lineRule="auto"/>
        <w:rPr>
          <w:rFonts w:ascii="Times New Roman" w:hAnsi="Times New Roman" w:cs="Times New Roman"/>
          <w:sz w:val="24"/>
          <w:szCs w:val="24"/>
          <w:lang w:val="uk-UA"/>
        </w:rPr>
      </w:pPr>
    </w:p>
    <w:p w:rsidR="00FD2B56" w:rsidRPr="004E3A0C" w:rsidRDefault="00FD2B56" w:rsidP="00E12764">
      <w:pPr>
        <w:pStyle w:val="Heading1"/>
        <w:rPr>
          <w:lang w:val="uk-UA"/>
        </w:rPr>
      </w:pPr>
      <w:bookmarkStart w:id="2" w:name="_Toc432079587"/>
      <w:r w:rsidRPr="004E3A0C">
        <w:rPr>
          <w:lang w:val="uk-UA"/>
        </w:rPr>
        <w:lastRenderedPageBreak/>
        <w:t xml:space="preserve">2 </w:t>
      </w:r>
      <w:r w:rsidR="001E5AA8" w:rsidRPr="004E3A0C">
        <w:rPr>
          <w:lang w:val="uk-UA"/>
        </w:rPr>
        <w:t>Розробка плану стратегії та імплементації</w:t>
      </w:r>
      <w:bookmarkEnd w:id="2"/>
    </w:p>
    <w:p w:rsidR="00FD2B56" w:rsidRPr="004E3A0C" w:rsidRDefault="00FD2B56" w:rsidP="00F7517C">
      <w:pPr>
        <w:autoSpaceDE w:val="0"/>
        <w:autoSpaceDN w:val="0"/>
        <w:adjustRightInd w:val="0"/>
        <w:spacing w:after="0" w:line="240" w:lineRule="auto"/>
        <w:rPr>
          <w:rFonts w:ascii="Times New Roman" w:hAnsi="Times New Roman" w:cs="Times New Roman"/>
          <w:b/>
          <w:color w:val="1F4E79" w:themeColor="accent1" w:themeShade="80"/>
          <w:sz w:val="24"/>
          <w:szCs w:val="24"/>
          <w:lang w:val="uk-UA"/>
        </w:rPr>
      </w:pPr>
    </w:p>
    <w:p w:rsidR="009A5DD1" w:rsidRPr="004E3A0C" w:rsidRDefault="009A5DD1" w:rsidP="00F7517C">
      <w:pPr>
        <w:autoSpaceDE w:val="0"/>
        <w:autoSpaceDN w:val="0"/>
        <w:adjustRightInd w:val="0"/>
        <w:spacing w:after="0" w:line="240" w:lineRule="auto"/>
        <w:jc w:val="both"/>
        <w:rPr>
          <w:rFonts w:ascii="Times New Roman" w:hAnsi="Times New Roman" w:cs="Times New Roman"/>
          <w:sz w:val="24"/>
          <w:szCs w:val="24"/>
          <w:lang w:val="uk-UA"/>
        </w:rPr>
      </w:pPr>
      <w:r w:rsidRPr="004E3A0C">
        <w:rPr>
          <w:rFonts w:ascii="Times New Roman" w:hAnsi="Times New Roman" w:cs="Times New Roman"/>
          <w:sz w:val="24"/>
          <w:szCs w:val="24"/>
          <w:lang w:val="uk-UA"/>
        </w:rPr>
        <w:t>Угода про асоціацію передбачає, що положення Директиви </w:t>
      </w:r>
      <w:r w:rsidR="00913C8A" w:rsidRPr="004E3A0C">
        <w:rPr>
          <w:rFonts w:ascii="Times New Roman" w:hAnsi="Times New Roman" w:cs="Times New Roman"/>
          <w:sz w:val="24"/>
          <w:szCs w:val="24"/>
          <w:lang w:val="uk-UA"/>
        </w:rPr>
        <w:t>2001/14/ЄС</w:t>
      </w:r>
      <w:r w:rsidRPr="004E3A0C">
        <w:rPr>
          <w:rFonts w:ascii="Times New Roman" w:hAnsi="Times New Roman" w:cs="Times New Roman"/>
          <w:sz w:val="24"/>
          <w:szCs w:val="24"/>
          <w:lang w:val="uk-UA"/>
        </w:rPr>
        <w:t xml:space="preserve"> мають бути впроваджені протягом 8 років з дати набрання чинності Угодою</w:t>
      </w:r>
      <w:r w:rsidR="00E12764">
        <w:rPr>
          <w:rFonts w:ascii="Times New Roman" w:hAnsi="Times New Roman" w:cs="Times New Roman"/>
          <w:sz w:val="24"/>
          <w:szCs w:val="24"/>
          <w:lang w:val="uk-UA"/>
        </w:rPr>
        <w:t xml:space="preserve"> (тобто до 1 листопада 2022р.)</w:t>
      </w:r>
      <w:r w:rsidRPr="004E3A0C">
        <w:rPr>
          <w:rFonts w:ascii="Times New Roman" w:hAnsi="Times New Roman" w:cs="Times New Roman"/>
          <w:sz w:val="24"/>
          <w:szCs w:val="24"/>
          <w:lang w:val="uk-UA"/>
        </w:rPr>
        <w:t>.</w:t>
      </w:r>
    </w:p>
    <w:p w:rsidR="009A5DD1" w:rsidRPr="004E3A0C" w:rsidRDefault="009A5DD1" w:rsidP="00F7517C">
      <w:pPr>
        <w:autoSpaceDE w:val="0"/>
        <w:autoSpaceDN w:val="0"/>
        <w:adjustRightInd w:val="0"/>
        <w:spacing w:after="0" w:line="240" w:lineRule="auto"/>
        <w:jc w:val="both"/>
        <w:rPr>
          <w:rFonts w:ascii="Times New Roman" w:hAnsi="Times New Roman" w:cs="Times New Roman"/>
          <w:sz w:val="24"/>
          <w:szCs w:val="24"/>
          <w:lang w:val="uk-UA"/>
        </w:rPr>
      </w:pPr>
    </w:p>
    <w:p w:rsidR="009A5DD1" w:rsidRDefault="009A5DD1" w:rsidP="00F7517C">
      <w:pPr>
        <w:autoSpaceDE w:val="0"/>
        <w:autoSpaceDN w:val="0"/>
        <w:adjustRightInd w:val="0"/>
        <w:spacing w:after="0" w:line="240" w:lineRule="auto"/>
        <w:jc w:val="both"/>
        <w:rPr>
          <w:rFonts w:ascii="Times New Roman" w:hAnsi="Times New Roman" w:cs="Times New Roman"/>
          <w:sz w:val="24"/>
          <w:szCs w:val="24"/>
          <w:lang w:val="uk-UA"/>
        </w:rPr>
      </w:pPr>
      <w:r w:rsidRPr="004E3A0C">
        <w:rPr>
          <w:rFonts w:ascii="Times New Roman" w:hAnsi="Times New Roman" w:cs="Times New Roman"/>
          <w:sz w:val="24"/>
          <w:szCs w:val="24"/>
          <w:lang w:val="uk-UA"/>
        </w:rPr>
        <w:t xml:space="preserve">Кабінетом Міністрів України прийнято розпорядження від 26 листопада 2014 року № 1148-р «Про схвалення розроблених Міністерством інфраструктури планів імплементації деяких актів законодавства ЄС з питань залізничного транспорту», яким затверджено План імплементації Директиви </w:t>
      </w:r>
      <w:r w:rsidR="00913C8A" w:rsidRPr="004E3A0C">
        <w:rPr>
          <w:rFonts w:ascii="Times New Roman" w:hAnsi="Times New Roman" w:cs="Times New Roman"/>
          <w:sz w:val="24"/>
          <w:szCs w:val="24"/>
          <w:lang w:val="uk-UA"/>
        </w:rPr>
        <w:t>2001/14/ЄС</w:t>
      </w:r>
      <w:r w:rsidR="00E12764">
        <w:rPr>
          <w:rFonts w:ascii="Times New Roman" w:hAnsi="Times New Roman" w:cs="Times New Roman"/>
          <w:sz w:val="24"/>
          <w:szCs w:val="24"/>
          <w:lang w:val="uk-UA"/>
        </w:rPr>
        <w:t xml:space="preserve"> до 2019р. Пропонується внести уточнення у цей план, оскільки для функціонування реформованого залізничного ринку в Україні необхідна імплементації інших Директив.</w:t>
      </w:r>
    </w:p>
    <w:p w:rsidR="00E12764" w:rsidRDefault="00E12764" w:rsidP="00F7517C">
      <w:pPr>
        <w:autoSpaceDE w:val="0"/>
        <w:autoSpaceDN w:val="0"/>
        <w:adjustRightInd w:val="0"/>
        <w:spacing w:after="0" w:line="240" w:lineRule="auto"/>
        <w:jc w:val="both"/>
        <w:rPr>
          <w:rFonts w:ascii="Times New Roman" w:hAnsi="Times New Roman" w:cs="Times New Roman"/>
          <w:sz w:val="24"/>
          <w:szCs w:val="24"/>
          <w:lang w:val="uk-UA"/>
        </w:rPr>
      </w:pPr>
    </w:p>
    <w:p w:rsidR="009A5DD1" w:rsidRPr="004E3A0C" w:rsidRDefault="00E12764" w:rsidP="00E12764">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План підтримки імплементації </w:t>
      </w:r>
      <w:r w:rsidR="009A5DD1" w:rsidRPr="004E3A0C">
        <w:rPr>
          <w:rFonts w:ascii="Times New Roman" w:hAnsi="Times New Roman" w:cs="Times New Roman"/>
          <w:sz w:val="24"/>
          <w:szCs w:val="24"/>
          <w:lang w:val="uk-UA"/>
        </w:rPr>
        <w:t>має бути наступним:</w:t>
      </w:r>
    </w:p>
    <w:p w:rsidR="009A5DD1" w:rsidRPr="004E3A0C" w:rsidRDefault="009A5DD1" w:rsidP="00F7517C">
      <w:pPr>
        <w:autoSpaceDE w:val="0"/>
        <w:autoSpaceDN w:val="0"/>
        <w:adjustRightInd w:val="0"/>
        <w:spacing w:after="0" w:line="240" w:lineRule="auto"/>
        <w:jc w:val="both"/>
        <w:rPr>
          <w:rFonts w:ascii="Times New Roman" w:hAnsi="Times New Roman" w:cs="Times New Roman"/>
          <w:sz w:val="24"/>
          <w:szCs w:val="24"/>
          <w:lang w:val="uk-UA"/>
        </w:rPr>
      </w:pPr>
    </w:p>
    <w:p w:rsidR="004F5D7A" w:rsidRPr="00196484" w:rsidRDefault="00E12764" w:rsidP="001964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196484">
        <w:rPr>
          <w:rFonts w:ascii="Times New Roman" w:hAnsi="Times New Roman" w:cs="Times New Roman"/>
          <w:sz w:val="24"/>
          <w:szCs w:val="24"/>
          <w:lang w:val="uk-UA"/>
        </w:rPr>
        <w:t>П</w:t>
      </w:r>
      <w:r w:rsidR="004F5D7A" w:rsidRPr="00196484">
        <w:rPr>
          <w:rFonts w:ascii="Times New Roman" w:hAnsi="Times New Roman" w:cs="Times New Roman"/>
          <w:sz w:val="24"/>
          <w:szCs w:val="24"/>
          <w:lang w:val="uk-UA"/>
        </w:rPr>
        <w:t xml:space="preserve">рийняття </w:t>
      </w:r>
      <w:r w:rsidRPr="00196484">
        <w:rPr>
          <w:rFonts w:ascii="Times New Roman" w:hAnsi="Times New Roman" w:cs="Times New Roman"/>
          <w:sz w:val="24"/>
          <w:szCs w:val="24"/>
          <w:lang w:val="uk-UA"/>
        </w:rPr>
        <w:t>нового</w:t>
      </w:r>
      <w:r w:rsidR="004F5D7A" w:rsidRPr="00196484">
        <w:rPr>
          <w:rFonts w:ascii="Times New Roman" w:hAnsi="Times New Roman" w:cs="Times New Roman"/>
          <w:sz w:val="24"/>
          <w:szCs w:val="24"/>
          <w:lang w:val="uk-UA"/>
        </w:rPr>
        <w:t xml:space="preserve"> Закону Укра</w:t>
      </w:r>
      <w:r w:rsidRPr="00196484">
        <w:rPr>
          <w:rFonts w:ascii="Times New Roman" w:hAnsi="Times New Roman" w:cs="Times New Roman"/>
          <w:sz w:val="24"/>
          <w:szCs w:val="24"/>
          <w:lang w:val="uk-UA"/>
        </w:rPr>
        <w:t>їни «Про залізничний транспорт»</w:t>
      </w:r>
    </w:p>
    <w:p w:rsidR="00101343" w:rsidRPr="00196484" w:rsidRDefault="00E12764" w:rsidP="001964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196484">
        <w:rPr>
          <w:rFonts w:ascii="Times New Roman" w:hAnsi="Times New Roman" w:cs="Times New Roman"/>
          <w:sz w:val="24"/>
          <w:szCs w:val="24"/>
          <w:lang w:val="uk-UA"/>
        </w:rPr>
        <w:t xml:space="preserve">Затвердження </w:t>
      </w:r>
      <w:r w:rsidR="00817E57" w:rsidRPr="00196484">
        <w:rPr>
          <w:rFonts w:ascii="Times New Roman" w:hAnsi="Times New Roman" w:cs="Times New Roman"/>
          <w:sz w:val="24"/>
          <w:szCs w:val="24"/>
          <w:lang w:val="uk-UA"/>
        </w:rPr>
        <w:t xml:space="preserve">Кабінетом Міністрів України </w:t>
      </w:r>
      <w:r w:rsidRPr="00196484">
        <w:rPr>
          <w:rFonts w:ascii="Times New Roman" w:hAnsi="Times New Roman" w:cs="Times New Roman"/>
          <w:sz w:val="24"/>
          <w:szCs w:val="24"/>
          <w:lang w:val="uk-UA"/>
        </w:rPr>
        <w:t xml:space="preserve">Статуту залізничного транспорту та корпоратизації Укрзалізниці (УЗ інфраструктура та УЗ перевезення або інше, але з впровадженням принципів, визначених Директивою 91/440/ЄС </w:t>
      </w:r>
      <w:r w:rsidR="00196484" w:rsidRPr="00196484">
        <w:rPr>
          <w:rFonts w:ascii="Times New Roman" w:hAnsi="Times New Roman" w:cs="Times New Roman"/>
          <w:sz w:val="24"/>
          <w:szCs w:val="24"/>
          <w:lang w:val="uk-UA"/>
        </w:rPr>
        <w:t xml:space="preserve">про </w:t>
      </w:r>
      <w:r w:rsidRPr="00196484">
        <w:rPr>
          <w:rFonts w:ascii="Times New Roman" w:hAnsi="Times New Roman" w:cs="Times New Roman"/>
          <w:sz w:val="24"/>
          <w:szCs w:val="24"/>
          <w:lang w:val="uk-UA"/>
        </w:rPr>
        <w:t>розвит</w:t>
      </w:r>
      <w:r w:rsidR="00196484" w:rsidRPr="00196484">
        <w:rPr>
          <w:rFonts w:ascii="Times New Roman" w:hAnsi="Times New Roman" w:cs="Times New Roman"/>
          <w:sz w:val="24"/>
          <w:szCs w:val="24"/>
          <w:lang w:val="uk-UA"/>
        </w:rPr>
        <w:t>ок</w:t>
      </w:r>
      <w:r w:rsidRPr="00196484">
        <w:rPr>
          <w:rFonts w:ascii="Times New Roman" w:hAnsi="Times New Roman" w:cs="Times New Roman"/>
          <w:sz w:val="24"/>
          <w:szCs w:val="24"/>
          <w:lang w:val="uk-UA"/>
        </w:rPr>
        <w:t xml:space="preserve"> залізниць </w:t>
      </w:r>
      <w:r w:rsidR="00196484" w:rsidRPr="00196484">
        <w:rPr>
          <w:rFonts w:ascii="Times New Roman" w:hAnsi="Times New Roman" w:cs="Times New Roman"/>
          <w:sz w:val="24"/>
          <w:szCs w:val="24"/>
          <w:lang w:val="uk-UA"/>
        </w:rPr>
        <w:t>Співтовариства)</w:t>
      </w:r>
    </w:p>
    <w:p w:rsidR="00196484" w:rsidRPr="00196484" w:rsidRDefault="00196484" w:rsidP="001964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196484">
        <w:rPr>
          <w:rFonts w:ascii="Times New Roman" w:hAnsi="Times New Roman" w:cs="Times New Roman"/>
          <w:sz w:val="24"/>
          <w:szCs w:val="24"/>
          <w:lang w:val="uk-UA"/>
        </w:rPr>
        <w:t>Підготовка менеджером інфраструктури (УЗ інфраструктура або інше) порядку користування залізницею та його подальша публікація (характеристика інфраструктури, яка може бути надана залізничним підприємствам та умови доступу до неї, принципи тарифікації, зокрема ймовірні тарифи на наступні п’ять років; принципи та критерії для розподілення пропускної здатності (характеристики, обмеження, процедури та терміни)</w:t>
      </w:r>
    </w:p>
    <w:p w:rsidR="00196484" w:rsidRPr="00196484" w:rsidRDefault="00196484" w:rsidP="001964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196484">
        <w:rPr>
          <w:rFonts w:ascii="Times New Roman" w:hAnsi="Times New Roman" w:cs="Times New Roman"/>
          <w:sz w:val="24"/>
          <w:szCs w:val="24"/>
          <w:lang w:val="uk-UA"/>
        </w:rPr>
        <w:t>Розробка типової форми контракту між менеджером інфраструктури та залізничними підприємствами (перевізниками)</w:t>
      </w:r>
    </w:p>
    <w:p w:rsidR="00196484" w:rsidRPr="00196484" w:rsidRDefault="00196484" w:rsidP="001964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196484">
        <w:rPr>
          <w:rFonts w:ascii="Times New Roman" w:hAnsi="Times New Roman" w:cs="Times New Roman"/>
          <w:sz w:val="24"/>
          <w:szCs w:val="24"/>
          <w:lang w:val="uk-UA"/>
        </w:rPr>
        <w:t xml:space="preserve">Створення, відповідно до закону, незалежного регуляторного органу (перелік регуляторних залізничних установ у державах-членах ЄС можна знайти за посиланням:   </w:t>
      </w:r>
      <w:hyperlink r:id="rId8" w:history="1">
        <w:r w:rsidRPr="00196484">
          <w:rPr>
            <w:rStyle w:val="Hyperlink"/>
            <w:rFonts w:ascii="Times New Roman" w:hAnsi="Times New Roman" w:cs="Times New Roman"/>
            <w:sz w:val="24"/>
            <w:szCs w:val="24"/>
            <w:lang w:val="uk-UA"/>
          </w:rPr>
          <w:t>http://ec.europa.eu/transport/modes/rail/market/regulatory_bodies_en.htm</w:t>
        </w:r>
      </w:hyperlink>
      <w:r w:rsidRPr="00196484">
        <w:rPr>
          <w:rFonts w:ascii="Times New Roman" w:hAnsi="Times New Roman" w:cs="Times New Roman"/>
          <w:sz w:val="24"/>
          <w:szCs w:val="24"/>
          <w:lang w:val="uk-UA"/>
        </w:rPr>
        <w:t xml:space="preserve"> )</w:t>
      </w:r>
    </w:p>
    <w:p w:rsidR="00196484" w:rsidRPr="00196484" w:rsidRDefault="00196484" w:rsidP="001964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196484">
        <w:rPr>
          <w:rFonts w:ascii="Times New Roman" w:hAnsi="Times New Roman" w:cs="Times New Roman"/>
          <w:sz w:val="24"/>
          <w:szCs w:val="24"/>
          <w:lang w:val="uk-UA"/>
        </w:rPr>
        <w:t>Проведення аналізу витрат на інфраст</w:t>
      </w:r>
      <w:r w:rsidRPr="00196484">
        <w:rPr>
          <w:rFonts w:ascii="Times New Roman" w:hAnsi="Times New Roman" w:cs="Times New Roman"/>
          <w:sz w:val="24"/>
          <w:szCs w:val="24"/>
          <w:lang w:val="uk-UA"/>
        </w:rPr>
        <w:t>руктуру залізничного транспорту</w:t>
      </w:r>
    </w:p>
    <w:p w:rsidR="00196484" w:rsidRPr="00196484" w:rsidRDefault="00196484" w:rsidP="001964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196484">
        <w:rPr>
          <w:rFonts w:ascii="Times New Roman" w:hAnsi="Times New Roman" w:cs="Times New Roman"/>
          <w:sz w:val="24"/>
          <w:szCs w:val="24"/>
          <w:lang w:val="uk-UA"/>
        </w:rPr>
        <w:t>Розроблення методики розрахунку плати за послуги інфраст</w:t>
      </w:r>
      <w:r w:rsidRPr="00196484">
        <w:rPr>
          <w:rFonts w:ascii="Times New Roman" w:hAnsi="Times New Roman" w:cs="Times New Roman"/>
          <w:sz w:val="24"/>
          <w:szCs w:val="24"/>
          <w:lang w:val="uk-UA"/>
        </w:rPr>
        <w:t>руктури залізничного транспорту</w:t>
      </w:r>
    </w:p>
    <w:p w:rsidR="00196484" w:rsidRPr="00196484" w:rsidRDefault="00196484" w:rsidP="001964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196484">
        <w:rPr>
          <w:rFonts w:ascii="Times New Roman" w:hAnsi="Times New Roman" w:cs="Times New Roman"/>
          <w:sz w:val="24"/>
          <w:szCs w:val="24"/>
          <w:lang w:val="uk-UA"/>
        </w:rPr>
        <w:t xml:space="preserve">Розроблення проекту постанови Кабінету Міністрів України «Про </w:t>
      </w:r>
      <w:r w:rsidRPr="00196484">
        <w:rPr>
          <w:rFonts w:ascii="Times New Roman" w:hAnsi="Times New Roman" w:cs="Times New Roman"/>
          <w:sz w:val="24"/>
          <w:szCs w:val="24"/>
          <w:lang w:val="uk-UA"/>
        </w:rPr>
        <w:t>Порядок справедливого та</w:t>
      </w:r>
      <w:r w:rsidRPr="00196484">
        <w:rPr>
          <w:rFonts w:ascii="Times New Roman" w:hAnsi="Times New Roman" w:cs="Times New Roman"/>
          <w:sz w:val="24"/>
          <w:szCs w:val="24"/>
          <w:lang w:val="uk-UA"/>
        </w:rPr>
        <w:t xml:space="preserve"> рівноправного доступу до інфраструктури залізничного транспорту»</w:t>
      </w:r>
      <w:r w:rsidRPr="00196484">
        <w:rPr>
          <w:rFonts w:ascii="Times New Roman" w:hAnsi="Times New Roman" w:cs="Times New Roman"/>
          <w:sz w:val="24"/>
          <w:szCs w:val="24"/>
          <w:lang w:val="uk-UA"/>
        </w:rPr>
        <w:t xml:space="preserve"> у відповідності до вимог Додатку 1 до Директиви та визначання </w:t>
      </w:r>
      <w:r w:rsidRPr="00196484">
        <w:rPr>
          <w:rFonts w:ascii="Times New Roman" w:hAnsi="Times New Roman" w:cs="Times New Roman"/>
          <w:sz w:val="24"/>
          <w:szCs w:val="24"/>
          <w:lang w:val="uk-UA"/>
        </w:rPr>
        <w:t>методології встановлення тар</w:t>
      </w:r>
      <w:r w:rsidRPr="00196484">
        <w:rPr>
          <w:rFonts w:ascii="Times New Roman" w:hAnsi="Times New Roman" w:cs="Times New Roman"/>
          <w:sz w:val="24"/>
          <w:szCs w:val="24"/>
          <w:lang w:val="uk-UA"/>
        </w:rPr>
        <w:t>ифів за послуги інфраструктури.</w:t>
      </w:r>
    </w:p>
    <w:p w:rsidR="004141F7" w:rsidRPr="004E3A0C" w:rsidRDefault="004141F7" w:rsidP="00F7517C">
      <w:pPr>
        <w:autoSpaceDE w:val="0"/>
        <w:autoSpaceDN w:val="0"/>
        <w:adjustRightInd w:val="0"/>
        <w:spacing w:after="0" w:line="240" w:lineRule="auto"/>
        <w:ind w:firstLine="708"/>
        <w:jc w:val="both"/>
        <w:rPr>
          <w:rFonts w:ascii="Times New Roman" w:hAnsi="Times New Roman" w:cs="Times New Roman"/>
          <w:sz w:val="24"/>
          <w:szCs w:val="24"/>
          <w:lang w:val="uk-UA"/>
        </w:rPr>
      </w:pPr>
    </w:p>
    <w:p w:rsidR="00FD2B56" w:rsidRPr="004E3A0C" w:rsidRDefault="00FD2B56" w:rsidP="00196484">
      <w:pPr>
        <w:pStyle w:val="Heading1"/>
        <w:rPr>
          <w:lang w:val="uk-UA"/>
        </w:rPr>
      </w:pPr>
      <w:bookmarkStart w:id="3" w:name="_Toc432079588"/>
      <w:r w:rsidRPr="004E3A0C">
        <w:rPr>
          <w:lang w:val="uk-UA"/>
        </w:rPr>
        <w:t xml:space="preserve">3 </w:t>
      </w:r>
      <w:r w:rsidR="001E5AA8" w:rsidRPr="004E3A0C">
        <w:rPr>
          <w:lang w:val="uk-UA"/>
        </w:rPr>
        <w:t>Установи та відповідні сторони</w:t>
      </w:r>
      <w:bookmarkEnd w:id="3"/>
    </w:p>
    <w:p w:rsidR="00FD2B56" w:rsidRPr="004E3A0C" w:rsidRDefault="00FD2B56" w:rsidP="00F7517C">
      <w:pPr>
        <w:autoSpaceDE w:val="0"/>
        <w:autoSpaceDN w:val="0"/>
        <w:adjustRightInd w:val="0"/>
        <w:spacing w:after="0" w:line="240" w:lineRule="auto"/>
        <w:rPr>
          <w:rFonts w:ascii="Times New Roman" w:hAnsi="Times New Roman" w:cs="Times New Roman"/>
          <w:sz w:val="24"/>
          <w:szCs w:val="24"/>
          <w:lang w:val="uk-UA"/>
        </w:rPr>
      </w:pPr>
    </w:p>
    <w:p w:rsidR="00C77480" w:rsidRPr="004E3A0C" w:rsidRDefault="00196484" w:rsidP="00196484">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процесу</w:t>
      </w:r>
      <w:r w:rsidR="00C77480" w:rsidRPr="004E3A0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умплементації</w:t>
      </w:r>
      <w:proofErr w:type="spellEnd"/>
      <w:r w:rsidR="00C77480" w:rsidRPr="004E3A0C">
        <w:rPr>
          <w:rFonts w:ascii="Times New Roman" w:hAnsi="Times New Roman" w:cs="Times New Roman"/>
          <w:sz w:val="24"/>
          <w:szCs w:val="24"/>
          <w:lang w:val="uk-UA"/>
        </w:rPr>
        <w:t xml:space="preserve"> Директиви 91/440/ЄЕС мають бути залучені:</w:t>
      </w:r>
    </w:p>
    <w:p w:rsidR="00C77480" w:rsidRPr="004E3A0C" w:rsidRDefault="00C77480" w:rsidP="00F7517C">
      <w:pPr>
        <w:autoSpaceDE w:val="0"/>
        <w:autoSpaceDN w:val="0"/>
        <w:adjustRightInd w:val="0"/>
        <w:spacing w:after="0" w:line="240" w:lineRule="auto"/>
        <w:jc w:val="both"/>
        <w:rPr>
          <w:rFonts w:ascii="Times New Roman" w:hAnsi="Times New Roman" w:cs="Times New Roman"/>
          <w:sz w:val="24"/>
          <w:szCs w:val="24"/>
          <w:lang w:val="uk-UA"/>
        </w:rPr>
      </w:pPr>
    </w:p>
    <w:p w:rsidR="00C77480" w:rsidRPr="00677433" w:rsidRDefault="00C77480"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sidRPr="00677433">
        <w:rPr>
          <w:rFonts w:ascii="Times New Roman" w:hAnsi="Times New Roman" w:cs="Times New Roman"/>
          <w:sz w:val="24"/>
          <w:szCs w:val="24"/>
          <w:lang w:val="uk-UA"/>
        </w:rPr>
        <w:t xml:space="preserve">Верховна Рада України (щодо прийняття </w:t>
      </w:r>
      <w:r w:rsidR="00196484" w:rsidRPr="00677433">
        <w:rPr>
          <w:rFonts w:ascii="Times New Roman" w:hAnsi="Times New Roman" w:cs="Times New Roman"/>
          <w:sz w:val="24"/>
          <w:szCs w:val="24"/>
          <w:lang w:val="uk-UA"/>
        </w:rPr>
        <w:t>нового</w:t>
      </w:r>
      <w:r w:rsidRPr="00677433">
        <w:rPr>
          <w:rFonts w:ascii="Times New Roman" w:hAnsi="Times New Roman" w:cs="Times New Roman"/>
          <w:sz w:val="24"/>
          <w:szCs w:val="24"/>
          <w:lang w:val="uk-UA"/>
        </w:rPr>
        <w:t xml:space="preserve"> Закону України «Про залізничний транспорт»</w:t>
      </w:r>
      <w:r w:rsidR="00A00625" w:rsidRPr="00677433">
        <w:rPr>
          <w:rFonts w:ascii="Times New Roman" w:hAnsi="Times New Roman" w:cs="Times New Roman"/>
          <w:sz w:val="24"/>
          <w:szCs w:val="24"/>
          <w:lang w:val="uk-UA"/>
        </w:rPr>
        <w:t xml:space="preserve"> та «Про національну комісію</w:t>
      </w:r>
      <w:r w:rsidR="00201BF0" w:rsidRPr="00677433">
        <w:rPr>
          <w:rFonts w:ascii="Times New Roman" w:hAnsi="Times New Roman" w:cs="Times New Roman"/>
          <w:sz w:val="24"/>
          <w:szCs w:val="24"/>
          <w:lang w:val="uk-UA"/>
        </w:rPr>
        <w:t>, що здійснює державне</w:t>
      </w:r>
      <w:r w:rsidR="00A00625" w:rsidRPr="00677433">
        <w:rPr>
          <w:rFonts w:ascii="Times New Roman" w:hAnsi="Times New Roman" w:cs="Times New Roman"/>
          <w:sz w:val="24"/>
          <w:szCs w:val="24"/>
          <w:lang w:val="uk-UA"/>
        </w:rPr>
        <w:t xml:space="preserve"> регулювання у сфері транспорту» </w:t>
      </w:r>
      <w:r w:rsidRPr="00677433">
        <w:rPr>
          <w:rFonts w:ascii="Times New Roman" w:hAnsi="Times New Roman" w:cs="Times New Roman"/>
          <w:sz w:val="24"/>
          <w:szCs w:val="24"/>
          <w:lang w:val="uk-UA"/>
        </w:rPr>
        <w:t>).</w:t>
      </w:r>
    </w:p>
    <w:p w:rsidR="00C77480" w:rsidRPr="004E3A0C" w:rsidRDefault="00C77480"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sidRPr="004E3A0C">
        <w:rPr>
          <w:rFonts w:ascii="Times New Roman" w:hAnsi="Times New Roman" w:cs="Times New Roman"/>
          <w:sz w:val="24"/>
          <w:szCs w:val="24"/>
          <w:lang w:val="uk-UA"/>
        </w:rPr>
        <w:t>Кабінет Міністрів України (</w:t>
      </w:r>
      <w:r w:rsidR="00196484">
        <w:rPr>
          <w:rFonts w:ascii="Times New Roman" w:hAnsi="Times New Roman" w:cs="Times New Roman"/>
          <w:sz w:val="24"/>
          <w:szCs w:val="24"/>
          <w:lang w:val="uk-UA"/>
        </w:rPr>
        <w:t>головним чином стосовно підзаконних актів</w:t>
      </w:r>
      <w:r w:rsidRPr="004E3A0C">
        <w:rPr>
          <w:rFonts w:ascii="Times New Roman" w:hAnsi="Times New Roman" w:cs="Times New Roman"/>
          <w:sz w:val="24"/>
          <w:szCs w:val="24"/>
          <w:lang w:val="uk-UA"/>
        </w:rPr>
        <w:t>).</w:t>
      </w:r>
    </w:p>
    <w:p w:rsidR="00C77480" w:rsidRPr="004E3A0C" w:rsidRDefault="00C77480"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sidRPr="004E3A0C">
        <w:rPr>
          <w:rFonts w:ascii="Times New Roman" w:hAnsi="Times New Roman" w:cs="Times New Roman"/>
          <w:sz w:val="24"/>
          <w:szCs w:val="24"/>
          <w:lang w:val="uk-UA"/>
        </w:rPr>
        <w:lastRenderedPageBreak/>
        <w:t xml:space="preserve">Міністерство інфраструктури (в якості основного </w:t>
      </w:r>
      <w:r w:rsidR="00196484">
        <w:rPr>
          <w:rFonts w:ascii="Times New Roman" w:hAnsi="Times New Roman" w:cs="Times New Roman"/>
          <w:sz w:val="24"/>
          <w:szCs w:val="24"/>
          <w:lang w:val="uk-UA"/>
        </w:rPr>
        <w:t>компетентного органу для імплементації та підготовки наказів</w:t>
      </w:r>
      <w:r w:rsidRPr="004E3A0C">
        <w:rPr>
          <w:rFonts w:ascii="Times New Roman" w:hAnsi="Times New Roman" w:cs="Times New Roman"/>
          <w:sz w:val="24"/>
          <w:szCs w:val="24"/>
          <w:lang w:val="uk-UA"/>
        </w:rPr>
        <w:t>).</w:t>
      </w:r>
    </w:p>
    <w:p w:rsidR="00196484" w:rsidRPr="00677433" w:rsidRDefault="00196484"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sidRPr="00677433">
        <w:rPr>
          <w:rFonts w:ascii="Times New Roman" w:hAnsi="Times New Roman" w:cs="Times New Roman"/>
          <w:sz w:val="24"/>
          <w:szCs w:val="24"/>
          <w:lang w:val="uk-UA"/>
        </w:rPr>
        <w:t>Національна комісія, що здійснює державне регулювання у сфері транспорту (</w:t>
      </w:r>
      <w:r w:rsidRPr="00677433">
        <w:rPr>
          <w:rFonts w:ascii="Times New Roman" w:hAnsi="Times New Roman" w:cs="Times New Roman"/>
          <w:sz w:val="24"/>
          <w:szCs w:val="24"/>
          <w:lang w:val="uk-UA"/>
        </w:rPr>
        <w:t>яка уповноважена на законодавчому рівні виступати арбітражним органом, якщо перевізник вважає, що він піддався дискримінації або до нього поставилися несправедливо при наданні доступу до інфраструктури)</w:t>
      </w:r>
    </w:p>
    <w:p w:rsidR="00196484" w:rsidRPr="00677433" w:rsidRDefault="00196484"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sidRPr="00677433">
        <w:rPr>
          <w:rFonts w:ascii="Times New Roman" w:hAnsi="Times New Roman" w:cs="Times New Roman"/>
          <w:sz w:val="24"/>
          <w:szCs w:val="24"/>
          <w:lang w:val="uk-UA"/>
        </w:rPr>
        <w:t>Міністерство фінансів (щодо забезпечення фінансування умов контракту з менеджером інфраструктури, виділення субвенцій місцевим органам влади для приміських перевезень</w:t>
      </w:r>
      <w:r w:rsidR="00677433" w:rsidRPr="00677433">
        <w:rPr>
          <w:rFonts w:ascii="Times New Roman" w:hAnsi="Times New Roman" w:cs="Times New Roman"/>
          <w:sz w:val="24"/>
          <w:szCs w:val="24"/>
          <w:lang w:val="uk-UA"/>
        </w:rPr>
        <w:t xml:space="preserve"> та контракти для виконання громадських перевезень</w:t>
      </w:r>
      <w:r w:rsidRPr="00677433">
        <w:rPr>
          <w:rFonts w:ascii="Times New Roman" w:hAnsi="Times New Roman" w:cs="Times New Roman"/>
          <w:sz w:val="24"/>
          <w:szCs w:val="24"/>
          <w:lang w:val="uk-UA"/>
        </w:rPr>
        <w:t xml:space="preserve">). </w:t>
      </w:r>
    </w:p>
    <w:p w:rsidR="00677433" w:rsidRPr="00677433" w:rsidRDefault="00677433"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sidRPr="00677433">
        <w:rPr>
          <w:rFonts w:ascii="Times New Roman" w:hAnsi="Times New Roman" w:cs="Times New Roman"/>
          <w:sz w:val="24"/>
          <w:szCs w:val="24"/>
          <w:lang w:val="uk-UA"/>
        </w:rPr>
        <w:t>Менеджер інфраструктури</w:t>
      </w:r>
      <w:r w:rsidRPr="00677433">
        <w:rPr>
          <w:rFonts w:ascii="Times New Roman" w:hAnsi="Times New Roman" w:cs="Times New Roman"/>
          <w:sz w:val="24"/>
          <w:szCs w:val="24"/>
          <w:lang w:val="uk-UA"/>
        </w:rPr>
        <w:t xml:space="preserve"> (УЗ інфраструктура або інше)</w:t>
      </w:r>
    </w:p>
    <w:p w:rsidR="00677433" w:rsidRPr="00677433" w:rsidRDefault="00677433"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sidRPr="00677433">
        <w:rPr>
          <w:rFonts w:ascii="Times New Roman" w:hAnsi="Times New Roman" w:cs="Times New Roman"/>
          <w:sz w:val="24"/>
          <w:szCs w:val="24"/>
          <w:lang w:val="uk-UA"/>
        </w:rPr>
        <w:t>Залізничні підприємства (УЗ перевезення та інші залізниці, приватні або державні перевізники)</w:t>
      </w:r>
    </w:p>
    <w:p w:rsidR="00677433" w:rsidRPr="00677433" w:rsidRDefault="00677433"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sidRPr="00677433">
        <w:rPr>
          <w:rFonts w:ascii="Times New Roman" w:hAnsi="Times New Roman" w:cs="Times New Roman"/>
          <w:sz w:val="24"/>
          <w:szCs w:val="24"/>
          <w:lang w:val="uk-UA"/>
        </w:rPr>
        <w:t>Державна служба України з безпеки на транспорті (для надання ліцензій безпеки менеджеру інфраструктури та перевізникам)</w:t>
      </w:r>
    </w:p>
    <w:p w:rsidR="00677433" w:rsidRDefault="00677433"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Pr="004E3A0C">
        <w:rPr>
          <w:rFonts w:ascii="Times New Roman" w:hAnsi="Times New Roman" w:cs="Times New Roman"/>
          <w:sz w:val="24"/>
          <w:szCs w:val="24"/>
          <w:lang w:val="uk-UA"/>
        </w:rPr>
        <w:t xml:space="preserve">нтимонопольний комітет ( щодо </w:t>
      </w:r>
      <w:r>
        <w:rPr>
          <w:rFonts w:ascii="Times New Roman" w:hAnsi="Times New Roman" w:cs="Times New Roman"/>
          <w:sz w:val="24"/>
          <w:szCs w:val="24"/>
          <w:lang w:val="uk-UA"/>
        </w:rPr>
        <w:t>контролю за</w:t>
      </w:r>
      <w:r w:rsidRPr="004E3A0C">
        <w:rPr>
          <w:rFonts w:ascii="Times New Roman" w:hAnsi="Times New Roman" w:cs="Times New Roman"/>
          <w:sz w:val="24"/>
          <w:szCs w:val="24"/>
          <w:lang w:val="uk-UA"/>
        </w:rPr>
        <w:t xml:space="preserve"> конкурентно</w:t>
      </w:r>
      <w:r>
        <w:rPr>
          <w:rFonts w:ascii="Times New Roman" w:hAnsi="Times New Roman" w:cs="Times New Roman"/>
          <w:sz w:val="24"/>
          <w:szCs w:val="24"/>
          <w:lang w:val="uk-UA"/>
        </w:rPr>
        <w:t>ю</w:t>
      </w:r>
      <w:r w:rsidRPr="004E3A0C">
        <w:rPr>
          <w:rFonts w:ascii="Times New Roman" w:hAnsi="Times New Roman" w:cs="Times New Roman"/>
          <w:sz w:val="24"/>
          <w:szCs w:val="24"/>
          <w:lang w:val="uk-UA"/>
        </w:rPr>
        <w:t xml:space="preserve"> політик</w:t>
      </w:r>
      <w:r>
        <w:rPr>
          <w:rFonts w:ascii="Times New Roman" w:hAnsi="Times New Roman" w:cs="Times New Roman"/>
          <w:sz w:val="24"/>
          <w:szCs w:val="24"/>
          <w:lang w:val="uk-UA"/>
        </w:rPr>
        <w:t>ою)</w:t>
      </w:r>
    </w:p>
    <w:p w:rsidR="00677433" w:rsidRDefault="00677433"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Українське судочинство (для вирішення спірних питань)</w:t>
      </w:r>
    </w:p>
    <w:p w:rsidR="00677433" w:rsidRPr="004E3A0C" w:rsidRDefault="00677433" w:rsidP="0067743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Практика правової діяльності Європейського суду (в якості керівництва щодо інтерпретації Директиви). </w:t>
      </w:r>
    </w:p>
    <w:p w:rsidR="00677433" w:rsidRDefault="00677433" w:rsidP="00196484">
      <w:pPr>
        <w:autoSpaceDE w:val="0"/>
        <w:autoSpaceDN w:val="0"/>
        <w:adjustRightInd w:val="0"/>
        <w:spacing w:after="0" w:line="240" w:lineRule="auto"/>
        <w:jc w:val="both"/>
        <w:rPr>
          <w:rFonts w:ascii="Times New Roman" w:hAnsi="Times New Roman" w:cs="Times New Roman"/>
          <w:sz w:val="24"/>
          <w:szCs w:val="24"/>
          <w:lang w:val="uk-UA"/>
        </w:rPr>
      </w:pPr>
    </w:p>
    <w:p w:rsidR="00FD2B56" w:rsidRPr="004E3A0C" w:rsidRDefault="00FD2B56" w:rsidP="00F7517C">
      <w:pPr>
        <w:autoSpaceDE w:val="0"/>
        <w:autoSpaceDN w:val="0"/>
        <w:adjustRightInd w:val="0"/>
        <w:spacing w:after="0" w:line="240" w:lineRule="auto"/>
        <w:rPr>
          <w:rFonts w:ascii="Times New Roman" w:hAnsi="Times New Roman" w:cs="Times New Roman"/>
          <w:b/>
          <w:i/>
          <w:sz w:val="24"/>
          <w:szCs w:val="24"/>
          <w:lang w:val="uk-UA"/>
        </w:rPr>
      </w:pPr>
      <w:r w:rsidRPr="004E3A0C">
        <w:rPr>
          <w:rFonts w:ascii="Times New Roman" w:hAnsi="Times New Roman" w:cs="Times New Roman"/>
          <w:b/>
          <w:i/>
          <w:sz w:val="24"/>
          <w:szCs w:val="24"/>
          <w:lang w:val="uk-UA"/>
        </w:rPr>
        <w:t xml:space="preserve">4 </w:t>
      </w:r>
      <w:r w:rsidR="001E5AA8" w:rsidRPr="004E3A0C">
        <w:rPr>
          <w:rFonts w:ascii="Times New Roman" w:hAnsi="Times New Roman" w:cs="Times New Roman"/>
          <w:b/>
          <w:i/>
          <w:sz w:val="24"/>
          <w:szCs w:val="24"/>
          <w:lang w:val="uk-UA"/>
        </w:rPr>
        <w:t>Технічні питання</w:t>
      </w:r>
    </w:p>
    <w:p w:rsidR="00FD2B56" w:rsidRPr="004E3A0C" w:rsidRDefault="00FD2B56" w:rsidP="00F7517C">
      <w:pPr>
        <w:autoSpaceDE w:val="0"/>
        <w:autoSpaceDN w:val="0"/>
        <w:adjustRightInd w:val="0"/>
        <w:spacing w:after="0" w:line="240" w:lineRule="auto"/>
        <w:rPr>
          <w:rFonts w:ascii="Times New Roman" w:hAnsi="Times New Roman" w:cs="Times New Roman"/>
          <w:i/>
          <w:sz w:val="24"/>
          <w:szCs w:val="24"/>
          <w:lang w:val="uk-UA"/>
        </w:rPr>
      </w:pPr>
    </w:p>
    <w:p w:rsidR="009C2E0A" w:rsidRDefault="00677433" w:rsidP="00F7517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умови прийняття нового закону </w:t>
      </w:r>
      <w:r w:rsidR="00BD0307" w:rsidRPr="004E3A0C">
        <w:rPr>
          <w:rFonts w:ascii="Times New Roman" w:hAnsi="Times New Roman" w:cs="Times New Roman"/>
          <w:sz w:val="24"/>
          <w:szCs w:val="24"/>
          <w:lang w:val="uk-UA"/>
        </w:rPr>
        <w:t>Укра</w:t>
      </w:r>
      <w:r>
        <w:rPr>
          <w:rFonts w:ascii="Times New Roman" w:hAnsi="Times New Roman" w:cs="Times New Roman"/>
          <w:sz w:val="24"/>
          <w:szCs w:val="24"/>
          <w:lang w:val="uk-UA"/>
        </w:rPr>
        <w:t xml:space="preserve">їни «Про залізничний транспорт» та корпоратизації Укрзалізниці (100% державна власність), імплементація Директиви </w:t>
      </w:r>
      <w:r w:rsidR="00ED28C5">
        <w:rPr>
          <w:rFonts w:ascii="Times New Roman" w:hAnsi="Times New Roman" w:cs="Times New Roman"/>
          <w:sz w:val="24"/>
          <w:szCs w:val="24"/>
          <w:lang w:val="uk-UA"/>
        </w:rPr>
        <w:t xml:space="preserve">2001/14/ЄС вимагатиме вивчення різних прикладів підходів держав-членів ЄС </w:t>
      </w:r>
      <w:r w:rsidR="0040065B" w:rsidRPr="004E3A0C">
        <w:rPr>
          <w:rFonts w:ascii="Times New Roman" w:hAnsi="Times New Roman" w:cs="Times New Roman"/>
          <w:sz w:val="24"/>
          <w:szCs w:val="24"/>
          <w:lang w:val="uk-UA"/>
        </w:rPr>
        <w:t>в частині формування плати за доступ до інфраструктури</w:t>
      </w:r>
      <w:r w:rsidR="00B170B0">
        <w:rPr>
          <w:rFonts w:ascii="Times New Roman" w:hAnsi="Times New Roman" w:cs="Times New Roman"/>
          <w:sz w:val="24"/>
          <w:szCs w:val="24"/>
          <w:lang w:val="uk-UA"/>
        </w:rPr>
        <w:t xml:space="preserve"> (приклад можна знайти на </w:t>
      </w:r>
      <w:hyperlink r:id="rId9" w:history="1">
        <w:r w:rsidR="00B170B0" w:rsidRPr="00DB0124">
          <w:rPr>
            <w:rStyle w:val="Hyperlink"/>
            <w:rFonts w:ascii="Times New Roman" w:hAnsi="Times New Roman" w:cs="Times New Roman"/>
            <w:sz w:val="24"/>
            <w:szCs w:val="24"/>
            <w:lang w:val="uk-UA"/>
          </w:rPr>
          <w:t>http://ec.europa.eu/transport/modes/rail/infrastructures/doc/railcalc_presentation_orr.pdf</w:t>
        </w:r>
      </w:hyperlink>
    </w:p>
    <w:p w:rsidR="00B170B0" w:rsidRPr="004E3A0C" w:rsidRDefault="00B170B0" w:rsidP="00F7517C">
      <w:pPr>
        <w:autoSpaceDE w:val="0"/>
        <w:autoSpaceDN w:val="0"/>
        <w:adjustRightInd w:val="0"/>
        <w:spacing w:after="0" w:line="240" w:lineRule="auto"/>
        <w:jc w:val="both"/>
        <w:rPr>
          <w:rFonts w:ascii="Times New Roman" w:hAnsi="Times New Roman" w:cs="Times New Roman"/>
          <w:sz w:val="24"/>
          <w:szCs w:val="24"/>
          <w:lang w:val="uk-UA"/>
        </w:rPr>
      </w:pPr>
    </w:p>
    <w:p w:rsidR="002B0430" w:rsidRDefault="00B170B0" w:rsidP="00F7517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Підготовці документів з порядку користування залізницею, якими визначається пропускна здатність інфраструктури, стануть в нагоді Стратегічний бізнес-план залізничної мережі та Стратегії використання маршрутів, а також вивчення пропускної здатності існуючої інфраструктури для вантажного та пасажирського руху. Вони також забезпечать попередню інформацію для системи організації доступу та тарифів.</w:t>
      </w:r>
    </w:p>
    <w:p w:rsidR="00B170B0" w:rsidRDefault="00B170B0" w:rsidP="00F7517C">
      <w:pPr>
        <w:autoSpaceDE w:val="0"/>
        <w:autoSpaceDN w:val="0"/>
        <w:adjustRightInd w:val="0"/>
        <w:spacing w:after="0" w:line="240" w:lineRule="auto"/>
        <w:jc w:val="both"/>
        <w:rPr>
          <w:rFonts w:ascii="Times New Roman" w:hAnsi="Times New Roman" w:cs="Times New Roman"/>
          <w:sz w:val="24"/>
          <w:szCs w:val="24"/>
          <w:lang w:val="uk-UA"/>
        </w:rPr>
      </w:pPr>
    </w:p>
    <w:p w:rsidR="00B170B0" w:rsidRDefault="002B2C52" w:rsidP="00F7517C">
      <w:pPr>
        <w:autoSpaceDE w:val="0"/>
        <w:autoSpaceDN w:val="0"/>
        <w:adjustRightInd w:val="0"/>
        <w:spacing w:after="0" w:line="240" w:lineRule="auto"/>
        <w:jc w:val="both"/>
        <w:rPr>
          <w:rFonts w:ascii="Times New Roman" w:hAnsi="Times New Roman" w:cs="Times New Roman"/>
          <w:sz w:val="24"/>
          <w:szCs w:val="24"/>
          <w:lang w:val="uk-UA"/>
        </w:rPr>
      </w:pPr>
      <w:r w:rsidRPr="004E3A0C">
        <w:rPr>
          <w:rFonts w:ascii="Times New Roman" w:hAnsi="Times New Roman" w:cs="Times New Roman"/>
          <w:sz w:val="24"/>
          <w:szCs w:val="24"/>
          <w:lang w:val="uk-UA"/>
        </w:rPr>
        <w:t xml:space="preserve">Крім того, новим для українських залізничних підприємств відповідно до вимог директиви є отримання сертифікату на відповідність вимогам безпеки. </w:t>
      </w:r>
      <w:r w:rsidR="00B170B0" w:rsidRPr="00B170B0">
        <w:rPr>
          <w:rFonts w:ascii="Times New Roman" w:hAnsi="Times New Roman" w:cs="Times New Roman"/>
          <w:sz w:val="24"/>
          <w:szCs w:val="24"/>
          <w:lang w:val="uk-UA"/>
        </w:rPr>
        <w:t>Сертифікат на відповідність вимогам безпеки видається органом державної влади</w:t>
      </w:r>
      <w:r w:rsidR="00B170B0">
        <w:rPr>
          <w:rFonts w:ascii="Times New Roman" w:hAnsi="Times New Roman" w:cs="Times New Roman"/>
          <w:sz w:val="24"/>
          <w:szCs w:val="24"/>
          <w:lang w:val="uk-UA"/>
        </w:rPr>
        <w:t xml:space="preserve"> (це може бути </w:t>
      </w:r>
      <w:proofErr w:type="spellStart"/>
      <w:r w:rsidR="00B170B0">
        <w:rPr>
          <w:rFonts w:ascii="Times New Roman" w:hAnsi="Times New Roman" w:cs="Times New Roman"/>
          <w:sz w:val="24"/>
          <w:szCs w:val="24"/>
          <w:lang w:val="uk-UA"/>
        </w:rPr>
        <w:t>Укртрансбезпека</w:t>
      </w:r>
      <w:proofErr w:type="spellEnd"/>
      <w:r w:rsidR="00B170B0">
        <w:rPr>
          <w:rFonts w:ascii="Times New Roman" w:hAnsi="Times New Roman" w:cs="Times New Roman"/>
          <w:sz w:val="24"/>
          <w:szCs w:val="24"/>
          <w:lang w:val="uk-UA"/>
        </w:rPr>
        <w:t>)</w:t>
      </w:r>
      <w:r w:rsidR="00B170B0" w:rsidRPr="00B170B0">
        <w:rPr>
          <w:rFonts w:ascii="Times New Roman" w:hAnsi="Times New Roman" w:cs="Times New Roman"/>
          <w:sz w:val="24"/>
          <w:szCs w:val="24"/>
          <w:lang w:val="uk-UA"/>
        </w:rPr>
        <w:t xml:space="preserve">, відповідно до </w:t>
      </w:r>
      <w:r w:rsidR="00B170B0">
        <w:rPr>
          <w:rFonts w:ascii="Times New Roman" w:hAnsi="Times New Roman" w:cs="Times New Roman"/>
          <w:sz w:val="24"/>
          <w:szCs w:val="24"/>
          <w:lang w:val="uk-UA"/>
        </w:rPr>
        <w:t>вимог Директиви 2004/49/ЄС (Директива з питань безпеки) та 2008/57/ЄС (Директива про експлуатаційну сумісність), перенесених в українське законодавство.</w:t>
      </w:r>
    </w:p>
    <w:p w:rsidR="00B170B0" w:rsidRDefault="00B170B0" w:rsidP="00F7517C">
      <w:pPr>
        <w:autoSpaceDE w:val="0"/>
        <w:autoSpaceDN w:val="0"/>
        <w:adjustRightInd w:val="0"/>
        <w:spacing w:after="0" w:line="240" w:lineRule="auto"/>
        <w:jc w:val="both"/>
        <w:rPr>
          <w:rFonts w:ascii="Times New Roman" w:hAnsi="Times New Roman" w:cs="Times New Roman"/>
          <w:sz w:val="24"/>
          <w:szCs w:val="24"/>
          <w:lang w:val="uk-UA"/>
        </w:rPr>
      </w:pPr>
    </w:p>
    <w:p w:rsidR="002560FD" w:rsidRPr="004E3A0C" w:rsidRDefault="00B170B0" w:rsidP="00F7517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Необхідно також переглянути існуючий реєстр залізничної інфраструктури та рухомого складу, з точки зору приведення цих документів у відповідність до вимог ЄС, визначених статтями 35 (Реєстр інфраструктури) та 33 (Реєстр транспортних засобів) Розділу </w:t>
      </w:r>
      <w:r w:rsidRPr="00B170B0">
        <w:rPr>
          <w:rFonts w:ascii="Times New Roman" w:hAnsi="Times New Roman" w:cs="Times New Roman"/>
          <w:sz w:val="24"/>
          <w:szCs w:val="24"/>
          <w:lang w:val="uk-UA"/>
        </w:rPr>
        <w:t>VIII</w:t>
      </w:r>
      <w:r>
        <w:rPr>
          <w:rFonts w:ascii="Times New Roman" w:hAnsi="Times New Roman" w:cs="Times New Roman"/>
          <w:sz w:val="24"/>
          <w:szCs w:val="24"/>
          <w:lang w:val="uk-UA"/>
        </w:rPr>
        <w:t xml:space="preserve"> Директиви про експлуатаційну сумісність.</w:t>
      </w:r>
    </w:p>
    <w:p w:rsidR="001E5AA8" w:rsidRPr="004E3A0C" w:rsidRDefault="001E5AA8" w:rsidP="00F7517C">
      <w:pPr>
        <w:autoSpaceDE w:val="0"/>
        <w:autoSpaceDN w:val="0"/>
        <w:adjustRightInd w:val="0"/>
        <w:spacing w:after="0" w:line="240" w:lineRule="auto"/>
        <w:jc w:val="both"/>
        <w:rPr>
          <w:rFonts w:ascii="Times New Roman" w:hAnsi="Times New Roman" w:cs="Times New Roman"/>
          <w:sz w:val="24"/>
          <w:szCs w:val="24"/>
          <w:lang w:val="uk-UA"/>
        </w:rPr>
      </w:pPr>
    </w:p>
    <w:p w:rsidR="00FD2B56" w:rsidRPr="004E3A0C" w:rsidRDefault="00FD2B56" w:rsidP="00F7517C">
      <w:pPr>
        <w:autoSpaceDE w:val="0"/>
        <w:autoSpaceDN w:val="0"/>
        <w:adjustRightInd w:val="0"/>
        <w:spacing w:after="0" w:line="240" w:lineRule="auto"/>
        <w:rPr>
          <w:rFonts w:ascii="Times New Roman" w:hAnsi="Times New Roman" w:cs="Times New Roman"/>
          <w:b/>
          <w:i/>
          <w:sz w:val="24"/>
          <w:szCs w:val="24"/>
          <w:lang w:val="uk-UA"/>
        </w:rPr>
      </w:pPr>
      <w:r w:rsidRPr="004E3A0C">
        <w:rPr>
          <w:rFonts w:ascii="Times New Roman" w:hAnsi="Times New Roman" w:cs="Times New Roman"/>
          <w:b/>
          <w:i/>
          <w:sz w:val="24"/>
          <w:szCs w:val="24"/>
          <w:lang w:val="uk-UA"/>
        </w:rPr>
        <w:t xml:space="preserve">5 </w:t>
      </w:r>
      <w:r w:rsidR="001E5AA8" w:rsidRPr="004E3A0C">
        <w:rPr>
          <w:rFonts w:ascii="Times New Roman" w:hAnsi="Times New Roman" w:cs="Times New Roman"/>
          <w:b/>
          <w:i/>
          <w:sz w:val="24"/>
          <w:szCs w:val="24"/>
          <w:lang w:val="uk-UA"/>
        </w:rPr>
        <w:t>Регулювання та контроль виконання</w:t>
      </w:r>
    </w:p>
    <w:p w:rsidR="00FD2B56" w:rsidRPr="004E3A0C" w:rsidRDefault="00FD2B56" w:rsidP="00F7517C">
      <w:pPr>
        <w:autoSpaceDE w:val="0"/>
        <w:autoSpaceDN w:val="0"/>
        <w:adjustRightInd w:val="0"/>
        <w:spacing w:after="0" w:line="240" w:lineRule="auto"/>
        <w:rPr>
          <w:rFonts w:ascii="Times New Roman" w:hAnsi="Times New Roman" w:cs="Times New Roman"/>
          <w:sz w:val="24"/>
          <w:szCs w:val="24"/>
          <w:lang w:val="uk-UA"/>
        </w:rPr>
      </w:pPr>
    </w:p>
    <w:p w:rsidR="004E5F7B" w:rsidRDefault="004E5F7B" w:rsidP="00F7517C">
      <w:pPr>
        <w:autoSpaceDE w:val="0"/>
        <w:autoSpaceDN w:val="0"/>
        <w:adjustRightInd w:val="0"/>
        <w:spacing w:after="0" w:line="240" w:lineRule="auto"/>
        <w:jc w:val="both"/>
        <w:rPr>
          <w:rFonts w:ascii="Times New Roman" w:hAnsi="Times New Roman" w:cs="Times New Roman"/>
          <w:sz w:val="24"/>
          <w:szCs w:val="24"/>
          <w:lang w:val="uk-UA"/>
        </w:rPr>
      </w:pPr>
      <w:r w:rsidRPr="004E3A0C">
        <w:rPr>
          <w:rFonts w:ascii="Times New Roman" w:hAnsi="Times New Roman" w:cs="Times New Roman"/>
          <w:sz w:val="24"/>
          <w:szCs w:val="24"/>
          <w:lang w:val="uk-UA"/>
        </w:rPr>
        <w:t xml:space="preserve">Міністерство інфраструктури є </w:t>
      </w:r>
      <w:r w:rsidR="007E68F5">
        <w:rPr>
          <w:rFonts w:ascii="Times New Roman" w:hAnsi="Times New Roman" w:cs="Times New Roman"/>
          <w:sz w:val="24"/>
          <w:szCs w:val="24"/>
          <w:lang w:val="uk-UA"/>
        </w:rPr>
        <w:t>головним компетентним органом щодо імплементації</w:t>
      </w:r>
      <w:r w:rsidRPr="004E3A0C">
        <w:rPr>
          <w:rFonts w:ascii="Times New Roman" w:hAnsi="Times New Roman" w:cs="Times New Roman"/>
          <w:sz w:val="24"/>
          <w:szCs w:val="24"/>
          <w:lang w:val="uk-UA"/>
        </w:rPr>
        <w:t xml:space="preserve"> Директиви </w:t>
      </w:r>
      <w:r w:rsidR="003E44B7" w:rsidRPr="004E3A0C">
        <w:rPr>
          <w:rFonts w:ascii="Times New Roman" w:hAnsi="Times New Roman" w:cs="Times New Roman"/>
          <w:sz w:val="24"/>
          <w:szCs w:val="24"/>
          <w:lang w:val="uk-UA"/>
        </w:rPr>
        <w:t>2001/14/ЄС</w:t>
      </w:r>
      <w:r w:rsidRPr="004E3A0C">
        <w:rPr>
          <w:rFonts w:ascii="Times New Roman" w:hAnsi="Times New Roman" w:cs="Times New Roman"/>
          <w:sz w:val="24"/>
          <w:szCs w:val="24"/>
          <w:lang w:val="uk-UA"/>
        </w:rPr>
        <w:t>.</w:t>
      </w:r>
    </w:p>
    <w:p w:rsidR="00114FB6" w:rsidRDefault="00114FB6" w:rsidP="00F7517C">
      <w:pPr>
        <w:autoSpaceDE w:val="0"/>
        <w:autoSpaceDN w:val="0"/>
        <w:adjustRightInd w:val="0"/>
        <w:spacing w:after="0" w:line="240" w:lineRule="auto"/>
        <w:jc w:val="both"/>
        <w:rPr>
          <w:rFonts w:ascii="Times New Roman" w:hAnsi="Times New Roman" w:cs="Times New Roman"/>
          <w:sz w:val="24"/>
          <w:szCs w:val="24"/>
          <w:lang w:val="uk-UA"/>
        </w:rPr>
      </w:pPr>
    </w:p>
    <w:p w:rsidR="00114FB6" w:rsidRDefault="00114FB6" w:rsidP="00F7517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Взяти участь в імплементації може до 6 суб’єктів, а саме:</w:t>
      </w:r>
    </w:p>
    <w:p w:rsidR="00114FB6" w:rsidRDefault="00114FB6" w:rsidP="00F7517C">
      <w:pPr>
        <w:autoSpaceDE w:val="0"/>
        <w:autoSpaceDN w:val="0"/>
        <w:adjustRightInd w:val="0"/>
        <w:spacing w:after="0" w:line="240" w:lineRule="auto"/>
        <w:jc w:val="both"/>
        <w:rPr>
          <w:rFonts w:ascii="Times New Roman" w:hAnsi="Times New Roman" w:cs="Times New Roman"/>
          <w:sz w:val="24"/>
          <w:szCs w:val="24"/>
          <w:lang w:val="uk-UA"/>
        </w:rPr>
      </w:pPr>
    </w:p>
    <w:p w:rsidR="00114FB6" w:rsidRDefault="00114FB6" w:rsidP="00114FB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Доступ до колії: хто надаватиме доступ до залізничної колії (МІ, МІУ, інше?)</w:t>
      </w:r>
    </w:p>
    <w:p w:rsidR="00114FB6" w:rsidRDefault="00114FB6" w:rsidP="00114FB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Встановлення тарифів: МІУ, </w:t>
      </w:r>
      <w:r w:rsidR="00F46DAA">
        <w:rPr>
          <w:rFonts w:ascii="Times New Roman" w:hAnsi="Times New Roman" w:cs="Times New Roman"/>
          <w:sz w:val="24"/>
          <w:szCs w:val="24"/>
          <w:lang w:val="uk-UA"/>
        </w:rPr>
        <w:t>новий орган</w:t>
      </w:r>
      <w:r>
        <w:rPr>
          <w:rFonts w:ascii="Times New Roman" w:hAnsi="Times New Roman" w:cs="Times New Roman"/>
          <w:sz w:val="24"/>
          <w:szCs w:val="24"/>
          <w:lang w:val="uk-UA"/>
        </w:rPr>
        <w:t xml:space="preserve"> у сфері залізничного транспорту, МІ (який в будь-якому випадку повинен встановлювати запропоновану вартість доступу), інше?</w:t>
      </w:r>
    </w:p>
    <w:p w:rsidR="00114FB6" w:rsidRDefault="00114FB6" w:rsidP="00114FB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Розподілення пропускної здатності: МІУ або МІ?</w:t>
      </w:r>
    </w:p>
    <w:p w:rsidR="00114FB6" w:rsidRDefault="00114FB6" w:rsidP="00114FB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Регулювання конкуренції: </w:t>
      </w:r>
      <w:r w:rsidRPr="004E3A0C">
        <w:rPr>
          <w:rFonts w:ascii="Times New Roman" w:hAnsi="Times New Roman" w:cs="Times New Roman"/>
          <w:sz w:val="24"/>
          <w:szCs w:val="24"/>
          <w:lang w:val="uk-UA"/>
        </w:rPr>
        <w:t>Національна комісія регулювання транспорту</w:t>
      </w:r>
      <w:r>
        <w:rPr>
          <w:rFonts w:ascii="Times New Roman" w:hAnsi="Times New Roman" w:cs="Times New Roman"/>
          <w:sz w:val="24"/>
          <w:szCs w:val="24"/>
          <w:lang w:val="uk-UA"/>
        </w:rPr>
        <w:t xml:space="preserve"> (уповноважена на законодавчому рівні), Антимонопольний комітет, обидві установи або </w:t>
      </w:r>
      <w:r w:rsidR="00F46DAA">
        <w:rPr>
          <w:rFonts w:ascii="Times New Roman" w:hAnsi="Times New Roman" w:cs="Times New Roman"/>
          <w:sz w:val="24"/>
          <w:szCs w:val="24"/>
          <w:lang w:val="uk-UA"/>
        </w:rPr>
        <w:t>орган у сфері залізничного транспорту?</w:t>
      </w:r>
    </w:p>
    <w:p w:rsid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p>
    <w:p w:rsidR="00F46DAA" w:rsidRDefault="00F46DAA" w:rsidP="00F46DAA">
      <w:pPr>
        <w:autoSpaceDE w:val="0"/>
        <w:autoSpaceDN w:val="0"/>
        <w:adjustRightInd w:val="0"/>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Оскільки є різноманітні можливості, які використовуються сьогодні в державах-членах, приклади організації в усіх держава-членах та Росії подано у Додатку 1.</w:t>
      </w:r>
    </w:p>
    <w:p w:rsidR="00F46DAA" w:rsidRPr="00F46DAA" w:rsidRDefault="00F46DAA" w:rsidP="00F46DAA">
      <w:pPr>
        <w:autoSpaceDE w:val="0"/>
        <w:autoSpaceDN w:val="0"/>
        <w:adjustRightInd w:val="0"/>
        <w:spacing w:after="0" w:line="240" w:lineRule="auto"/>
        <w:jc w:val="both"/>
        <w:rPr>
          <w:rFonts w:ascii="Times New Roman" w:hAnsi="Times New Roman" w:cs="Times New Roman"/>
          <w:i/>
          <w:sz w:val="24"/>
          <w:szCs w:val="24"/>
          <w:lang w:val="uk-UA"/>
        </w:rPr>
      </w:pPr>
    </w:p>
    <w:p w:rsidR="00F46DAA" w:rsidRDefault="00F46DAA" w:rsidP="00114FB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безпеки - </w:t>
      </w:r>
      <w:r w:rsidRPr="004E3A0C">
        <w:rPr>
          <w:rFonts w:ascii="Times New Roman" w:hAnsi="Times New Roman" w:cs="Times New Roman"/>
          <w:sz w:val="24"/>
          <w:szCs w:val="24"/>
          <w:lang w:val="uk-UA"/>
        </w:rPr>
        <w:t>Державна служба з безпеки на транспорті (</w:t>
      </w:r>
      <w:proofErr w:type="spellStart"/>
      <w:r w:rsidRPr="004E3A0C">
        <w:rPr>
          <w:rFonts w:ascii="Times New Roman" w:hAnsi="Times New Roman" w:cs="Times New Roman"/>
          <w:sz w:val="24"/>
          <w:szCs w:val="24"/>
          <w:lang w:val="uk-UA"/>
        </w:rPr>
        <w:t>Укртрансбезпека</w:t>
      </w:r>
      <w:proofErr w:type="spellEnd"/>
      <w:r w:rsidRPr="004E3A0C">
        <w:rPr>
          <w:rFonts w:ascii="Times New Roman" w:hAnsi="Times New Roman" w:cs="Times New Roman"/>
          <w:sz w:val="24"/>
          <w:szCs w:val="24"/>
          <w:lang w:val="uk-UA"/>
        </w:rPr>
        <w:t xml:space="preserve">), відповідає за видачу та анулювання сертифікатів безпеки, здійснює </w:t>
      </w:r>
      <w:r>
        <w:rPr>
          <w:rFonts w:ascii="Times New Roman" w:hAnsi="Times New Roman" w:cs="Times New Roman"/>
          <w:sz w:val="24"/>
          <w:szCs w:val="24"/>
          <w:lang w:val="uk-UA"/>
        </w:rPr>
        <w:t xml:space="preserve">загальний </w:t>
      </w:r>
      <w:r w:rsidRPr="004E3A0C">
        <w:rPr>
          <w:rFonts w:ascii="Times New Roman" w:hAnsi="Times New Roman" w:cs="Times New Roman"/>
          <w:sz w:val="24"/>
          <w:szCs w:val="24"/>
          <w:lang w:val="uk-UA"/>
        </w:rPr>
        <w:t>контроль функціонування системи управління безпекою руху на залізничному транспорті.</w:t>
      </w:r>
    </w:p>
    <w:p w:rsidR="00F46DAA" w:rsidRDefault="00F46DAA" w:rsidP="00114FB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Регуляторний орган має ключове значення для належної імплементації цієї директиви та контролю за її виконанням. Він має бути незалежним від будь-якого менеджера інфраструктури, органу, який відповідає за отримання оплати або розподілення пропускної здатності або заявник. Він повинен бути незалежним за своєю організацією, правовою структурою, фінансуванням та процесом прийняття рішення. Рішення, прийняті таким регуляторним органом, можуть бути предметом судового розгляду.</w:t>
      </w:r>
    </w:p>
    <w:p w:rsid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p>
    <w:p w:rsid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Це, безумовно, є новим для функціонування залізничного ринку в Україні.</w:t>
      </w:r>
    </w:p>
    <w:p w:rsid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p>
    <w:p w:rsid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Регуляторний орган повинен бути арбітражним органом стосовно рішень, прийнятих менеджером інфраструктури або залізничним підприємством, у контексті дискримінаційних умов доступу.</w:t>
      </w:r>
    </w:p>
    <w:p w:rsid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p>
    <w:p w:rsidR="00F46DAA" w:rsidRP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Будь-яка зацікавлена сторона або заявник можуть подати скаргу до регуляторного органу, якщо вони вважають, щ</w:t>
      </w:r>
      <w:r w:rsidRPr="00F46DAA">
        <w:rPr>
          <w:rFonts w:ascii="Times New Roman" w:hAnsi="Times New Roman" w:cs="Times New Roman"/>
          <w:sz w:val="24"/>
          <w:szCs w:val="24"/>
          <w:lang w:val="uk-UA"/>
        </w:rPr>
        <w:t xml:space="preserve">о ставлення до </w:t>
      </w:r>
      <w:r>
        <w:rPr>
          <w:rFonts w:ascii="Times New Roman" w:hAnsi="Times New Roman" w:cs="Times New Roman"/>
          <w:sz w:val="24"/>
          <w:szCs w:val="24"/>
          <w:lang w:val="uk-UA"/>
        </w:rPr>
        <w:t>них</w:t>
      </w:r>
      <w:r w:rsidRPr="00F46DAA">
        <w:rPr>
          <w:rFonts w:ascii="Times New Roman" w:hAnsi="Times New Roman" w:cs="Times New Roman"/>
          <w:sz w:val="24"/>
          <w:szCs w:val="24"/>
          <w:lang w:val="uk-UA"/>
        </w:rPr>
        <w:t xml:space="preserve"> було несправедливим, дискримінаційним або в</w:t>
      </w:r>
      <w:r>
        <w:rPr>
          <w:rFonts w:ascii="Times New Roman" w:hAnsi="Times New Roman" w:cs="Times New Roman"/>
          <w:sz w:val="24"/>
          <w:szCs w:val="24"/>
          <w:lang w:val="uk-UA"/>
        </w:rPr>
        <w:t>они постраждали</w:t>
      </w:r>
      <w:r w:rsidRPr="00F46DAA">
        <w:rPr>
          <w:rFonts w:ascii="Times New Roman" w:hAnsi="Times New Roman" w:cs="Times New Roman"/>
          <w:sz w:val="24"/>
          <w:szCs w:val="24"/>
          <w:lang w:val="uk-UA"/>
        </w:rPr>
        <w:t xml:space="preserve"> у будь-який інший спосіб.</w:t>
      </w:r>
      <w:r>
        <w:rPr>
          <w:rFonts w:ascii="Times New Roman" w:hAnsi="Times New Roman" w:cs="Times New Roman"/>
          <w:sz w:val="24"/>
          <w:szCs w:val="24"/>
          <w:lang w:val="uk-UA"/>
        </w:rPr>
        <w:t xml:space="preserve"> Регуляторний орган </w:t>
      </w:r>
    </w:p>
    <w:p w:rsid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r w:rsidRPr="00F46DAA">
        <w:rPr>
          <w:rFonts w:ascii="Times New Roman" w:hAnsi="Times New Roman" w:cs="Times New Roman"/>
          <w:sz w:val="24"/>
          <w:szCs w:val="24"/>
          <w:lang w:val="uk-UA"/>
        </w:rPr>
        <w:t xml:space="preserve">має гарантувати, що тарифи, встановлені менеджером інфраструктури, є недискримінаційними. </w:t>
      </w:r>
      <w:r>
        <w:rPr>
          <w:rFonts w:ascii="Times New Roman" w:hAnsi="Times New Roman" w:cs="Times New Roman"/>
          <w:sz w:val="24"/>
          <w:szCs w:val="24"/>
          <w:lang w:val="uk-UA"/>
        </w:rPr>
        <w:t>Він повинен здійснювати нагляд за будь-якими переговорами між заявником та менеджером інфраструктури стосовно рівня тарифів та втручатися, у разі необхідності</w:t>
      </w:r>
      <w:r w:rsidRPr="00F46DAA">
        <w:rPr>
          <w:rFonts w:ascii="Times New Roman" w:hAnsi="Times New Roman" w:cs="Times New Roman"/>
          <w:sz w:val="24"/>
          <w:szCs w:val="24"/>
          <w:lang w:val="uk-UA"/>
        </w:rPr>
        <w:t xml:space="preserve">. </w:t>
      </w:r>
    </w:p>
    <w:p w:rsid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p>
    <w:p w:rsid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Регуляторний орган повинен </w:t>
      </w:r>
      <w:r w:rsidR="00002535">
        <w:rPr>
          <w:rFonts w:ascii="Times New Roman" w:hAnsi="Times New Roman" w:cs="Times New Roman"/>
          <w:sz w:val="24"/>
          <w:szCs w:val="24"/>
          <w:lang w:val="uk-UA"/>
        </w:rPr>
        <w:t>спостерігати за</w:t>
      </w:r>
      <w:r>
        <w:rPr>
          <w:rFonts w:ascii="Times New Roman" w:hAnsi="Times New Roman" w:cs="Times New Roman"/>
          <w:sz w:val="24"/>
          <w:szCs w:val="24"/>
          <w:lang w:val="uk-UA"/>
        </w:rPr>
        <w:t xml:space="preserve"> конкуренці</w:t>
      </w:r>
      <w:r w:rsidR="00002535">
        <w:rPr>
          <w:rFonts w:ascii="Times New Roman" w:hAnsi="Times New Roman" w:cs="Times New Roman"/>
          <w:sz w:val="24"/>
          <w:szCs w:val="24"/>
          <w:lang w:val="uk-UA"/>
        </w:rPr>
        <w:t>єю на ринку залізничних послуг. У своїй контролюючій функції він повинен приймати рішення на підстав скарг або з власної ініціатив стосовно відповідних заходів для корегування небажаних процесів.</w:t>
      </w:r>
    </w:p>
    <w:p w:rsidR="00002535" w:rsidRDefault="00002535" w:rsidP="00F46DAA">
      <w:pPr>
        <w:autoSpaceDE w:val="0"/>
        <w:autoSpaceDN w:val="0"/>
        <w:adjustRightInd w:val="0"/>
        <w:spacing w:after="0" w:line="240" w:lineRule="auto"/>
        <w:jc w:val="both"/>
        <w:rPr>
          <w:rFonts w:ascii="Times New Roman" w:hAnsi="Times New Roman" w:cs="Times New Roman"/>
          <w:sz w:val="24"/>
          <w:szCs w:val="24"/>
          <w:lang w:val="uk-UA"/>
        </w:rPr>
      </w:pPr>
    </w:p>
    <w:p w:rsidR="00F46DAA" w:rsidRPr="00F46DAA" w:rsidRDefault="00002535" w:rsidP="00F46DA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Цей орган </w:t>
      </w:r>
      <w:r w:rsidR="00F46DAA" w:rsidRPr="00F46DAA">
        <w:rPr>
          <w:rFonts w:ascii="Times New Roman" w:hAnsi="Times New Roman" w:cs="Times New Roman"/>
          <w:sz w:val="24"/>
          <w:szCs w:val="24"/>
          <w:lang w:val="uk-UA"/>
        </w:rPr>
        <w:t xml:space="preserve">повинен мати </w:t>
      </w:r>
      <w:r>
        <w:rPr>
          <w:rFonts w:ascii="Times New Roman" w:hAnsi="Times New Roman" w:cs="Times New Roman"/>
          <w:sz w:val="24"/>
          <w:szCs w:val="24"/>
          <w:lang w:val="uk-UA"/>
        </w:rPr>
        <w:t>право</w:t>
      </w:r>
      <w:r w:rsidR="00F46DAA" w:rsidRPr="00F46DAA">
        <w:rPr>
          <w:rFonts w:ascii="Times New Roman" w:hAnsi="Times New Roman" w:cs="Times New Roman"/>
          <w:sz w:val="24"/>
          <w:szCs w:val="24"/>
          <w:lang w:val="uk-UA"/>
        </w:rPr>
        <w:t xml:space="preserve"> вимагати від менеджера інфраструктури, заявників будь-якої іншої третьої сторони, які беруть участь у процесі у межах відповідної держави-члена відповідної інформації, яка має надаватися без необґрунтованої затримки.</w:t>
      </w:r>
    </w:p>
    <w:p w:rsidR="00F46DAA" w:rsidRPr="00F46DAA" w:rsidRDefault="00F46DAA" w:rsidP="00F46DAA">
      <w:pPr>
        <w:autoSpaceDE w:val="0"/>
        <w:autoSpaceDN w:val="0"/>
        <w:adjustRightInd w:val="0"/>
        <w:spacing w:after="0" w:line="240" w:lineRule="auto"/>
        <w:jc w:val="both"/>
        <w:rPr>
          <w:rFonts w:ascii="Times New Roman" w:hAnsi="Times New Roman" w:cs="Times New Roman"/>
          <w:sz w:val="24"/>
          <w:szCs w:val="24"/>
          <w:lang w:val="uk-UA"/>
        </w:rPr>
      </w:pPr>
    </w:p>
    <w:p w:rsidR="004E5F7B" w:rsidRPr="004E3A0C" w:rsidRDefault="004E5F7B" w:rsidP="00F7517C">
      <w:pPr>
        <w:autoSpaceDE w:val="0"/>
        <w:autoSpaceDN w:val="0"/>
        <w:adjustRightInd w:val="0"/>
        <w:spacing w:after="0" w:line="240" w:lineRule="auto"/>
        <w:jc w:val="both"/>
        <w:rPr>
          <w:rFonts w:ascii="Times New Roman" w:hAnsi="Times New Roman" w:cs="Times New Roman"/>
          <w:sz w:val="24"/>
          <w:szCs w:val="24"/>
          <w:lang w:val="uk-UA"/>
        </w:rPr>
      </w:pPr>
    </w:p>
    <w:p w:rsidR="004E5F7B" w:rsidRPr="004E3A0C" w:rsidRDefault="004E5F7B" w:rsidP="00F46DAA">
      <w:pPr>
        <w:autoSpaceDE w:val="0"/>
        <w:autoSpaceDN w:val="0"/>
        <w:adjustRightInd w:val="0"/>
        <w:spacing w:after="0" w:line="240" w:lineRule="auto"/>
        <w:jc w:val="both"/>
        <w:rPr>
          <w:rFonts w:ascii="Times New Roman" w:hAnsi="Times New Roman" w:cs="Times New Roman"/>
          <w:sz w:val="24"/>
          <w:szCs w:val="24"/>
          <w:lang w:val="uk-UA"/>
        </w:rPr>
      </w:pPr>
      <w:r w:rsidRPr="004E3A0C">
        <w:rPr>
          <w:rFonts w:ascii="Times New Roman" w:hAnsi="Times New Roman" w:cs="Times New Roman"/>
          <w:sz w:val="24"/>
          <w:szCs w:val="24"/>
          <w:lang w:val="uk-UA"/>
        </w:rPr>
        <w:tab/>
        <w:t xml:space="preserve"> </w:t>
      </w:r>
    </w:p>
    <w:p w:rsidR="00FD2B56" w:rsidRPr="004E3A0C" w:rsidRDefault="00FD2B56" w:rsidP="00002535">
      <w:pPr>
        <w:pStyle w:val="Heading1"/>
        <w:rPr>
          <w:lang w:val="uk-UA"/>
        </w:rPr>
      </w:pPr>
      <w:bookmarkStart w:id="4" w:name="_Toc432079589"/>
      <w:r w:rsidRPr="004E3A0C">
        <w:rPr>
          <w:lang w:val="uk-UA"/>
        </w:rPr>
        <w:lastRenderedPageBreak/>
        <w:t xml:space="preserve">6 </w:t>
      </w:r>
      <w:r w:rsidR="001E5AA8" w:rsidRPr="004E3A0C">
        <w:rPr>
          <w:lang w:val="uk-UA"/>
        </w:rPr>
        <w:t xml:space="preserve">Пріоритети і </w:t>
      </w:r>
      <w:r w:rsidR="00002535">
        <w:rPr>
          <w:lang w:val="uk-UA"/>
        </w:rPr>
        <w:t>терміни</w:t>
      </w:r>
      <w:bookmarkEnd w:id="4"/>
    </w:p>
    <w:p w:rsidR="00FD2B56" w:rsidRPr="004E3A0C" w:rsidRDefault="00FD2B56" w:rsidP="00F7517C">
      <w:pPr>
        <w:autoSpaceDE w:val="0"/>
        <w:autoSpaceDN w:val="0"/>
        <w:adjustRightInd w:val="0"/>
        <w:spacing w:after="0" w:line="240" w:lineRule="auto"/>
        <w:rPr>
          <w:rFonts w:ascii="Times New Roman" w:hAnsi="Times New Roman" w:cs="Times New Roman"/>
          <w:sz w:val="24"/>
          <w:szCs w:val="24"/>
          <w:lang w:val="uk-UA"/>
        </w:rPr>
      </w:pPr>
    </w:p>
    <w:p w:rsidR="00002535" w:rsidRDefault="00002535" w:rsidP="00F7517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умови прийняття нового </w:t>
      </w:r>
      <w:r w:rsidRPr="004E3A0C">
        <w:rPr>
          <w:rFonts w:ascii="Times New Roman" w:hAnsi="Times New Roman" w:cs="Times New Roman"/>
          <w:sz w:val="24"/>
          <w:szCs w:val="24"/>
          <w:lang w:val="uk-UA"/>
        </w:rPr>
        <w:t>Закону України «Про залізничний транспорт»,</w:t>
      </w:r>
      <w:r>
        <w:rPr>
          <w:rFonts w:ascii="Times New Roman" w:hAnsi="Times New Roman" w:cs="Times New Roman"/>
          <w:sz w:val="24"/>
          <w:szCs w:val="24"/>
          <w:lang w:val="uk-UA"/>
        </w:rPr>
        <w:t xml:space="preserve"> яким реалізовано принцип відокремлення управління інфраструктурою та перевезень, для імплементації Директиви треба наступне:</w:t>
      </w:r>
    </w:p>
    <w:p w:rsidR="00002535" w:rsidRDefault="00002535" w:rsidP="00F7517C">
      <w:pPr>
        <w:autoSpaceDE w:val="0"/>
        <w:autoSpaceDN w:val="0"/>
        <w:adjustRightInd w:val="0"/>
        <w:spacing w:after="0" w:line="240" w:lineRule="auto"/>
        <w:jc w:val="both"/>
        <w:rPr>
          <w:rFonts w:ascii="Times New Roman" w:hAnsi="Times New Roman" w:cs="Times New Roman"/>
          <w:sz w:val="24"/>
          <w:szCs w:val="24"/>
          <w:lang w:val="uk-UA"/>
        </w:rPr>
      </w:pPr>
    </w:p>
    <w:p w:rsidR="00002535" w:rsidRPr="006E7A3E" w:rsidRDefault="00002535"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 xml:space="preserve">Створити робочу групу, бажано разом з тією, яка займається імплементацією директив з безпеки та експлуатаційної сумісності (УЗ, МІУ, технічна допомога ЄС, Мінфін, </w:t>
      </w:r>
      <w:proofErr w:type="spellStart"/>
      <w:r w:rsidRPr="006E7A3E">
        <w:rPr>
          <w:rFonts w:ascii="Times New Roman" w:hAnsi="Times New Roman" w:cs="Times New Roman"/>
          <w:sz w:val="24"/>
          <w:szCs w:val="24"/>
          <w:lang w:val="uk-UA"/>
        </w:rPr>
        <w:t>Укртрансбезпека</w:t>
      </w:r>
      <w:proofErr w:type="spellEnd"/>
      <w:r w:rsidRPr="006E7A3E">
        <w:rPr>
          <w:rFonts w:ascii="Times New Roman" w:hAnsi="Times New Roman" w:cs="Times New Roman"/>
          <w:sz w:val="24"/>
          <w:szCs w:val="24"/>
          <w:lang w:val="uk-UA"/>
        </w:rPr>
        <w:t>, Антимонопольний комітет) – 2016</w:t>
      </w:r>
    </w:p>
    <w:p w:rsidR="00002535" w:rsidRPr="006E7A3E" w:rsidRDefault="00002535"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Підготувати (</w:t>
      </w:r>
      <w:r w:rsidRPr="006E7A3E">
        <w:rPr>
          <w:rFonts w:ascii="Times New Roman" w:hAnsi="Times New Roman" w:cs="Times New Roman"/>
          <w:i/>
          <w:sz w:val="24"/>
          <w:szCs w:val="24"/>
          <w:lang w:val="uk-UA"/>
        </w:rPr>
        <w:t>рекомендовано</w:t>
      </w:r>
      <w:r w:rsidRPr="006E7A3E">
        <w:rPr>
          <w:rFonts w:ascii="Times New Roman" w:hAnsi="Times New Roman" w:cs="Times New Roman"/>
          <w:sz w:val="24"/>
          <w:szCs w:val="24"/>
          <w:lang w:val="uk-UA"/>
        </w:rPr>
        <w:t>) Стратегічний бізнес-план залізничної мережі та Стратегії використання маршрутів, а також вивчення пропускної здатності існуючої інфраструктури для вантажного та пасажирського руху (МІУ, УЗ, виробники, клієнти) – 2016-2017</w:t>
      </w:r>
    </w:p>
    <w:p w:rsidR="00002535" w:rsidRPr="006E7A3E" w:rsidRDefault="00002535"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Виконати аналіз витрат на технічне утримання/ оновлення інфраструктури для визначення оплати за користування нею – 2017-2018</w:t>
      </w:r>
    </w:p>
    <w:p w:rsidR="00002535" w:rsidRPr="006E7A3E" w:rsidRDefault="00002535"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Розробити методику плати за користування інфраструктурою залізничного тра</w:t>
      </w:r>
      <w:r w:rsidRPr="006E7A3E">
        <w:rPr>
          <w:rFonts w:ascii="Times New Roman" w:hAnsi="Times New Roman" w:cs="Times New Roman"/>
          <w:sz w:val="24"/>
          <w:szCs w:val="24"/>
          <w:lang w:val="uk-UA"/>
        </w:rPr>
        <w:t>нспорту загального користування та визначити тарифи – 2019</w:t>
      </w:r>
    </w:p>
    <w:p w:rsidR="00002535" w:rsidRPr="006E7A3E" w:rsidRDefault="00002535"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i/>
          <w:sz w:val="24"/>
          <w:szCs w:val="24"/>
          <w:lang w:val="uk-UA"/>
        </w:rPr>
        <w:t>Підготувати</w:t>
      </w:r>
      <w:r w:rsidRPr="006E7A3E">
        <w:rPr>
          <w:rFonts w:ascii="Times New Roman" w:hAnsi="Times New Roman" w:cs="Times New Roman"/>
          <w:sz w:val="24"/>
          <w:szCs w:val="24"/>
          <w:lang w:val="uk-UA"/>
        </w:rPr>
        <w:t xml:space="preserve"> (бажано) на основі Стратегічного бізнес-плану залізничної мережі та Стратегій маршрутів, порядки користування залізницею для визначення пропускної здатності інфраструктури, а також організаційних схем доступу та тарифів (менеджер інфраструктури) – 2019</w:t>
      </w:r>
    </w:p>
    <w:p w:rsidR="00002535" w:rsidRPr="006E7A3E" w:rsidRDefault="00002535"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Переглянути існуючий реєстр залізничної інфраструктури та рухомого складу, з точки зору приведення цих документів у відповідність до вимог ЄС, визначених статтями 35 (Реєстр інфраструктури) та 33 (Реєстр транспортних засобів) Розділу VIII Директиви про експлуатаційну сумісність (МІУ) – початок 2017 – завершення 2022р. (див. Дорожні карти для директив з безпеки на залізниці та експлуатаційної сумісності)</w:t>
      </w:r>
    </w:p>
    <w:p w:rsidR="00002535" w:rsidRPr="006E7A3E" w:rsidRDefault="00002535"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Закріпити за кожним транспортним засобом, який вже експлуатується або вводиться в експлуатацію, ідентифікаційний код, сумісний з кодом ЄС. Після цього транспортні засоби повинні бути включені до національно</w:t>
      </w:r>
      <w:r w:rsidR="006E7A3E" w:rsidRPr="006E7A3E">
        <w:rPr>
          <w:rFonts w:ascii="Times New Roman" w:hAnsi="Times New Roman" w:cs="Times New Roman"/>
          <w:sz w:val="24"/>
          <w:szCs w:val="24"/>
          <w:lang w:val="uk-UA"/>
        </w:rPr>
        <w:t>го реєстру транспортних засобів – 2017 – 2022</w:t>
      </w:r>
    </w:p>
    <w:p w:rsidR="006E7A3E" w:rsidRPr="006E7A3E" w:rsidRDefault="006E7A3E"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Створити або уповноважити регуляторний орган з нагляду за недискримінаційним доступом до інфраструктури для всіх залізничних підприємств – 2019</w:t>
      </w:r>
    </w:p>
    <w:p w:rsidR="006E7A3E" w:rsidRPr="006E7A3E" w:rsidRDefault="006E7A3E"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Виконати аналіз потреб у навчанні для персоналу регуляторного органу, а також залученого персоналу МІУ та провести навчання – 2019</w:t>
      </w:r>
    </w:p>
    <w:p w:rsidR="006E7A3E" w:rsidRPr="006E7A3E" w:rsidRDefault="006E7A3E"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Встановити максимальні тарифи для пасажирських перевезень – 2019</w:t>
      </w:r>
    </w:p>
    <w:p w:rsidR="006E7A3E" w:rsidRPr="006E7A3E" w:rsidRDefault="006E7A3E"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i/>
          <w:sz w:val="24"/>
          <w:szCs w:val="24"/>
          <w:lang w:val="uk-UA"/>
        </w:rPr>
        <w:t>Оприлюднити</w:t>
      </w:r>
      <w:r w:rsidRPr="006E7A3E">
        <w:rPr>
          <w:rFonts w:ascii="Times New Roman" w:hAnsi="Times New Roman" w:cs="Times New Roman"/>
          <w:sz w:val="24"/>
          <w:szCs w:val="24"/>
          <w:lang w:val="uk-UA"/>
        </w:rPr>
        <w:t xml:space="preserve"> порядок користування залізницею, яким визначається пропускна здатність інфраструктури, а також організаційні схеми та тарифи (менеджер інфраструктури) – 2020р.</w:t>
      </w:r>
    </w:p>
    <w:p w:rsidR="006E7A3E" w:rsidRPr="006E7A3E" w:rsidRDefault="006E7A3E" w:rsidP="006E7A3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uk-UA"/>
        </w:rPr>
      </w:pPr>
      <w:r w:rsidRPr="006E7A3E">
        <w:rPr>
          <w:rFonts w:ascii="Times New Roman" w:hAnsi="Times New Roman" w:cs="Times New Roman"/>
          <w:sz w:val="24"/>
          <w:szCs w:val="24"/>
          <w:lang w:val="uk-UA"/>
        </w:rPr>
        <w:t xml:space="preserve">Запустити процес та проінформувати Координаційну раду УА – 2020р. </w:t>
      </w:r>
    </w:p>
    <w:p w:rsidR="00002535" w:rsidRPr="00002535" w:rsidRDefault="00002535" w:rsidP="00F7517C">
      <w:pPr>
        <w:autoSpaceDE w:val="0"/>
        <w:autoSpaceDN w:val="0"/>
        <w:adjustRightInd w:val="0"/>
        <w:spacing w:after="0" w:line="240" w:lineRule="auto"/>
        <w:jc w:val="both"/>
        <w:rPr>
          <w:rFonts w:ascii="Times New Roman" w:hAnsi="Times New Roman" w:cs="Times New Roman"/>
          <w:sz w:val="24"/>
          <w:szCs w:val="24"/>
          <w:lang w:val="uk-UA"/>
        </w:rPr>
      </w:pPr>
    </w:p>
    <w:p w:rsidR="00FD2B56" w:rsidRPr="004E3A0C" w:rsidRDefault="00FD2B56" w:rsidP="006E7A3E">
      <w:pPr>
        <w:pStyle w:val="Heading1"/>
        <w:rPr>
          <w:lang w:val="uk-UA"/>
        </w:rPr>
      </w:pPr>
      <w:bookmarkStart w:id="5" w:name="_Toc432079590"/>
      <w:r w:rsidRPr="004E3A0C">
        <w:rPr>
          <w:lang w:val="uk-UA"/>
        </w:rPr>
        <w:t xml:space="preserve">7 </w:t>
      </w:r>
      <w:r w:rsidR="001E5AA8" w:rsidRPr="004E3A0C">
        <w:rPr>
          <w:lang w:val="uk-UA"/>
        </w:rPr>
        <w:t>Фінансово-економічні питання</w:t>
      </w:r>
      <w:bookmarkEnd w:id="5"/>
    </w:p>
    <w:p w:rsidR="00FD2B56" w:rsidRPr="004E3A0C" w:rsidRDefault="00FD2B56" w:rsidP="00F7517C">
      <w:pPr>
        <w:autoSpaceDE w:val="0"/>
        <w:autoSpaceDN w:val="0"/>
        <w:adjustRightInd w:val="0"/>
        <w:spacing w:after="0" w:line="240" w:lineRule="auto"/>
        <w:rPr>
          <w:rFonts w:ascii="Times New Roman" w:hAnsi="Times New Roman" w:cs="Times New Roman"/>
          <w:sz w:val="24"/>
          <w:szCs w:val="24"/>
          <w:lang w:val="uk-UA"/>
        </w:rPr>
      </w:pPr>
    </w:p>
    <w:p w:rsidR="00C26154" w:rsidRDefault="00C26154" w:rsidP="00F7517C">
      <w:pPr>
        <w:autoSpaceDE w:val="0"/>
        <w:autoSpaceDN w:val="0"/>
        <w:adjustRightInd w:val="0"/>
        <w:spacing w:after="0" w:line="240" w:lineRule="auto"/>
        <w:jc w:val="both"/>
        <w:rPr>
          <w:rFonts w:ascii="Times New Roman" w:hAnsi="Times New Roman" w:cs="Times New Roman"/>
          <w:sz w:val="24"/>
          <w:szCs w:val="24"/>
          <w:lang w:val="uk-UA"/>
        </w:rPr>
      </w:pPr>
      <w:r w:rsidRPr="004E3A0C">
        <w:rPr>
          <w:rFonts w:ascii="Times New Roman" w:hAnsi="Times New Roman" w:cs="Times New Roman"/>
          <w:sz w:val="24"/>
          <w:szCs w:val="24"/>
          <w:lang w:val="uk-UA"/>
        </w:rPr>
        <w:t xml:space="preserve">Система </w:t>
      </w:r>
      <w:r w:rsidR="005C53A8" w:rsidRPr="004E3A0C">
        <w:rPr>
          <w:rFonts w:ascii="Times New Roman" w:hAnsi="Times New Roman" w:cs="Times New Roman"/>
          <w:sz w:val="24"/>
          <w:szCs w:val="24"/>
          <w:lang w:val="uk-UA"/>
        </w:rPr>
        <w:t xml:space="preserve">стягнення плати за доступ до інфраструктури залізничного транспорту є найбільш складним </w:t>
      </w:r>
      <w:r w:rsidR="006E7A3E">
        <w:rPr>
          <w:rFonts w:ascii="Times New Roman" w:hAnsi="Times New Roman" w:cs="Times New Roman"/>
          <w:sz w:val="24"/>
          <w:szCs w:val="24"/>
          <w:lang w:val="uk-UA"/>
        </w:rPr>
        <w:t xml:space="preserve">з </w:t>
      </w:r>
      <w:r w:rsidR="005C53A8" w:rsidRPr="004E3A0C">
        <w:rPr>
          <w:rFonts w:ascii="Times New Roman" w:hAnsi="Times New Roman" w:cs="Times New Roman"/>
          <w:sz w:val="24"/>
          <w:szCs w:val="24"/>
          <w:lang w:val="uk-UA"/>
        </w:rPr>
        <w:t>елементів доступу третіх осіб до інфраструктури.</w:t>
      </w:r>
    </w:p>
    <w:p w:rsidR="006E7A3E" w:rsidRDefault="006E7A3E" w:rsidP="00F7517C">
      <w:pPr>
        <w:autoSpaceDE w:val="0"/>
        <w:autoSpaceDN w:val="0"/>
        <w:adjustRightInd w:val="0"/>
        <w:spacing w:after="0" w:line="240" w:lineRule="auto"/>
        <w:jc w:val="both"/>
        <w:rPr>
          <w:rFonts w:ascii="Times New Roman" w:hAnsi="Times New Roman" w:cs="Times New Roman"/>
          <w:sz w:val="24"/>
          <w:szCs w:val="24"/>
          <w:lang w:val="uk-UA"/>
        </w:rPr>
      </w:pPr>
    </w:p>
    <w:p w:rsidR="006E7A3E" w:rsidRDefault="006E7A3E" w:rsidP="00F7517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Тарифи на інфраструктуру повинні бути безпосередньо пов’язані з витрат</w:t>
      </w:r>
      <w:r w:rsidR="00A07A4B">
        <w:rPr>
          <w:rFonts w:ascii="Times New Roman" w:hAnsi="Times New Roman" w:cs="Times New Roman"/>
          <w:sz w:val="24"/>
          <w:szCs w:val="24"/>
          <w:lang w:val="uk-UA"/>
        </w:rPr>
        <w:t>ами</w:t>
      </w:r>
      <w:r>
        <w:rPr>
          <w:rFonts w:ascii="Times New Roman" w:hAnsi="Times New Roman" w:cs="Times New Roman"/>
          <w:sz w:val="24"/>
          <w:szCs w:val="24"/>
          <w:lang w:val="uk-UA"/>
        </w:rPr>
        <w:t xml:space="preserve"> на обслуговування потягів, у протилежному випадку, залізничний ринок не зможе сприйняти такі високі тарифи, а високий рівень тарифів на інфраструктуру може завадити виходу на ринок нових учасників (тобто буде порушено конкуренцію).</w:t>
      </w:r>
    </w:p>
    <w:p w:rsidR="006E7A3E" w:rsidRDefault="006E7A3E" w:rsidP="00F7517C">
      <w:pPr>
        <w:autoSpaceDE w:val="0"/>
        <w:autoSpaceDN w:val="0"/>
        <w:adjustRightInd w:val="0"/>
        <w:spacing w:after="0" w:line="240" w:lineRule="auto"/>
        <w:jc w:val="both"/>
        <w:rPr>
          <w:rFonts w:ascii="Times New Roman" w:hAnsi="Times New Roman" w:cs="Times New Roman"/>
          <w:sz w:val="24"/>
          <w:szCs w:val="24"/>
          <w:lang w:val="uk-UA"/>
        </w:rPr>
      </w:pPr>
    </w:p>
    <w:p w:rsidR="006E7A3E" w:rsidRDefault="006E7A3E" w:rsidP="00F7517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ідеалі принципи стягнення оплати за доступ до інфраструктури, які застосовуються до залізничного та автомобільного транспорту, повинні поєднуватися, щоб запровадити основу для реальних єдиних правил діяльності різних видів транспорту; такі </w:t>
      </w:r>
      <w:r w:rsidR="00A07A4B">
        <w:rPr>
          <w:rFonts w:ascii="Times New Roman" w:hAnsi="Times New Roman" w:cs="Times New Roman"/>
          <w:sz w:val="24"/>
          <w:szCs w:val="24"/>
          <w:lang w:val="uk-UA"/>
        </w:rPr>
        <w:t>єдині правила гри дозволять зробити українську транспортну систему (і систему ЄС) більш сталою та ефективною і забезпечити максимальну конкурентність залізничного середовища.</w:t>
      </w:r>
    </w:p>
    <w:p w:rsidR="00A07A4B" w:rsidRDefault="00A07A4B" w:rsidP="00F7517C">
      <w:pPr>
        <w:autoSpaceDE w:val="0"/>
        <w:autoSpaceDN w:val="0"/>
        <w:adjustRightInd w:val="0"/>
        <w:spacing w:after="0" w:line="240" w:lineRule="auto"/>
        <w:jc w:val="both"/>
        <w:rPr>
          <w:rFonts w:ascii="Times New Roman" w:hAnsi="Times New Roman" w:cs="Times New Roman"/>
          <w:sz w:val="24"/>
          <w:szCs w:val="24"/>
          <w:lang w:val="uk-UA"/>
        </w:rPr>
      </w:pPr>
    </w:p>
    <w:p w:rsidR="00A07A4B" w:rsidRDefault="00A07A4B" w:rsidP="00F7517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Впровадження Директиви вимагає також прямих адміністративних витрат для належного функціонування регуляторного органу та навчання (це може бути уповноважена </w:t>
      </w:r>
      <w:r w:rsidR="001476EE" w:rsidRPr="001476EE">
        <w:rPr>
          <w:rFonts w:ascii="Times New Roman" w:hAnsi="Times New Roman" w:cs="Times New Roman"/>
          <w:sz w:val="24"/>
          <w:szCs w:val="24"/>
          <w:lang w:val="uk-UA"/>
        </w:rPr>
        <w:t>Національна комісія регулювання транспорту</w:t>
      </w:r>
      <w:r w:rsidR="001476EE">
        <w:rPr>
          <w:rFonts w:ascii="Times New Roman" w:hAnsi="Times New Roman" w:cs="Times New Roman"/>
          <w:sz w:val="24"/>
          <w:szCs w:val="24"/>
          <w:lang w:val="uk-UA"/>
        </w:rPr>
        <w:t xml:space="preserve"> або орган залізничного транспорту).</w:t>
      </w:r>
    </w:p>
    <w:p w:rsidR="001476EE" w:rsidRDefault="001476EE" w:rsidP="00F7517C">
      <w:pPr>
        <w:autoSpaceDE w:val="0"/>
        <w:autoSpaceDN w:val="0"/>
        <w:adjustRightInd w:val="0"/>
        <w:spacing w:after="0" w:line="240" w:lineRule="auto"/>
        <w:jc w:val="both"/>
        <w:rPr>
          <w:rFonts w:ascii="Times New Roman" w:hAnsi="Times New Roman" w:cs="Times New Roman"/>
          <w:sz w:val="24"/>
          <w:szCs w:val="24"/>
          <w:lang w:val="uk-UA"/>
        </w:rPr>
      </w:pPr>
    </w:p>
    <w:p w:rsidR="002B2E68" w:rsidRPr="004E3A0C" w:rsidRDefault="001476EE" w:rsidP="001476EE">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Директива </w:t>
      </w:r>
      <w:r w:rsidR="002B2E68" w:rsidRPr="004E3A0C">
        <w:rPr>
          <w:rFonts w:ascii="Times New Roman" w:hAnsi="Times New Roman" w:cs="Times New Roman"/>
          <w:sz w:val="24"/>
          <w:szCs w:val="24"/>
          <w:lang w:val="uk-UA"/>
        </w:rPr>
        <w:t xml:space="preserve">визначає, що </w:t>
      </w:r>
      <w:r w:rsidR="00724B8F" w:rsidRPr="004E3A0C">
        <w:rPr>
          <w:rFonts w:ascii="Times New Roman" w:hAnsi="Times New Roman" w:cs="Times New Roman"/>
          <w:sz w:val="24"/>
          <w:szCs w:val="24"/>
          <w:lang w:val="uk-UA"/>
        </w:rPr>
        <w:t>д</w:t>
      </w:r>
      <w:r w:rsidR="002B2E68" w:rsidRPr="004E3A0C">
        <w:rPr>
          <w:rFonts w:ascii="Times New Roman" w:hAnsi="Times New Roman" w:cs="Times New Roman"/>
          <w:sz w:val="24"/>
          <w:szCs w:val="24"/>
          <w:lang w:val="uk-UA"/>
        </w:rPr>
        <w:t>ержави-члени встановлюють умови, включаючи, у разі можливості, авансові платежі, для забезпечення щонайменше балансу у фінансових документах менеджера інфраструктури, за нормальних умов ведення бізнесу та обґрунтований період часу, між доходом від тарифів за користування інфраструктурою, додаткових надходжень від іншої комерційної діяльності та державним фінансуванням, з однієї сторони, та витратами на інфраструктуру, з іншої.</w:t>
      </w:r>
    </w:p>
    <w:p w:rsidR="001476EE" w:rsidRDefault="001476EE" w:rsidP="00F7517C">
      <w:pPr>
        <w:spacing w:after="0" w:line="240" w:lineRule="auto"/>
        <w:jc w:val="both"/>
        <w:rPr>
          <w:rFonts w:ascii="Times New Roman" w:hAnsi="Times New Roman" w:cs="Times New Roman"/>
          <w:sz w:val="24"/>
          <w:szCs w:val="24"/>
          <w:lang w:val="uk-UA"/>
        </w:rPr>
      </w:pPr>
    </w:p>
    <w:p w:rsidR="00F612F3" w:rsidRPr="004E3A0C" w:rsidRDefault="00AE56AB" w:rsidP="00F7517C">
      <w:pPr>
        <w:spacing w:after="0" w:line="240" w:lineRule="auto"/>
        <w:jc w:val="both"/>
        <w:rPr>
          <w:rFonts w:ascii="Times New Roman" w:hAnsi="Times New Roman" w:cs="Times New Roman"/>
          <w:sz w:val="24"/>
          <w:szCs w:val="24"/>
          <w:lang w:val="uk-UA"/>
        </w:rPr>
      </w:pPr>
      <w:r w:rsidRPr="004E3A0C">
        <w:rPr>
          <w:rFonts w:ascii="Times New Roman" w:hAnsi="Times New Roman" w:cs="Times New Roman"/>
          <w:sz w:val="24"/>
          <w:szCs w:val="24"/>
          <w:lang w:val="uk-UA"/>
        </w:rPr>
        <w:t>Таким чином, у</w:t>
      </w:r>
      <w:r w:rsidR="00F612F3" w:rsidRPr="004E3A0C">
        <w:rPr>
          <w:rFonts w:ascii="Times New Roman" w:hAnsi="Times New Roman" w:cs="Times New Roman"/>
          <w:sz w:val="24"/>
          <w:szCs w:val="24"/>
          <w:lang w:val="uk-UA"/>
        </w:rPr>
        <w:t xml:space="preserve"> разі </w:t>
      </w:r>
      <w:r w:rsidR="00AC7440" w:rsidRPr="004E3A0C">
        <w:rPr>
          <w:rFonts w:ascii="Times New Roman" w:hAnsi="Times New Roman" w:cs="Times New Roman"/>
          <w:sz w:val="24"/>
          <w:szCs w:val="24"/>
          <w:lang w:val="uk-UA"/>
        </w:rPr>
        <w:t xml:space="preserve">фінансового та організаційного </w:t>
      </w:r>
      <w:r w:rsidR="001476EE">
        <w:rPr>
          <w:rFonts w:ascii="Times New Roman" w:hAnsi="Times New Roman" w:cs="Times New Roman"/>
          <w:sz w:val="24"/>
          <w:szCs w:val="24"/>
          <w:lang w:val="uk-UA"/>
        </w:rPr>
        <w:t xml:space="preserve">відокремлення </w:t>
      </w:r>
      <w:r w:rsidR="00F612F3" w:rsidRPr="004E3A0C">
        <w:rPr>
          <w:rFonts w:ascii="Times New Roman" w:hAnsi="Times New Roman" w:cs="Times New Roman"/>
          <w:sz w:val="24"/>
          <w:szCs w:val="24"/>
          <w:lang w:val="uk-UA"/>
        </w:rPr>
        <w:t xml:space="preserve">менеджера інфраструктури </w:t>
      </w:r>
      <w:r w:rsidR="00AC7440" w:rsidRPr="004E3A0C">
        <w:rPr>
          <w:rFonts w:ascii="Times New Roman" w:hAnsi="Times New Roman" w:cs="Times New Roman"/>
          <w:sz w:val="24"/>
          <w:szCs w:val="24"/>
          <w:lang w:val="uk-UA"/>
        </w:rPr>
        <w:t xml:space="preserve">від залізничних підприємств </w:t>
      </w:r>
      <w:r w:rsidR="001476EE">
        <w:rPr>
          <w:rFonts w:ascii="Times New Roman" w:hAnsi="Times New Roman" w:cs="Times New Roman"/>
          <w:sz w:val="24"/>
          <w:szCs w:val="24"/>
          <w:lang w:val="uk-UA"/>
        </w:rPr>
        <w:t xml:space="preserve">(УЗ інфраструктура)  та історичного «перевізника» (УЗ перевезення) </w:t>
      </w:r>
      <w:r w:rsidR="00AC7440" w:rsidRPr="004E3A0C">
        <w:rPr>
          <w:rFonts w:ascii="Times New Roman" w:hAnsi="Times New Roman" w:cs="Times New Roman"/>
          <w:sz w:val="24"/>
          <w:szCs w:val="24"/>
          <w:lang w:val="uk-UA"/>
        </w:rPr>
        <w:t xml:space="preserve">може знадобитись, як засвідчує світовий досвід, </w:t>
      </w:r>
      <w:r w:rsidR="00F73552" w:rsidRPr="004E3A0C">
        <w:rPr>
          <w:rFonts w:ascii="Times New Roman" w:hAnsi="Times New Roman" w:cs="Times New Roman"/>
          <w:sz w:val="24"/>
          <w:szCs w:val="24"/>
          <w:lang w:val="uk-UA"/>
        </w:rPr>
        <w:t xml:space="preserve">додаткове </w:t>
      </w:r>
      <w:r w:rsidR="00AC7440" w:rsidRPr="004E3A0C">
        <w:rPr>
          <w:rFonts w:ascii="Times New Roman" w:hAnsi="Times New Roman" w:cs="Times New Roman"/>
          <w:sz w:val="24"/>
          <w:szCs w:val="24"/>
          <w:lang w:val="uk-UA"/>
        </w:rPr>
        <w:t xml:space="preserve">фінансування інфраструктури залізничного транспорту за рахунок бюджетних асигнувань. </w:t>
      </w:r>
    </w:p>
    <w:p w:rsidR="002C270D" w:rsidRPr="004E3A0C" w:rsidRDefault="002C270D" w:rsidP="00F7517C">
      <w:pPr>
        <w:autoSpaceDE w:val="0"/>
        <w:autoSpaceDN w:val="0"/>
        <w:adjustRightInd w:val="0"/>
        <w:spacing w:after="0" w:line="240" w:lineRule="auto"/>
        <w:rPr>
          <w:rFonts w:ascii="Times New Roman" w:hAnsi="Times New Roman" w:cs="Times New Roman"/>
          <w:sz w:val="24"/>
          <w:szCs w:val="24"/>
          <w:lang w:val="uk-UA"/>
        </w:rPr>
      </w:pPr>
    </w:p>
    <w:p w:rsidR="00FD2B56" w:rsidRPr="004E3A0C" w:rsidRDefault="00FD2B56" w:rsidP="001476EE">
      <w:pPr>
        <w:pStyle w:val="Heading1"/>
        <w:rPr>
          <w:lang w:val="uk-UA"/>
        </w:rPr>
      </w:pPr>
      <w:bookmarkStart w:id="6" w:name="_Toc432079591"/>
      <w:r w:rsidRPr="004E3A0C">
        <w:rPr>
          <w:lang w:val="uk-UA"/>
        </w:rPr>
        <w:t xml:space="preserve">8 </w:t>
      </w:r>
      <w:r w:rsidR="001E5AA8" w:rsidRPr="004E3A0C">
        <w:rPr>
          <w:lang w:val="uk-UA"/>
        </w:rPr>
        <w:t>Узагальнення основних питань</w:t>
      </w:r>
      <w:bookmarkEnd w:id="6"/>
    </w:p>
    <w:p w:rsidR="00FD2B56" w:rsidRDefault="00FD2B56" w:rsidP="00F7517C">
      <w:pPr>
        <w:autoSpaceDE w:val="0"/>
        <w:autoSpaceDN w:val="0"/>
        <w:adjustRightInd w:val="0"/>
        <w:spacing w:after="0" w:line="240" w:lineRule="auto"/>
        <w:rPr>
          <w:rFonts w:ascii="Times New Roman" w:hAnsi="Times New Roman" w:cs="Times New Roman"/>
          <w:sz w:val="24"/>
          <w:szCs w:val="24"/>
          <w:lang w:val="uk-UA"/>
        </w:rPr>
      </w:pPr>
    </w:p>
    <w:p w:rsidR="001476EE" w:rsidRDefault="001476EE" w:rsidP="001476EE">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Впровадження першого залізничного пакету є значною зміною в управлінні залізницями. Це було важко у всіх державах-членах, і ймовірно, це буде складно в Україні.</w:t>
      </w:r>
    </w:p>
    <w:p w:rsidR="001476EE" w:rsidRDefault="001476EE" w:rsidP="001476EE">
      <w:pPr>
        <w:autoSpaceDE w:val="0"/>
        <w:autoSpaceDN w:val="0"/>
        <w:adjustRightInd w:val="0"/>
        <w:spacing w:after="0" w:line="240" w:lineRule="auto"/>
        <w:jc w:val="both"/>
        <w:rPr>
          <w:rFonts w:ascii="Times New Roman" w:hAnsi="Times New Roman" w:cs="Times New Roman"/>
          <w:sz w:val="24"/>
          <w:szCs w:val="24"/>
          <w:lang w:val="uk-UA"/>
        </w:rPr>
      </w:pPr>
    </w:p>
    <w:p w:rsidR="001476EE" w:rsidRDefault="00FF71DF" w:rsidP="00F7517C">
      <w:pPr>
        <w:autoSpaceDE w:val="0"/>
        <w:autoSpaceDN w:val="0"/>
        <w:adjustRightInd w:val="0"/>
        <w:spacing w:after="0" w:line="240" w:lineRule="auto"/>
        <w:jc w:val="both"/>
        <w:rPr>
          <w:rFonts w:ascii="Times New Roman" w:hAnsi="Times New Roman" w:cs="Times New Roman"/>
          <w:sz w:val="24"/>
          <w:szCs w:val="24"/>
          <w:lang w:val="uk-UA"/>
        </w:rPr>
      </w:pPr>
      <w:r w:rsidRPr="004E3A0C">
        <w:rPr>
          <w:sz w:val="24"/>
          <w:szCs w:val="24"/>
          <w:lang w:val="uk-UA"/>
        </w:rPr>
        <w:t>З</w:t>
      </w:r>
      <w:r w:rsidRPr="004E3A0C">
        <w:rPr>
          <w:rFonts w:ascii="Times New Roman" w:hAnsi="Times New Roman" w:cs="Times New Roman"/>
          <w:sz w:val="24"/>
          <w:szCs w:val="24"/>
          <w:lang w:val="uk-UA"/>
        </w:rPr>
        <w:t xml:space="preserve">алізничні підприємства мають право на недискримінаційній основі </w:t>
      </w:r>
      <w:r w:rsidR="001476EE">
        <w:rPr>
          <w:rFonts w:ascii="Times New Roman" w:hAnsi="Times New Roman" w:cs="Times New Roman"/>
          <w:sz w:val="24"/>
          <w:szCs w:val="24"/>
          <w:lang w:val="uk-UA"/>
        </w:rPr>
        <w:t>(тобто стосовно історичного перевізника, УЗ перевезення) отримати платний доступ до інфраструктури, якою управляє УЗ інфраструктура, за умови, що вони відповідають критеріям безпеки, визначеним у Директиві про безпеку на залізниці.</w:t>
      </w:r>
    </w:p>
    <w:p w:rsidR="001476EE" w:rsidRDefault="001476EE" w:rsidP="00F7517C">
      <w:pPr>
        <w:autoSpaceDE w:val="0"/>
        <w:autoSpaceDN w:val="0"/>
        <w:adjustRightInd w:val="0"/>
        <w:spacing w:after="0" w:line="240" w:lineRule="auto"/>
        <w:jc w:val="both"/>
        <w:rPr>
          <w:rFonts w:ascii="Times New Roman" w:hAnsi="Times New Roman" w:cs="Times New Roman"/>
          <w:sz w:val="24"/>
          <w:szCs w:val="24"/>
          <w:lang w:val="uk-UA"/>
        </w:rPr>
      </w:pPr>
    </w:p>
    <w:p w:rsidR="007F607C" w:rsidRPr="004E3A0C" w:rsidRDefault="007F607C" w:rsidP="00F7517C">
      <w:pPr>
        <w:pStyle w:val="Directive2colomns"/>
        <w:spacing w:before="0" w:after="0"/>
        <w:ind w:left="0" w:right="0"/>
        <w:rPr>
          <w:sz w:val="24"/>
          <w:szCs w:val="24"/>
        </w:rPr>
      </w:pPr>
      <w:r w:rsidRPr="004E3A0C">
        <w:rPr>
          <w:sz w:val="24"/>
          <w:szCs w:val="24"/>
        </w:rPr>
        <w:t>Ефективний менеджмент та справедливе і недискримінаційне використання інфраструктури</w:t>
      </w:r>
      <w:r w:rsidR="0035719F" w:rsidRPr="004E3A0C">
        <w:rPr>
          <w:sz w:val="24"/>
          <w:szCs w:val="24"/>
        </w:rPr>
        <w:t xml:space="preserve"> залізничного транспорту </w:t>
      </w:r>
      <w:r w:rsidRPr="004E3A0C">
        <w:rPr>
          <w:sz w:val="24"/>
          <w:szCs w:val="24"/>
        </w:rPr>
        <w:t xml:space="preserve"> вимагає заснування регулят</w:t>
      </w:r>
      <w:r w:rsidR="0035719F" w:rsidRPr="004E3A0C">
        <w:rPr>
          <w:sz w:val="24"/>
          <w:szCs w:val="24"/>
        </w:rPr>
        <w:t>орного</w:t>
      </w:r>
      <w:r w:rsidRPr="004E3A0C">
        <w:rPr>
          <w:sz w:val="24"/>
          <w:szCs w:val="24"/>
        </w:rPr>
        <w:t xml:space="preserve"> органу, який би здійснював нагляд за застосуванням норм </w:t>
      </w:r>
      <w:r w:rsidR="00F4567B" w:rsidRPr="004E3A0C">
        <w:rPr>
          <w:sz w:val="24"/>
          <w:szCs w:val="24"/>
        </w:rPr>
        <w:t>Директиви</w:t>
      </w:r>
      <w:r w:rsidR="00E324F4" w:rsidRPr="004E3A0C">
        <w:rPr>
          <w:sz w:val="24"/>
          <w:szCs w:val="24"/>
        </w:rPr>
        <w:t xml:space="preserve"> 2001/14/ЄС</w:t>
      </w:r>
      <w:r w:rsidR="00F4567B" w:rsidRPr="004E3A0C">
        <w:rPr>
          <w:sz w:val="24"/>
          <w:szCs w:val="24"/>
        </w:rPr>
        <w:t xml:space="preserve"> </w:t>
      </w:r>
      <w:r w:rsidRPr="004E3A0C">
        <w:rPr>
          <w:sz w:val="24"/>
          <w:szCs w:val="24"/>
        </w:rPr>
        <w:t xml:space="preserve"> та діяв як апеляційний орган</w:t>
      </w:r>
      <w:r w:rsidR="001476EE">
        <w:rPr>
          <w:sz w:val="24"/>
          <w:szCs w:val="24"/>
        </w:rPr>
        <w:t xml:space="preserve"> стосовно скарг залізничних підприємств (не заперечуючи </w:t>
      </w:r>
      <w:r w:rsidRPr="004E3A0C">
        <w:rPr>
          <w:sz w:val="24"/>
          <w:szCs w:val="24"/>
        </w:rPr>
        <w:t>можливість судового перегляду</w:t>
      </w:r>
      <w:r w:rsidR="001476EE">
        <w:rPr>
          <w:sz w:val="24"/>
          <w:szCs w:val="24"/>
        </w:rPr>
        <w:t>)</w:t>
      </w:r>
      <w:r w:rsidRPr="004E3A0C">
        <w:rPr>
          <w:sz w:val="24"/>
          <w:szCs w:val="24"/>
        </w:rPr>
        <w:t>.</w:t>
      </w:r>
    </w:p>
    <w:p w:rsidR="007F607C" w:rsidRPr="004E3A0C" w:rsidRDefault="007F607C" w:rsidP="00F7517C">
      <w:pPr>
        <w:autoSpaceDE w:val="0"/>
        <w:autoSpaceDN w:val="0"/>
        <w:adjustRightInd w:val="0"/>
        <w:spacing w:after="0" w:line="240" w:lineRule="auto"/>
        <w:jc w:val="both"/>
        <w:rPr>
          <w:rFonts w:ascii="Times New Roman" w:hAnsi="Times New Roman" w:cs="Times New Roman"/>
          <w:sz w:val="24"/>
          <w:szCs w:val="24"/>
          <w:lang w:val="uk-UA"/>
        </w:rPr>
      </w:pPr>
    </w:p>
    <w:p w:rsidR="00C91FCF" w:rsidRDefault="001476EE" w:rsidP="00F7517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Цей </w:t>
      </w:r>
      <w:r w:rsidR="003A2577" w:rsidRPr="004E3A0C">
        <w:rPr>
          <w:rFonts w:ascii="Times New Roman" w:hAnsi="Times New Roman" w:cs="Times New Roman"/>
          <w:sz w:val="24"/>
          <w:szCs w:val="24"/>
          <w:lang w:val="uk-UA"/>
        </w:rPr>
        <w:t>регуляторни</w:t>
      </w:r>
      <w:r w:rsidR="00DD7852" w:rsidRPr="004E3A0C">
        <w:rPr>
          <w:rFonts w:ascii="Times New Roman" w:hAnsi="Times New Roman" w:cs="Times New Roman"/>
          <w:sz w:val="24"/>
          <w:szCs w:val="24"/>
          <w:lang w:val="uk-UA"/>
        </w:rPr>
        <w:t>й</w:t>
      </w:r>
      <w:r w:rsidR="003A2577" w:rsidRPr="004E3A0C">
        <w:rPr>
          <w:rFonts w:ascii="Times New Roman" w:hAnsi="Times New Roman" w:cs="Times New Roman"/>
          <w:sz w:val="24"/>
          <w:szCs w:val="24"/>
          <w:lang w:val="uk-UA"/>
        </w:rPr>
        <w:t xml:space="preserve"> орган</w:t>
      </w:r>
      <w:r w:rsidR="00DD7852" w:rsidRPr="004E3A0C">
        <w:rPr>
          <w:rFonts w:ascii="Times New Roman" w:hAnsi="Times New Roman" w:cs="Times New Roman"/>
          <w:sz w:val="24"/>
          <w:szCs w:val="24"/>
          <w:lang w:val="uk-UA"/>
        </w:rPr>
        <w:t xml:space="preserve"> має бути </w:t>
      </w:r>
      <w:r w:rsidR="003A2577" w:rsidRPr="004E3A0C">
        <w:rPr>
          <w:rFonts w:ascii="Times New Roman" w:hAnsi="Times New Roman" w:cs="Times New Roman"/>
          <w:sz w:val="24"/>
          <w:szCs w:val="24"/>
          <w:lang w:val="uk-UA"/>
        </w:rPr>
        <w:t xml:space="preserve"> </w:t>
      </w:r>
      <w:r w:rsidR="00CC1AC7" w:rsidRPr="004E3A0C">
        <w:rPr>
          <w:rFonts w:ascii="Times New Roman" w:hAnsi="Times New Roman" w:cs="Times New Roman"/>
          <w:sz w:val="24"/>
          <w:szCs w:val="24"/>
          <w:lang w:val="uk-UA"/>
        </w:rPr>
        <w:t>н</w:t>
      </w:r>
      <w:r w:rsidR="003A2577" w:rsidRPr="004E3A0C">
        <w:rPr>
          <w:rFonts w:ascii="Times New Roman" w:hAnsi="Times New Roman" w:cs="Times New Roman"/>
          <w:sz w:val="24"/>
          <w:szCs w:val="24"/>
          <w:lang w:val="uk-UA"/>
        </w:rPr>
        <w:t>езалежни</w:t>
      </w:r>
      <w:r w:rsidR="00DD7852" w:rsidRPr="004E3A0C">
        <w:rPr>
          <w:rFonts w:ascii="Times New Roman" w:hAnsi="Times New Roman" w:cs="Times New Roman"/>
          <w:sz w:val="24"/>
          <w:szCs w:val="24"/>
          <w:lang w:val="uk-UA"/>
        </w:rPr>
        <w:t>м</w:t>
      </w:r>
      <w:r w:rsidR="007B1945" w:rsidRPr="004E3A0C">
        <w:rPr>
          <w:rFonts w:ascii="Times New Roman" w:hAnsi="Times New Roman" w:cs="Times New Roman"/>
          <w:sz w:val="24"/>
          <w:szCs w:val="24"/>
          <w:lang w:val="uk-UA"/>
        </w:rPr>
        <w:t xml:space="preserve"> </w:t>
      </w:r>
      <w:r w:rsidR="003A2577" w:rsidRPr="004E3A0C">
        <w:rPr>
          <w:rFonts w:ascii="Times New Roman" w:hAnsi="Times New Roman" w:cs="Times New Roman"/>
          <w:sz w:val="24"/>
          <w:szCs w:val="24"/>
          <w:lang w:val="uk-UA"/>
        </w:rPr>
        <w:t>від будь-якої компанії, що здійснює управління об'єктами інфраструктури, так само як і від органу, що відповідає</w:t>
      </w:r>
      <w:r w:rsidR="00484236" w:rsidRPr="004E3A0C">
        <w:rPr>
          <w:rFonts w:ascii="Times New Roman" w:hAnsi="Times New Roman" w:cs="Times New Roman"/>
          <w:sz w:val="24"/>
          <w:szCs w:val="24"/>
          <w:lang w:val="uk-UA"/>
        </w:rPr>
        <w:t xml:space="preserve"> </w:t>
      </w:r>
      <w:r w:rsidR="003A2577" w:rsidRPr="004E3A0C">
        <w:rPr>
          <w:rFonts w:ascii="Times New Roman" w:hAnsi="Times New Roman" w:cs="Times New Roman"/>
          <w:sz w:val="24"/>
          <w:szCs w:val="24"/>
          <w:lang w:val="uk-UA"/>
        </w:rPr>
        <w:t xml:space="preserve">за виділення </w:t>
      </w:r>
      <w:r w:rsidR="001C272D" w:rsidRPr="004E3A0C">
        <w:rPr>
          <w:rFonts w:ascii="Times New Roman" w:hAnsi="Times New Roman" w:cs="Times New Roman"/>
          <w:sz w:val="24"/>
          <w:szCs w:val="24"/>
          <w:lang w:val="uk-UA"/>
        </w:rPr>
        <w:t>пропускної здатності</w:t>
      </w:r>
      <w:r w:rsidR="003A2577" w:rsidRPr="004E3A0C">
        <w:rPr>
          <w:rFonts w:ascii="Times New Roman" w:hAnsi="Times New Roman" w:cs="Times New Roman"/>
          <w:sz w:val="24"/>
          <w:szCs w:val="24"/>
          <w:lang w:val="uk-UA"/>
        </w:rPr>
        <w:t xml:space="preserve"> або стягнення плати, а також від заявника</w:t>
      </w:r>
      <w:r w:rsidR="00484236" w:rsidRPr="004E3A0C">
        <w:rPr>
          <w:rFonts w:ascii="Times New Roman" w:hAnsi="Times New Roman" w:cs="Times New Roman"/>
          <w:sz w:val="24"/>
          <w:szCs w:val="24"/>
          <w:lang w:val="uk-UA"/>
        </w:rPr>
        <w:t>.</w:t>
      </w:r>
      <w:r w:rsidR="003A2577" w:rsidRPr="004E3A0C">
        <w:rPr>
          <w:rFonts w:ascii="Times New Roman" w:hAnsi="Times New Roman" w:cs="Times New Roman"/>
          <w:sz w:val="24"/>
          <w:szCs w:val="24"/>
          <w:lang w:val="uk-UA"/>
        </w:rPr>
        <w:t xml:space="preserve"> </w:t>
      </w:r>
      <w:r w:rsidR="00484236" w:rsidRPr="004E3A0C">
        <w:rPr>
          <w:rFonts w:ascii="Times New Roman" w:hAnsi="Times New Roman" w:cs="Times New Roman"/>
          <w:sz w:val="24"/>
          <w:szCs w:val="24"/>
          <w:lang w:val="uk-UA"/>
        </w:rPr>
        <w:tab/>
      </w:r>
      <w:r w:rsidR="003A2577" w:rsidRPr="004E3A0C">
        <w:rPr>
          <w:rFonts w:ascii="Times New Roman" w:hAnsi="Times New Roman" w:cs="Times New Roman"/>
          <w:sz w:val="24"/>
          <w:szCs w:val="24"/>
          <w:lang w:val="uk-UA"/>
        </w:rPr>
        <w:t xml:space="preserve"> </w:t>
      </w:r>
      <w:r w:rsidR="003A2577" w:rsidRPr="004E3A0C">
        <w:rPr>
          <w:rFonts w:ascii="Times New Roman" w:hAnsi="Times New Roman" w:cs="Times New Roman"/>
          <w:sz w:val="24"/>
          <w:szCs w:val="24"/>
          <w:lang w:val="uk-UA"/>
        </w:rPr>
        <w:lastRenderedPageBreak/>
        <w:t>Регуляторн</w:t>
      </w:r>
      <w:r w:rsidR="005E42C7" w:rsidRPr="004E3A0C">
        <w:rPr>
          <w:rFonts w:ascii="Times New Roman" w:hAnsi="Times New Roman" w:cs="Times New Roman"/>
          <w:sz w:val="24"/>
          <w:szCs w:val="24"/>
          <w:lang w:val="uk-UA"/>
        </w:rPr>
        <w:t>ий</w:t>
      </w:r>
      <w:r w:rsidR="003A2577" w:rsidRPr="004E3A0C">
        <w:rPr>
          <w:rFonts w:ascii="Times New Roman" w:hAnsi="Times New Roman" w:cs="Times New Roman"/>
          <w:sz w:val="24"/>
          <w:szCs w:val="24"/>
          <w:lang w:val="uk-UA"/>
        </w:rPr>
        <w:t xml:space="preserve"> орган повин</w:t>
      </w:r>
      <w:r w:rsidR="005E42C7" w:rsidRPr="004E3A0C">
        <w:rPr>
          <w:rFonts w:ascii="Times New Roman" w:hAnsi="Times New Roman" w:cs="Times New Roman"/>
          <w:sz w:val="24"/>
          <w:szCs w:val="24"/>
          <w:lang w:val="uk-UA"/>
        </w:rPr>
        <w:t>ен</w:t>
      </w:r>
      <w:r w:rsidR="003A2577" w:rsidRPr="004E3A0C">
        <w:rPr>
          <w:rFonts w:ascii="Times New Roman" w:hAnsi="Times New Roman" w:cs="Times New Roman"/>
          <w:sz w:val="24"/>
          <w:szCs w:val="24"/>
          <w:lang w:val="uk-UA"/>
        </w:rPr>
        <w:t xml:space="preserve"> забезпечити, щоб плата за доступ до об'єктів інфраструктури не була дискримінаційною</w:t>
      </w:r>
      <w:r>
        <w:rPr>
          <w:rFonts w:ascii="Times New Roman" w:hAnsi="Times New Roman" w:cs="Times New Roman"/>
          <w:sz w:val="24"/>
          <w:szCs w:val="24"/>
          <w:lang w:val="uk-UA"/>
        </w:rPr>
        <w:t xml:space="preserve">, розраховувалася у справедливий, прозорий та послідовний спосіб, та гарантувати достатню прозорість для залізничних підприємств; а тарифи на доступ повинні включати </w:t>
      </w:r>
      <w:r w:rsidR="003A2577" w:rsidRPr="004E3A0C">
        <w:rPr>
          <w:rFonts w:ascii="Times New Roman" w:hAnsi="Times New Roman" w:cs="Times New Roman"/>
          <w:sz w:val="24"/>
          <w:szCs w:val="24"/>
          <w:lang w:val="uk-UA"/>
        </w:rPr>
        <w:t xml:space="preserve">витрати на природоохоронні заходи та </w:t>
      </w:r>
      <w:r w:rsidR="006F17F4" w:rsidRPr="004E3A0C">
        <w:rPr>
          <w:rFonts w:ascii="Times New Roman" w:hAnsi="Times New Roman" w:cs="Times New Roman"/>
          <w:sz w:val="24"/>
          <w:szCs w:val="24"/>
          <w:lang w:val="uk-UA"/>
        </w:rPr>
        <w:t>розвиток інфраструктури.</w:t>
      </w:r>
    </w:p>
    <w:p w:rsidR="001476EE" w:rsidRDefault="001476EE" w:rsidP="00F7517C">
      <w:pPr>
        <w:autoSpaceDE w:val="0"/>
        <w:autoSpaceDN w:val="0"/>
        <w:adjustRightInd w:val="0"/>
        <w:spacing w:after="0" w:line="240" w:lineRule="auto"/>
        <w:jc w:val="both"/>
        <w:rPr>
          <w:rFonts w:ascii="Times New Roman" w:hAnsi="Times New Roman" w:cs="Times New Roman"/>
          <w:sz w:val="24"/>
          <w:szCs w:val="24"/>
          <w:lang w:val="uk-UA"/>
        </w:rPr>
      </w:pPr>
    </w:p>
    <w:p w:rsidR="001476EE" w:rsidRDefault="001476EE" w:rsidP="001476EE">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Незалежність менеджерів інфраструктури та гарантовані повноваження та ресурси для регуляторного органу є передумовами для задовільної тарифікації доступу до колії. </w:t>
      </w:r>
    </w:p>
    <w:p w:rsidR="001476EE" w:rsidRDefault="001476EE" w:rsidP="001476EE">
      <w:pPr>
        <w:autoSpaceDE w:val="0"/>
        <w:autoSpaceDN w:val="0"/>
        <w:adjustRightInd w:val="0"/>
        <w:spacing w:after="0" w:line="240" w:lineRule="auto"/>
        <w:jc w:val="both"/>
        <w:rPr>
          <w:rFonts w:ascii="Times New Roman" w:hAnsi="Times New Roman" w:cs="Times New Roman"/>
          <w:sz w:val="24"/>
          <w:szCs w:val="24"/>
          <w:lang w:val="uk-UA"/>
        </w:rPr>
        <w:sectPr w:rsidR="001476EE" w:rsidSect="00792221">
          <w:headerReference w:type="default" r:id="rId10"/>
          <w:pgSz w:w="11906" w:h="16838"/>
          <w:pgMar w:top="1417" w:right="1417" w:bottom="1417" w:left="1417" w:header="708" w:footer="708" w:gutter="0"/>
          <w:cols w:space="708"/>
          <w:titlePg/>
          <w:docGrid w:linePitch="360"/>
        </w:sectPr>
      </w:pPr>
    </w:p>
    <w:p w:rsidR="003A2577" w:rsidRPr="004E3A0C" w:rsidRDefault="001476EE" w:rsidP="001476EE">
      <w:pPr>
        <w:pStyle w:val="Heading1"/>
        <w:rPr>
          <w:lang w:val="uk-UA"/>
        </w:rPr>
      </w:pPr>
      <w:bookmarkStart w:id="7" w:name="_Toc432079592"/>
      <w:r>
        <w:rPr>
          <w:lang w:val="uk-UA"/>
        </w:rPr>
        <w:lastRenderedPageBreak/>
        <w:t>Додаток 1. Відповідальні регуляторні органи в державах ЄС та Російській Федерації</w:t>
      </w:r>
      <w:bookmarkEnd w:id="7"/>
    </w:p>
    <w:p w:rsidR="00FE3EB6" w:rsidRDefault="001476EE" w:rsidP="00F7517C">
      <w:pPr>
        <w:pStyle w:val="Directive2colomns"/>
        <w:spacing w:before="0" w:after="0"/>
        <w:ind w:left="0" w:right="0"/>
        <w:rPr>
          <w:sz w:val="24"/>
          <w:szCs w:val="24"/>
          <w:highlight w:val="yellow"/>
        </w:rPr>
      </w:pPr>
      <w:r w:rsidRPr="00D5240D">
        <w:rPr>
          <w:noProof/>
          <w:lang w:eastAsia="uk-UA"/>
        </w:rPr>
        <w:drawing>
          <wp:anchor distT="0" distB="0" distL="0" distR="0" simplePos="0" relativeHeight="251659264" behindDoc="0" locked="0" layoutInCell="1" allowOverlap="1" wp14:anchorId="1F72C39F" wp14:editId="10C76476">
            <wp:simplePos x="0" y="0"/>
            <wp:positionH relativeFrom="page">
              <wp:posOffset>895349</wp:posOffset>
            </wp:positionH>
            <wp:positionV relativeFrom="page">
              <wp:posOffset>1590675</wp:posOffset>
            </wp:positionV>
            <wp:extent cx="8734425" cy="54864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4425" cy="5486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476EE" w:rsidRPr="004E3A0C" w:rsidRDefault="001476EE" w:rsidP="00F7517C">
      <w:pPr>
        <w:pStyle w:val="Directive2colomns"/>
        <w:spacing w:before="0" w:after="0"/>
        <w:ind w:left="0" w:right="0"/>
        <w:rPr>
          <w:sz w:val="24"/>
          <w:szCs w:val="24"/>
          <w:highlight w:val="yellow"/>
        </w:rPr>
      </w:pPr>
    </w:p>
    <w:sectPr w:rsidR="001476EE" w:rsidRPr="004E3A0C" w:rsidSect="001476EE">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9E" w:rsidRDefault="0070509E" w:rsidP="00E7650F">
      <w:pPr>
        <w:spacing w:after="0" w:line="240" w:lineRule="auto"/>
      </w:pPr>
      <w:r>
        <w:separator/>
      </w:r>
    </w:p>
  </w:endnote>
  <w:endnote w:type="continuationSeparator" w:id="0">
    <w:p w:rsidR="0070509E" w:rsidRDefault="0070509E" w:rsidP="00E7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9E" w:rsidRDefault="0070509E" w:rsidP="00E7650F">
      <w:pPr>
        <w:spacing w:after="0" w:line="240" w:lineRule="auto"/>
      </w:pPr>
      <w:r>
        <w:separator/>
      </w:r>
    </w:p>
  </w:footnote>
  <w:footnote w:type="continuationSeparator" w:id="0">
    <w:p w:rsidR="0070509E" w:rsidRDefault="0070509E" w:rsidP="00E7650F">
      <w:pPr>
        <w:spacing w:after="0" w:line="240" w:lineRule="auto"/>
      </w:pPr>
      <w:r>
        <w:continuationSeparator/>
      </w:r>
    </w:p>
  </w:footnote>
  <w:footnote w:id="1">
    <w:p w:rsidR="00C17F45" w:rsidRPr="00640EFA" w:rsidRDefault="00C17F45" w:rsidP="00C17F45">
      <w:pPr>
        <w:pStyle w:val="FootnoteText"/>
        <w:jc w:val="both"/>
        <w:rPr>
          <w:sz w:val="16"/>
          <w:szCs w:val="16"/>
          <w:lang w:val="uk-UA"/>
        </w:rPr>
      </w:pPr>
      <w:r w:rsidRPr="00640EFA">
        <w:rPr>
          <w:sz w:val="16"/>
          <w:szCs w:val="16"/>
          <w:lang w:val="uk-UA"/>
        </w:rPr>
        <w:t>(</w:t>
      </w:r>
      <w:r w:rsidRPr="00640EFA">
        <w:rPr>
          <w:rStyle w:val="FootnoteReference"/>
          <w:sz w:val="16"/>
          <w:szCs w:val="16"/>
        </w:rPr>
        <w:footnoteRef/>
      </w:r>
      <w:r w:rsidRPr="00640EFA">
        <w:rPr>
          <w:sz w:val="16"/>
          <w:szCs w:val="16"/>
          <w:lang w:val="uk-UA"/>
        </w:rPr>
        <w:t xml:space="preserve">) Регламент Ради (ЄЕС) № 1191/69 від 26 червня 1969 щодо дії держав-членів стосовно невід’ємних зобов’язань стосовно концепції державних послуг при перевезеннях залізницею, автотранспортом, внутрішніми водними шляхами (ОВ </w:t>
      </w:r>
      <w:r w:rsidRPr="00640EFA">
        <w:rPr>
          <w:sz w:val="16"/>
          <w:szCs w:val="16"/>
          <w:lang w:val="en-US"/>
        </w:rPr>
        <w:t>L</w:t>
      </w:r>
      <w:r w:rsidRPr="00640EFA">
        <w:rPr>
          <w:sz w:val="16"/>
          <w:szCs w:val="16"/>
          <w:lang w:val="uk-UA"/>
        </w:rPr>
        <w:t xml:space="preserve"> 156, 28.6.1969, С. 1). Регламент з останніми змінами внесеними Регламентом (ЄС) № 1893/91 (ОВ </w:t>
      </w:r>
      <w:r w:rsidRPr="00640EFA">
        <w:rPr>
          <w:sz w:val="16"/>
          <w:szCs w:val="16"/>
          <w:lang w:val="en-US"/>
        </w:rPr>
        <w:t>L</w:t>
      </w:r>
      <w:r w:rsidRPr="00640EFA">
        <w:rPr>
          <w:sz w:val="16"/>
          <w:szCs w:val="16"/>
          <w:lang w:val="uk-UA"/>
        </w:rPr>
        <w:t xml:space="preserve">  169, 29.6.1991, С.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115311"/>
      <w:docPartObj>
        <w:docPartGallery w:val="Page Numbers (Top of Page)"/>
        <w:docPartUnique/>
      </w:docPartObj>
    </w:sdtPr>
    <w:sdtEndPr/>
    <w:sdtContent>
      <w:p w:rsidR="00792221" w:rsidRDefault="00792221">
        <w:pPr>
          <w:pStyle w:val="Header"/>
          <w:jc w:val="center"/>
        </w:pPr>
        <w:r>
          <w:fldChar w:fldCharType="begin"/>
        </w:r>
        <w:r>
          <w:instrText>PAGE   \* MERGEFORMAT</w:instrText>
        </w:r>
        <w:r>
          <w:fldChar w:fldCharType="separate"/>
        </w:r>
        <w:r w:rsidR="008E7D40" w:rsidRPr="008E7D40">
          <w:rPr>
            <w:noProof/>
            <w:lang w:val="ru-RU"/>
          </w:rPr>
          <w:t>14</w:t>
        </w:r>
        <w:r>
          <w:fldChar w:fldCharType="end"/>
        </w:r>
      </w:p>
    </w:sdtContent>
  </w:sdt>
  <w:p w:rsidR="00792221" w:rsidRDefault="00792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sz w:val="24"/>
        <w:szCs w:val="24"/>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34774"/>
    <w:multiLevelType w:val="hybridMultilevel"/>
    <w:tmpl w:val="F9E204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5F3816"/>
    <w:multiLevelType w:val="hybridMultilevel"/>
    <w:tmpl w:val="E7F09F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A714B8"/>
    <w:multiLevelType w:val="hybridMultilevel"/>
    <w:tmpl w:val="3808F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2650A08"/>
    <w:multiLevelType w:val="hybridMultilevel"/>
    <w:tmpl w:val="02C24BDE"/>
    <w:lvl w:ilvl="0" w:tplc="D7E60B98">
      <w:start w:val="1"/>
      <w:numFmt w:val="decimal"/>
      <w:lvlText w:val="(%1)"/>
      <w:lvlJc w:val="left"/>
      <w:pPr>
        <w:tabs>
          <w:tab w:val="num" w:pos="809"/>
        </w:tabs>
        <w:ind w:left="809" w:hanging="525"/>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29334FB"/>
    <w:multiLevelType w:val="hybridMultilevel"/>
    <w:tmpl w:val="ECD419EA"/>
    <w:lvl w:ilvl="0" w:tplc="0419000F">
      <w:start w:val="1"/>
      <w:numFmt w:val="decimal"/>
      <w:lvlText w:val="%1."/>
      <w:lvlJc w:val="left"/>
      <w:pPr>
        <w:tabs>
          <w:tab w:val="num" w:pos="644"/>
        </w:tabs>
        <w:ind w:left="644" w:hanging="360"/>
      </w:pPr>
      <w:rPr>
        <w:rFonts w:hint="default"/>
      </w:rPr>
    </w:lvl>
    <w:lvl w:ilvl="1" w:tplc="1650845E">
      <w:start w:val="1"/>
      <w:numFmt w:val="lowerLetter"/>
      <w:lvlText w:val="%2)"/>
      <w:lvlJc w:val="left"/>
      <w:pPr>
        <w:tabs>
          <w:tab w:val="num" w:pos="1364"/>
        </w:tabs>
        <w:ind w:left="1364" w:hanging="360"/>
      </w:pPr>
      <w:rPr>
        <w:rFonts w:hint="default"/>
      </w:rPr>
    </w:lvl>
    <w:lvl w:ilvl="2" w:tplc="0419000F">
      <w:start w:val="1"/>
      <w:numFmt w:val="decimal"/>
      <w:lvlText w:val="%3."/>
      <w:lvlJc w:val="left"/>
      <w:pPr>
        <w:tabs>
          <w:tab w:val="num" w:pos="2264"/>
        </w:tabs>
        <w:ind w:left="2264" w:hanging="360"/>
      </w:pPr>
      <w:rPr>
        <w:rFonts w:hint="default"/>
      </w:rPr>
    </w:lvl>
    <w:lvl w:ilvl="3" w:tplc="7E2038FC">
      <w:start w:val="3"/>
      <w:numFmt w:val="bullet"/>
      <w:lvlText w:val="-"/>
      <w:lvlJc w:val="left"/>
      <w:pPr>
        <w:tabs>
          <w:tab w:val="num" w:pos="2804"/>
        </w:tabs>
        <w:ind w:left="2804" w:hanging="360"/>
      </w:pPr>
      <w:rPr>
        <w:rFonts w:ascii="Times New Roman" w:eastAsia="Times New Roman" w:hAnsi="Times New Roman" w:cs="Times New Roman" w:hint="default"/>
      </w:r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8AE0EA8"/>
    <w:multiLevelType w:val="hybridMultilevel"/>
    <w:tmpl w:val="2364200C"/>
    <w:lvl w:ilvl="0" w:tplc="0419000F">
      <w:start w:val="1"/>
      <w:numFmt w:val="decimal"/>
      <w:lvlText w:val="%1."/>
      <w:lvlJc w:val="left"/>
      <w:pPr>
        <w:tabs>
          <w:tab w:val="num" w:pos="720"/>
        </w:tabs>
        <w:ind w:left="720" w:hanging="360"/>
      </w:pPr>
      <w:rPr>
        <w:rFonts w:hint="default"/>
      </w:rPr>
    </w:lvl>
    <w:lvl w:ilvl="1" w:tplc="1650845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D00AA4"/>
    <w:multiLevelType w:val="hybridMultilevel"/>
    <w:tmpl w:val="13203614"/>
    <w:lvl w:ilvl="0" w:tplc="787C9AB2">
      <w:start w:val="1"/>
      <w:numFmt w:val="decimal"/>
      <w:lvlText w:val="%1."/>
      <w:lvlJc w:val="left"/>
      <w:pPr>
        <w:tabs>
          <w:tab w:val="num" w:pos="479"/>
        </w:tabs>
        <w:ind w:left="479" w:hanging="360"/>
      </w:pPr>
      <w:rPr>
        <w:rFonts w:hint="default"/>
      </w:rPr>
    </w:lvl>
    <w:lvl w:ilvl="1" w:tplc="04190019" w:tentative="1">
      <w:start w:val="1"/>
      <w:numFmt w:val="lowerLetter"/>
      <w:lvlText w:val="%2."/>
      <w:lvlJc w:val="left"/>
      <w:pPr>
        <w:tabs>
          <w:tab w:val="num" w:pos="1199"/>
        </w:tabs>
        <w:ind w:left="1199" w:hanging="360"/>
      </w:pPr>
    </w:lvl>
    <w:lvl w:ilvl="2" w:tplc="0419001B" w:tentative="1">
      <w:start w:val="1"/>
      <w:numFmt w:val="lowerRoman"/>
      <w:lvlText w:val="%3."/>
      <w:lvlJc w:val="right"/>
      <w:pPr>
        <w:tabs>
          <w:tab w:val="num" w:pos="1919"/>
        </w:tabs>
        <w:ind w:left="1919" w:hanging="180"/>
      </w:pPr>
    </w:lvl>
    <w:lvl w:ilvl="3" w:tplc="0419000F" w:tentative="1">
      <w:start w:val="1"/>
      <w:numFmt w:val="decimal"/>
      <w:lvlText w:val="%4."/>
      <w:lvlJc w:val="left"/>
      <w:pPr>
        <w:tabs>
          <w:tab w:val="num" w:pos="2639"/>
        </w:tabs>
        <w:ind w:left="2639" w:hanging="360"/>
      </w:pPr>
    </w:lvl>
    <w:lvl w:ilvl="4" w:tplc="04190019" w:tentative="1">
      <w:start w:val="1"/>
      <w:numFmt w:val="lowerLetter"/>
      <w:lvlText w:val="%5."/>
      <w:lvlJc w:val="left"/>
      <w:pPr>
        <w:tabs>
          <w:tab w:val="num" w:pos="3359"/>
        </w:tabs>
        <w:ind w:left="3359" w:hanging="360"/>
      </w:pPr>
    </w:lvl>
    <w:lvl w:ilvl="5" w:tplc="0419001B" w:tentative="1">
      <w:start w:val="1"/>
      <w:numFmt w:val="lowerRoman"/>
      <w:lvlText w:val="%6."/>
      <w:lvlJc w:val="right"/>
      <w:pPr>
        <w:tabs>
          <w:tab w:val="num" w:pos="4079"/>
        </w:tabs>
        <w:ind w:left="4079" w:hanging="180"/>
      </w:pPr>
    </w:lvl>
    <w:lvl w:ilvl="6" w:tplc="0419000F" w:tentative="1">
      <w:start w:val="1"/>
      <w:numFmt w:val="decimal"/>
      <w:lvlText w:val="%7."/>
      <w:lvlJc w:val="left"/>
      <w:pPr>
        <w:tabs>
          <w:tab w:val="num" w:pos="4799"/>
        </w:tabs>
        <w:ind w:left="4799" w:hanging="360"/>
      </w:pPr>
    </w:lvl>
    <w:lvl w:ilvl="7" w:tplc="04190019" w:tentative="1">
      <w:start w:val="1"/>
      <w:numFmt w:val="lowerLetter"/>
      <w:lvlText w:val="%8."/>
      <w:lvlJc w:val="left"/>
      <w:pPr>
        <w:tabs>
          <w:tab w:val="num" w:pos="5519"/>
        </w:tabs>
        <w:ind w:left="5519" w:hanging="360"/>
      </w:pPr>
    </w:lvl>
    <w:lvl w:ilvl="8" w:tplc="0419001B" w:tentative="1">
      <w:start w:val="1"/>
      <w:numFmt w:val="lowerRoman"/>
      <w:lvlText w:val="%9."/>
      <w:lvlJc w:val="right"/>
      <w:pPr>
        <w:tabs>
          <w:tab w:val="num" w:pos="6239"/>
        </w:tabs>
        <w:ind w:left="6239" w:hanging="180"/>
      </w:pPr>
    </w:lvl>
  </w:abstractNum>
  <w:abstractNum w:abstractNumId="8">
    <w:nsid w:val="2B4E7BD5"/>
    <w:multiLevelType w:val="hybridMultilevel"/>
    <w:tmpl w:val="C3FE82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FE173D"/>
    <w:multiLevelType w:val="hybridMultilevel"/>
    <w:tmpl w:val="5DC829E4"/>
    <w:lvl w:ilvl="0" w:tplc="F450585C">
      <w:start w:val="7"/>
      <w:numFmt w:val="bullet"/>
      <w:lvlText w:val="-"/>
      <w:lvlJc w:val="left"/>
      <w:pPr>
        <w:ind w:left="1065"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7C6287"/>
    <w:multiLevelType w:val="hybridMultilevel"/>
    <w:tmpl w:val="02C24BDE"/>
    <w:lvl w:ilvl="0" w:tplc="D7E60B98">
      <w:start w:val="1"/>
      <w:numFmt w:val="decimal"/>
      <w:lvlText w:val="(%1)"/>
      <w:lvlJc w:val="left"/>
      <w:pPr>
        <w:tabs>
          <w:tab w:val="num" w:pos="525"/>
        </w:tabs>
        <w:ind w:left="525" w:hanging="525"/>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20B73A7"/>
    <w:multiLevelType w:val="hybridMultilevel"/>
    <w:tmpl w:val="2D92C7C0"/>
    <w:lvl w:ilvl="0" w:tplc="0422000D">
      <w:start w:val="1"/>
      <w:numFmt w:val="bullet"/>
      <w:lvlText w:val=""/>
      <w:lvlJc w:val="left"/>
      <w:pPr>
        <w:ind w:left="839" w:hanging="360"/>
      </w:pPr>
      <w:rPr>
        <w:rFonts w:ascii="Wingdings" w:hAnsi="Wingdings" w:hint="default"/>
      </w:rPr>
    </w:lvl>
    <w:lvl w:ilvl="1" w:tplc="04220003" w:tentative="1">
      <w:start w:val="1"/>
      <w:numFmt w:val="bullet"/>
      <w:lvlText w:val="o"/>
      <w:lvlJc w:val="left"/>
      <w:pPr>
        <w:ind w:left="1559" w:hanging="360"/>
      </w:pPr>
      <w:rPr>
        <w:rFonts w:ascii="Courier New" w:hAnsi="Courier New" w:cs="Courier New" w:hint="default"/>
      </w:rPr>
    </w:lvl>
    <w:lvl w:ilvl="2" w:tplc="04220005" w:tentative="1">
      <w:start w:val="1"/>
      <w:numFmt w:val="bullet"/>
      <w:lvlText w:val=""/>
      <w:lvlJc w:val="left"/>
      <w:pPr>
        <w:ind w:left="2279" w:hanging="360"/>
      </w:pPr>
      <w:rPr>
        <w:rFonts w:ascii="Wingdings" w:hAnsi="Wingdings" w:hint="default"/>
      </w:rPr>
    </w:lvl>
    <w:lvl w:ilvl="3" w:tplc="04220001" w:tentative="1">
      <w:start w:val="1"/>
      <w:numFmt w:val="bullet"/>
      <w:lvlText w:val=""/>
      <w:lvlJc w:val="left"/>
      <w:pPr>
        <w:ind w:left="2999" w:hanging="360"/>
      </w:pPr>
      <w:rPr>
        <w:rFonts w:ascii="Symbol" w:hAnsi="Symbol" w:hint="default"/>
      </w:rPr>
    </w:lvl>
    <w:lvl w:ilvl="4" w:tplc="04220003" w:tentative="1">
      <w:start w:val="1"/>
      <w:numFmt w:val="bullet"/>
      <w:lvlText w:val="o"/>
      <w:lvlJc w:val="left"/>
      <w:pPr>
        <w:ind w:left="3719" w:hanging="360"/>
      </w:pPr>
      <w:rPr>
        <w:rFonts w:ascii="Courier New" w:hAnsi="Courier New" w:cs="Courier New" w:hint="default"/>
      </w:rPr>
    </w:lvl>
    <w:lvl w:ilvl="5" w:tplc="04220005" w:tentative="1">
      <w:start w:val="1"/>
      <w:numFmt w:val="bullet"/>
      <w:lvlText w:val=""/>
      <w:lvlJc w:val="left"/>
      <w:pPr>
        <w:ind w:left="4439" w:hanging="360"/>
      </w:pPr>
      <w:rPr>
        <w:rFonts w:ascii="Wingdings" w:hAnsi="Wingdings" w:hint="default"/>
      </w:rPr>
    </w:lvl>
    <w:lvl w:ilvl="6" w:tplc="04220001" w:tentative="1">
      <w:start w:val="1"/>
      <w:numFmt w:val="bullet"/>
      <w:lvlText w:val=""/>
      <w:lvlJc w:val="left"/>
      <w:pPr>
        <w:ind w:left="5159" w:hanging="360"/>
      </w:pPr>
      <w:rPr>
        <w:rFonts w:ascii="Symbol" w:hAnsi="Symbol" w:hint="default"/>
      </w:rPr>
    </w:lvl>
    <w:lvl w:ilvl="7" w:tplc="04220003" w:tentative="1">
      <w:start w:val="1"/>
      <w:numFmt w:val="bullet"/>
      <w:lvlText w:val="o"/>
      <w:lvlJc w:val="left"/>
      <w:pPr>
        <w:ind w:left="5879" w:hanging="360"/>
      </w:pPr>
      <w:rPr>
        <w:rFonts w:ascii="Courier New" w:hAnsi="Courier New" w:cs="Courier New" w:hint="default"/>
      </w:rPr>
    </w:lvl>
    <w:lvl w:ilvl="8" w:tplc="04220005" w:tentative="1">
      <w:start w:val="1"/>
      <w:numFmt w:val="bullet"/>
      <w:lvlText w:val=""/>
      <w:lvlJc w:val="left"/>
      <w:pPr>
        <w:ind w:left="6599" w:hanging="360"/>
      </w:pPr>
      <w:rPr>
        <w:rFonts w:ascii="Wingdings" w:hAnsi="Wingdings" w:hint="default"/>
      </w:rPr>
    </w:lvl>
  </w:abstractNum>
  <w:abstractNum w:abstractNumId="12">
    <w:nsid w:val="44374510"/>
    <w:multiLevelType w:val="hybridMultilevel"/>
    <w:tmpl w:val="82904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BA53C0"/>
    <w:multiLevelType w:val="hybridMultilevel"/>
    <w:tmpl w:val="02C24BDE"/>
    <w:lvl w:ilvl="0" w:tplc="D7E60B98">
      <w:start w:val="1"/>
      <w:numFmt w:val="decimal"/>
      <w:lvlText w:val="(%1)"/>
      <w:lvlJc w:val="left"/>
      <w:pPr>
        <w:tabs>
          <w:tab w:val="num" w:pos="809"/>
        </w:tabs>
        <w:ind w:left="809" w:hanging="525"/>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45E53130"/>
    <w:multiLevelType w:val="hybridMultilevel"/>
    <w:tmpl w:val="5886A908"/>
    <w:lvl w:ilvl="0" w:tplc="906037DA">
      <w:start w:val="1"/>
      <w:numFmt w:val="decimal"/>
      <w:lvlText w:val="%1."/>
      <w:lvlJc w:val="left"/>
      <w:pPr>
        <w:tabs>
          <w:tab w:val="num" w:pos="479"/>
        </w:tabs>
        <w:ind w:left="479" w:hanging="360"/>
      </w:pPr>
      <w:rPr>
        <w:rFonts w:hint="default"/>
      </w:rPr>
    </w:lvl>
    <w:lvl w:ilvl="1" w:tplc="04190019">
      <w:start w:val="1"/>
      <w:numFmt w:val="lowerLetter"/>
      <w:lvlText w:val="%2."/>
      <w:lvlJc w:val="left"/>
      <w:pPr>
        <w:tabs>
          <w:tab w:val="num" w:pos="1199"/>
        </w:tabs>
        <w:ind w:left="1199" w:hanging="360"/>
      </w:pPr>
    </w:lvl>
    <w:lvl w:ilvl="2" w:tplc="11DA4898">
      <w:start w:val="18"/>
      <w:numFmt w:val="bullet"/>
      <w:lvlText w:val="-"/>
      <w:lvlJc w:val="left"/>
      <w:pPr>
        <w:ind w:left="2099" w:hanging="360"/>
      </w:pPr>
      <w:rPr>
        <w:rFonts w:ascii="Times New Roman" w:eastAsiaTheme="minorHAnsi" w:hAnsi="Times New Roman" w:cs="Times New Roman" w:hint="default"/>
      </w:rPr>
    </w:lvl>
    <w:lvl w:ilvl="3" w:tplc="0419000F" w:tentative="1">
      <w:start w:val="1"/>
      <w:numFmt w:val="decimal"/>
      <w:lvlText w:val="%4."/>
      <w:lvlJc w:val="left"/>
      <w:pPr>
        <w:tabs>
          <w:tab w:val="num" w:pos="2639"/>
        </w:tabs>
        <w:ind w:left="2639" w:hanging="360"/>
      </w:pPr>
    </w:lvl>
    <w:lvl w:ilvl="4" w:tplc="04190019" w:tentative="1">
      <w:start w:val="1"/>
      <w:numFmt w:val="lowerLetter"/>
      <w:lvlText w:val="%5."/>
      <w:lvlJc w:val="left"/>
      <w:pPr>
        <w:tabs>
          <w:tab w:val="num" w:pos="3359"/>
        </w:tabs>
        <w:ind w:left="3359" w:hanging="360"/>
      </w:pPr>
    </w:lvl>
    <w:lvl w:ilvl="5" w:tplc="0419001B" w:tentative="1">
      <w:start w:val="1"/>
      <w:numFmt w:val="lowerRoman"/>
      <w:lvlText w:val="%6."/>
      <w:lvlJc w:val="right"/>
      <w:pPr>
        <w:tabs>
          <w:tab w:val="num" w:pos="4079"/>
        </w:tabs>
        <w:ind w:left="4079" w:hanging="180"/>
      </w:pPr>
    </w:lvl>
    <w:lvl w:ilvl="6" w:tplc="0419000F" w:tentative="1">
      <w:start w:val="1"/>
      <w:numFmt w:val="decimal"/>
      <w:lvlText w:val="%7."/>
      <w:lvlJc w:val="left"/>
      <w:pPr>
        <w:tabs>
          <w:tab w:val="num" w:pos="4799"/>
        </w:tabs>
        <w:ind w:left="4799" w:hanging="360"/>
      </w:pPr>
    </w:lvl>
    <w:lvl w:ilvl="7" w:tplc="04190019" w:tentative="1">
      <w:start w:val="1"/>
      <w:numFmt w:val="lowerLetter"/>
      <w:lvlText w:val="%8."/>
      <w:lvlJc w:val="left"/>
      <w:pPr>
        <w:tabs>
          <w:tab w:val="num" w:pos="5519"/>
        </w:tabs>
        <w:ind w:left="5519" w:hanging="360"/>
      </w:pPr>
    </w:lvl>
    <w:lvl w:ilvl="8" w:tplc="0419001B" w:tentative="1">
      <w:start w:val="1"/>
      <w:numFmt w:val="lowerRoman"/>
      <w:lvlText w:val="%9."/>
      <w:lvlJc w:val="right"/>
      <w:pPr>
        <w:tabs>
          <w:tab w:val="num" w:pos="6239"/>
        </w:tabs>
        <w:ind w:left="6239" w:hanging="180"/>
      </w:pPr>
    </w:lvl>
  </w:abstractNum>
  <w:abstractNum w:abstractNumId="15">
    <w:nsid w:val="517E0395"/>
    <w:multiLevelType w:val="hybridMultilevel"/>
    <w:tmpl w:val="48AC61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C987B5B"/>
    <w:multiLevelType w:val="hybridMultilevel"/>
    <w:tmpl w:val="41B2BDDC"/>
    <w:lvl w:ilvl="0" w:tplc="27F8CF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0FB3FD1"/>
    <w:multiLevelType w:val="hybridMultilevel"/>
    <w:tmpl w:val="250C992E"/>
    <w:lvl w:ilvl="0" w:tplc="654C7190">
      <w:start w:val="1"/>
      <w:numFmt w:val="lowerRoman"/>
      <w:lvlText w:val="%1)"/>
      <w:lvlJc w:val="left"/>
      <w:pPr>
        <w:ind w:left="839" w:hanging="720"/>
      </w:pPr>
      <w:rPr>
        <w:rFonts w:hint="default"/>
      </w:rPr>
    </w:lvl>
    <w:lvl w:ilvl="1" w:tplc="04220019" w:tentative="1">
      <w:start w:val="1"/>
      <w:numFmt w:val="lowerLetter"/>
      <w:lvlText w:val="%2."/>
      <w:lvlJc w:val="left"/>
      <w:pPr>
        <w:ind w:left="1199" w:hanging="360"/>
      </w:pPr>
    </w:lvl>
    <w:lvl w:ilvl="2" w:tplc="0422001B" w:tentative="1">
      <w:start w:val="1"/>
      <w:numFmt w:val="lowerRoman"/>
      <w:lvlText w:val="%3."/>
      <w:lvlJc w:val="right"/>
      <w:pPr>
        <w:ind w:left="1919" w:hanging="180"/>
      </w:pPr>
    </w:lvl>
    <w:lvl w:ilvl="3" w:tplc="0422000F" w:tentative="1">
      <w:start w:val="1"/>
      <w:numFmt w:val="decimal"/>
      <w:lvlText w:val="%4."/>
      <w:lvlJc w:val="left"/>
      <w:pPr>
        <w:ind w:left="2639" w:hanging="360"/>
      </w:pPr>
    </w:lvl>
    <w:lvl w:ilvl="4" w:tplc="04220019" w:tentative="1">
      <w:start w:val="1"/>
      <w:numFmt w:val="lowerLetter"/>
      <w:lvlText w:val="%5."/>
      <w:lvlJc w:val="left"/>
      <w:pPr>
        <w:ind w:left="3359" w:hanging="360"/>
      </w:pPr>
    </w:lvl>
    <w:lvl w:ilvl="5" w:tplc="0422001B" w:tentative="1">
      <w:start w:val="1"/>
      <w:numFmt w:val="lowerRoman"/>
      <w:lvlText w:val="%6."/>
      <w:lvlJc w:val="right"/>
      <w:pPr>
        <w:ind w:left="4079" w:hanging="180"/>
      </w:pPr>
    </w:lvl>
    <w:lvl w:ilvl="6" w:tplc="0422000F" w:tentative="1">
      <w:start w:val="1"/>
      <w:numFmt w:val="decimal"/>
      <w:lvlText w:val="%7."/>
      <w:lvlJc w:val="left"/>
      <w:pPr>
        <w:ind w:left="4799" w:hanging="360"/>
      </w:pPr>
    </w:lvl>
    <w:lvl w:ilvl="7" w:tplc="04220019" w:tentative="1">
      <w:start w:val="1"/>
      <w:numFmt w:val="lowerLetter"/>
      <w:lvlText w:val="%8."/>
      <w:lvlJc w:val="left"/>
      <w:pPr>
        <w:ind w:left="5519" w:hanging="360"/>
      </w:pPr>
    </w:lvl>
    <w:lvl w:ilvl="8" w:tplc="0422001B" w:tentative="1">
      <w:start w:val="1"/>
      <w:numFmt w:val="lowerRoman"/>
      <w:lvlText w:val="%9."/>
      <w:lvlJc w:val="right"/>
      <w:pPr>
        <w:ind w:left="6239" w:hanging="180"/>
      </w:pPr>
    </w:lvl>
  </w:abstractNum>
  <w:abstractNum w:abstractNumId="18">
    <w:nsid w:val="62145D30"/>
    <w:multiLevelType w:val="hybridMultilevel"/>
    <w:tmpl w:val="BBB479C8"/>
    <w:lvl w:ilvl="0" w:tplc="BB84421C">
      <w:start w:val="1"/>
      <w:numFmt w:val="decimal"/>
      <w:lvlText w:val="%1."/>
      <w:lvlJc w:val="left"/>
      <w:pPr>
        <w:tabs>
          <w:tab w:val="num" w:pos="479"/>
        </w:tabs>
        <w:ind w:left="479" w:hanging="360"/>
      </w:pPr>
      <w:rPr>
        <w:rFonts w:hint="default"/>
      </w:rPr>
    </w:lvl>
    <w:lvl w:ilvl="1" w:tplc="04190019" w:tentative="1">
      <w:start w:val="1"/>
      <w:numFmt w:val="lowerLetter"/>
      <w:lvlText w:val="%2."/>
      <w:lvlJc w:val="left"/>
      <w:pPr>
        <w:tabs>
          <w:tab w:val="num" w:pos="1199"/>
        </w:tabs>
        <w:ind w:left="1199" w:hanging="360"/>
      </w:pPr>
    </w:lvl>
    <w:lvl w:ilvl="2" w:tplc="0419001B" w:tentative="1">
      <w:start w:val="1"/>
      <w:numFmt w:val="lowerRoman"/>
      <w:lvlText w:val="%3."/>
      <w:lvlJc w:val="right"/>
      <w:pPr>
        <w:tabs>
          <w:tab w:val="num" w:pos="1919"/>
        </w:tabs>
        <w:ind w:left="1919" w:hanging="180"/>
      </w:pPr>
    </w:lvl>
    <w:lvl w:ilvl="3" w:tplc="0419000F" w:tentative="1">
      <w:start w:val="1"/>
      <w:numFmt w:val="decimal"/>
      <w:lvlText w:val="%4."/>
      <w:lvlJc w:val="left"/>
      <w:pPr>
        <w:tabs>
          <w:tab w:val="num" w:pos="2639"/>
        </w:tabs>
        <w:ind w:left="2639" w:hanging="360"/>
      </w:pPr>
    </w:lvl>
    <w:lvl w:ilvl="4" w:tplc="04190019" w:tentative="1">
      <w:start w:val="1"/>
      <w:numFmt w:val="lowerLetter"/>
      <w:lvlText w:val="%5."/>
      <w:lvlJc w:val="left"/>
      <w:pPr>
        <w:tabs>
          <w:tab w:val="num" w:pos="3359"/>
        </w:tabs>
        <w:ind w:left="3359" w:hanging="360"/>
      </w:pPr>
    </w:lvl>
    <w:lvl w:ilvl="5" w:tplc="0419001B" w:tentative="1">
      <w:start w:val="1"/>
      <w:numFmt w:val="lowerRoman"/>
      <w:lvlText w:val="%6."/>
      <w:lvlJc w:val="right"/>
      <w:pPr>
        <w:tabs>
          <w:tab w:val="num" w:pos="4079"/>
        </w:tabs>
        <w:ind w:left="4079" w:hanging="180"/>
      </w:pPr>
    </w:lvl>
    <w:lvl w:ilvl="6" w:tplc="0419000F" w:tentative="1">
      <w:start w:val="1"/>
      <w:numFmt w:val="decimal"/>
      <w:lvlText w:val="%7."/>
      <w:lvlJc w:val="left"/>
      <w:pPr>
        <w:tabs>
          <w:tab w:val="num" w:pos="4799"/>
        </w:tabs>
        <w:ind w:left="4799" w:hanging="360"/>
      </w:pPr>
    </w:lvl>
    <w:lvl w:ilvl="7" w:tplc="04190019" w:tentative="1">
      <w:start w:val="1"/>
      <w:numFmt w:val="lowerLetter"/>
      <w:lvlText w:val="%8."/>
      <w:lvlJc w:val="left"/>
      <w:pPr>
        <w:tabs>
          <w:tab w:val="num" w:pos="5519"/>
        </w:tabs>
        <w:ind w:left="5519" w:hanging="360"/>
      </w:pPr>
    </w:lvl>
    <w:lvl w:ilvl="8" w:tplc="0419001B" w:tentative="1">
      <w:start w:val="1"/>
      <w:numFmt w:val="lowerRoman"/>
      <w:lvlText w:val="%9."/>
      <w:lvlJc w:val="right"/>
      <w:pPr>
        <w:tabs>
          <w:tab w:val="num" w:pos="6239"/>
        </w:tabs>
        <w:ind w:left="6239" w:hanging="180"/>
      </w:pPr>
    </w:lvl>
  </w:abstractNum>
  <w:abstractNum w:abstractNumId="19">
    <w:nsid w:val="79144ED0"/>
    <w:multiLevelType w:val="hybridMultilevel"/>
    <w:tmpl w:val="855455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6"/>
  </w:num>
  <w:num w:numId="5">
    <w:abstractNumId w:val="18"/>
  </w:num>
  <w:num w:numId="6">
    <w:abstractNumId w:val="5"/>
  </w:num>
  <w:num w:numId="7">
    <w:abstractNumId w:val="7"/>
  </w:num>
  <w:num w:numId="8">
    <w:abstractNumId w:val="1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1"/>
  </w:num>
  <w:num w:numId="13">
    <w:abstractNumId w:val="17"/>
  </w:num>
  <w:num w:numId="14">
    <w:abstractNumId w:val="8"/>
  </w:num>
  <w:num w:numId="15">
    <w:abstractNumId w:val="2"/>
  </w:num>
  <w:num w:numId="16">
    <w:abstractNumId w:val="19"/>
  </w:num>
  <w:num w:numId="17">
    <w:abstractNumId w:val="0"/>
  </w:num>
  <w:num w:numId="18">
    <w:abstractNumId w:val="15"/>
  </w:num>
  <w:num w:numId="19">
    <w:abstractNumId w:val="1"/>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56"/>
    <w:rsid w:val="00002535"/>
    <w:rsid w:val="00015B8F"/>
    <w:rsid w:val="0002071E"/>
    <w:rsid w:val="00033EF7"/>
    <w:rsid w:val="00047C3F"/>
    <w:rsid w:val="00063C3B"/>
    <w:rsid w:val="00080AA8"/>
    <w:rsid w:val="0008794B"/>
    <w:rsid w:val="000A02C4"/>
    <w:rsid w:val="000A513D"/>
    <w:rsid w:val="000B09DF"/>
    <w:rsid w:val="000B3A86"/>
    <w:rsid w:val="000C1EA7"/>
    <w:rsid w:val="000E0617"/>
    <w:rsid w:val="000F154A"/>
    <w:rsid w:val="00101343"/>
    <w:rsid w:val="00101933"/>
    <w:rsid w:val="00107F05"/>
    <w:rsid w:val="00113962"/>
    <w:rsid w:val="00114FB6"/>
    <w:rsid w:val="00115665"/>
    <w:rsid w:val="00115ABF"/>
    <w:rsid w:val="00143023"/>
    <w:rsid w:val="001476EE"/>
    <w:rsid w:val="00151B66"/>
    <w:rsid w:val="00167A68"/>
    <w:rsid w:val="00167DE0"/>
    <w:rsid w:val="00196484"/>
    <w:rsid w:val="001A1CEB"/>
    <w:rsid w:val="001A519C"/>
    <w:rsid w:val="001B58A4"/>
    <w:rsid w:val="001C272D"/>
    <w:rsid w:val="001D168C"/>
    <w:rsid w:val="001D27CC"/>
    <w:rsid w:val="001E5AA8"/>
    <w:rsid w:val="001F2D2E"/>
    <w:rsid w:val="001F6DC8"/>
    <w:rsid w:val="00201BF0"/>
    <w:rsid w:val="00205139"/>
    <w:rsid w:val="00207B3C"/>
    <w:rsid w:val="00212564"/>
    <w:rsid w:val="0021555C"/>
    <w:rsid w:val="00215DB0"/>
    <w:rsid w:val="00227A05"/>
    <w:rsid w:val="0023422D"/>
    <w:rsid w:val="00236303"/>
    <w:rsid w:val="00246E3C"/>
    <w:rsid w:val="002470D1"/>
    <w:rsid w:val="00254291"/>
    <w:rsid w:val="002560FD"/>
    <w:rsid w:val="00274F71"/>
    <w:rsid w:val="00283478"/>
    <w:rsid w:val="0029084D"/>
    <w:rsid w:val="0029149A"/>
    <w:rsid w:val="002977DA"/>
    <w:rsid w:val="002A523B"/>
    <w:rsid w:val="002B0430"/>
    <w:rsid w:val="002B0B61"/>
    <w:rsid w:val="002B2C52"/>
    <w:rsid w:val="002B2E68"/>
    <w:rsid w:val="002C270D"/>
    <w:rsid w:val="002D6020"/>
    <w:rsid w:val="002F5CE7"/>
    <w:rsid w:val="00320C21"/>
    <w:rsid w:val="00334A29"/>
    <w:rsid w:val="0035719F"/>
    <w:rsid w:val="00361490"/>
    <w:rsid w:val="00370044"/>
    <w:rsid w:val="003A2577"/>
    <w:rsid w:val="003A4F44"/>
    <w:rsid w:val="003A5AB0"/>
    <w:rsid w:val="003C6F81"/>
    <w:rsid w:val="003D150D"/>
    <w:rsid w:val="003D67DD"/>
    <w:rsid w:val="003E44B7"/>
    <w:rsid w:val="003E5B0F"/>
    <w:rsid w:val="003F2C60"/>
    <w:rsid w:val="003F3847"/>
    <w:rsid w:val="0040065B"/>
    <w:rsid w:val="004141F7"/>
    <w:rsid w:val="00414D15"/>
    <w:rsid w:val="00426D67"/>
    <w:rsid w:val="0043686A"/>
    <w:rsid w:val="00445FFB"/>
    <w:rsid w:val="004645C6"/>
    <w:rsid w:val="00465135"/>
    <w:rsid w:val="00470981"/>
    <w:rsid w:val="00471788"/>
    <w:rsid w:val="004766BF"/>
    <w:rsid w:val="00480DA9"/>
    <w:rsid w:val="00484236"/>
    <w:rsid w:val="00492C74"/>
    <w:rsid w:val="00497BA4"/>
    <w:rsid w:val="004A5246"/>
    <w:rsid w:val="004B3511"/>
    <w:rsid w:val="004E3A0C"/>
    <w:rsid w:val="004E5F7B"/>
    <w:rsid w:val="004E6B24"/>
    <w:rsid w:val="004F5D7A"/>
    <w:rsid w:val="0050156E"/>
    <w:rsid w:val="00505D06"/>
    <w:rsid w:val="005329C1"/>
    <w:rsid w:val="005414C5"/>
    <w:rsid w:val="00545692"/>
    <w:rsid w:val="005474AE"/>
    <w:rsid w:val="0055508C"/>
    <w:rsid w:val="00560EFD"/>
    <w:rsid w:val="00561AE0"/>
    <w:rsid w:val="0057080A"/>
    <w:rsid w:val="0057391F"/>
    <w:rsid w:val="00577E58"/>
    <w:rsid w:val="00590CCB"/>
    <w:rsid w:val="005B3A0A"/>
    <w:rsid w:val="005B43F1"/>
    <w:rsid w:val="005B554B"/>
    <w:rsid w:val="005C53A8"/>
    <w:rsid w:val="005D0B9C"/>
    <w:rsid w:val="005D32F1"/>
    <w:rsid w:val="005E1206"/>
    <w:rsid w:val="005E42C7"/>
    <w:rsid w:val="005F60F3"/>
    <w:rsid w:val="00602FE5"/>
    <w:rsid w:val="0061193B"/>
    <w:rsid w:val="006248F8"/>
    <w:rsid w:val="00626B55"/>
    <w:rsid w:val="00627743"/>
    <w:rsid w:val="00634F94"/>
    <w:rsid w:val="006426FC"/>
    <w:rsid w:val="00643118"/>
    <w:rsid w:val="00653BA0"/>
    <w:rsid w:val="00674542"/>
    <w:rsid w:val="00675384"/>
    <w:rsid w:val="00675C29"/>
    <w:rsid w:val="00677433"/>
    <w:rsid w:val="006816B6"/>
    <w:rsid w:val="00684B7B"/>
    <w:rsid w:val="006861C8"/>
    <w:rsid w:val="00690EB0"/>
    <w:rsid w:val="00691E97"/>
    <w:rsid w:val="00694419"/>
    <w:rsid w:val="00694B07"/>
    <w:rsid w:val="00697725"/>
    <w:rsid w:val="006A2B91"/>
    <w:rsid w:val="006A6694"/>
    <w:rsid w:val="006C429E"/>
    <w:rsid w:val="006C4829"/>
    <w:rsid w:val="006D15FF"/>
    <w:rsid w:val="006E7A3E"/>
    <w:rsid w:val="006E7CBE"/>
    <w:rsid w:val="006F17F4"/>
    <w:rsid w:val="00702235"/>
    <w:rsid w:val="00702B46"/>
    <w:rsid w:val="0070509E"/>
    <w:rsid w:val="0072314F"/>
    <w:rsid w:val="00724B8F"/>
    <w:rsid w:val="0075469E"/>
    <w:rsid w:val="00764437"/>
    <w:rsid w:val="00773A90"/>
    <w:rsid w:val="00792221"/>
    <w:rsid w:val="007A2277"/>
    <w:rsid w:val="007A732C"/>
    <w:rsid w:val="007B1945"/>
    <w:rsid w:val="007C5F82"/>
    <w:rsid w:val="007E395D"/>
    <w:rsid w:val="007E416C"/>
    <w:rsid w:val="007E68F5"/>
    <w:rsid w:val="007F607C"/>
    <w:rsid w:val="00804A28"/>
    <w:rsid w:val="00817E57"/>
    <w:rsid w:val="00823204"/>
    <w:rsid w:val="00832478"/>
    <w:rsid w:val="00832F76"/>
    <w:rsid w:val="008349E4"/>
    <w:rsid w:val="00846193"/>
    <w:rsid w:val="00847F5F"/>
    <w:rsid w:val="00870071"/>
    <w:rsid w:val="00874817"/>
    <w:rsid w:val="00891113"/>
    <w:rsid w:val="008B26C6"/>
    <w:rsid w:val="008C2386"/>
    <w:rsid w:val="008C6A18"/>
    <w:rsid w:val="008C78BE"/>
    <w:rsid w:val="008D4846"/>
    <w:rsid w:val="008E23AC"/>
    <w:rsid w:val="008E7D40"/>
    <w:rsid w:val="008F3EBA"/>
    <w:rsid w:val="0090189F"/>
    <w:rsid w:val="00913C8A"/>
    <w:rsid w:val="00916B7B"/>
    <w:rsid w:val="009274DE"/>
    <w:rsid w:val="00933CD5"/>
    <w:rsid w:val="00935F8B"/>
    <w:rsid w:val="00957DF2"/>
    <w:rsid w:val="00961983"/>
    <w:rsid w:val="0096581F"/>
    <w:rsid w:val="00971CA6"/>
    <w:rsid w:val="00977466"/>
    <w:rsid w:val="009A40D9"/>
    <w:rsid w:val="009A5DD1"/>
    <w:rsid w:val="009B3B6A"/>
    <w:rsid w:val="009C2E0A"/>
    <w:rsid w:val="009D7BE7"/>
    <w:rsid w:val="009E3E6B"/>
    <w:rsid w:val="009F3C3F"/>
    <w:rsid w:val="00A00625"/>
    <w:rsid w:val="00A011EA"/>
    <w:rsid w:val="00A07A4B"/>
    <w:rsid w:val="00A15FC3"/>
    <w:rsid w:val="00A24109"/>
    <w:rsid w:val="00A3313C"/>
    <w:rsid w:val="00A50080"/>
    <w:rsid w:val="00A5230B"/>
    <w:rsid w:val="00A67933"/>
    <w:rsid w:val="00A73794"/>
    <w:rsid w:val="00AA4D31"/>
    <w:rsid w:val="00AC5B76"/>
    <w:rsid w:val="00AC6FF5"/>
    <w:rsid w:val="00AC7440"/>
    <w:rsid w:val="00AD180E"/>
    <w:rsid w:val="00AD1D51"/>
    <w:rsid w:val="00AD52C2"/>
    <w:rsid w:val="00AD5623"/>
    <w:rsid w:val="00AE5550"/>
    <w:rsid w:val="00AE56AB"/>
    <w:rsid w:val="00AE7CC2"/>
    <w:rsid w:val="00B05348"/>
    <w:rsid w:val="00B15175"/>
    <w:rsid w:val="00B170B0"/>
    <w:rsid w:val="00B35B63"/>
    <w:rsid w:val="00B418DF"/>
    <w:rsid w:val="00B53D09"/>
    <w:rsid w:val="00B711B1"/>
    <w:rsid w:val="00B8498C"/>
    <w:rsid w:val="00B9347B"/>
    <w:rsid w:val="00BA4007"/>
    <w:rsid w:val="00BB24E3"/>
    <w:rsid w:val="00BB388C"/>
    <w:rsid w:val="00BB4234"/>
    <w:rsid w:val="00BC4D1F"/>
    <w:rsid w:val="00BD0307"/>
    <w:rsid w:val="00BD2BAF"/>
    <w:rsid w:val="00BD5D14"/>
    <w:rsid w:val="00BF6614"/>
    <w:rsid w:val="00C1657B"/>
    <w:rsid w:val="00C1737E"/>
    <w:rsid w:val="00C17F45"/>
    <w:rsid w:val="00C21FB6"/>
    <w:rsid w:val="00C25437"/>
    <w:rsid w:val="00C25456"/>
    <w:rsid w:val="00C259A2"/>
    <w:rsid w:val="00C26154"/>
    <w:rsid w:val="00C322E4"/>
    <w:rsid w:val="00C40C16"/>
    <w:rsid w:val="00C437DC"/>
    <w:rsid w:val="00C4455E"/>
    <w:rsid w:val="00C65B97"/>
    <w:rsid w:val="00C743EE"/>
    <w:rsid w:val="00C75160"/>
    <w:rsid w:val="00C7702E"/>
    <w:rsid w:val="00C77480"/>
    <w:rsid w:val="00C81864"/>
    <w:rsid w:val="00C85EE9"/>
    <w:rsid w:val="00C91FCF"/>
    <w:rsid w:val="00C95678"/>
    <w:rsid w:val="00CA6301"/>
    <w:rsid w:val="00CB0688"/>
    <w:rsid w:val="00CB5A67"/>
    <w:rsid w:val="00CC1AC7"/>
    <w:rsid w:val="00CC71EA"/>
    <w:rsid w:val="00CE18B4"/>
    <w:rsid w:val="00CF623B"/>
    <w:rsid w:val="00CF716A"/>
    <w:rsid w:val="00D203E7"/>
    <w:rsid w:val="00D45BC8"/>
    <w:rsid w:val="00D70FB4"/>
    <w:rsid w:val="00D850AF"/>
    <w:rsid w:val="00D90EDA"/>
    <w:rsid w:val="00D91CBC"/>
    <w:rsid w:val="00D978AB"/>
    <w:rsid w:val="00DA29D3"/>
    <w:rsid w:val="00DB49B1"/>
    <w:rsid w:val="00DC1730"/>
    <w:rsid w:val="00DC2E52"/>
    <w:rsid w:val="00DC7A48"/>
    <w:rsid w:val="00DD7852"/>
    <w:rsid w:val="00DE07CB"/>
    <w:rsid w:val="00DE1B01"/>
    <w:rsid w:val="00DF6562"/>
    <w:rsid w:val="00E101F0"/>
    <w:rsid w:val="00E12764"/>
    <w:rsid w:val="00E13014"/>
    <w:rsid w:val="00E324F4"/>
    <w:rsid w:val="00E3303F"/>
    <w:rsid w:val="00E41D44"/>
    <w:rsid w:val="00E451EC"/>
    <w:rsid w:val="00E534C4"/>
    <w:rsid w:val="00E53629"/>
    <w:rsid w:val="00E55A10"/>
    <w:rsid w:val="00E603AA"/>
    <w:rsid w:val="00E629C0"/>
    <w:rsid w:val="00E70CFC"/>
    <w:rsid w:val="00E7650F"/>
    <w:rsid w:val="00E85936"/>
    <w:rsid w:val="00E9728F"/>
    <w:rsid w:val="00E97C68"/>
    <w:rsid w:val="00EC3EC8"/>
    <w:rsid w:val="00EC77C5"/>
    <w:rsid w:val="00ED03DC"/>
    <w:rsid w:val="00ED167F"/>
    <w:rsid w:val="00ED28C5"/>
    <w:rsid w:val="00EE4EFF"/>
    <w:rsid w:val="00EF0689"/>
    <w:rsid w:val="00EF0937"/>
    <w:rsid w:val="00EF4586"/>
    <w:rsid w:val="00EF5CD6"/>
    <w:rsid w:val="00EF60E9"/>
    <w:rsid w:val="00F04EF6"/>
    <w:rsid w:val="00F155CA"/>
    <w:rsid w:val="00F215EF"/>
    <w:rsid w:val="00F4567B"/>
    <w:rsid w:val="00F46DAA"/>
    <w:rsid w:val="00F612F3"/>
    <w:rsid w:val="00F63450"/>
    <w:rsid w:val="00F73552"/>
    <w:rsid w:val="00F7517C"/>
    <w:rsid w:val="00F8747C"/>
    <w:rsid w:val="00FB4BC1"/>
    <w:rsid w:val="00FB50EB"/>
    <w:rsid w:val="00FC4B5D"/>
    <w:rsid w:val="00FD0F7E"/>
    <w:rsid w:val="00FD2B56"/>
    <w:rsid w:val="00FE3EB6"/>
    <w:rsid w:val="00FE43E1"/>
    <w:rsid w:val="00FE4588"/>
    <w:rsid w:val="00FF663B"/>
    <w:rsid w:val="00FF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FB239-3488-4282-8F29-7790BE5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8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autoRedefine/>
    <w:rsid w:val="000E0617"/>
    <w:pPr>
      <w:autoSpaceDE w:val="0"/>
      <w:autoSpaceDN w:val="0"/>
      <w:adjustRightInd w:val="0"/>
      <w:spacing w:before="120" w:after="120" w:line="240" w:lineRule="auto"/>
      <w:ind w:hanging="120"/>
      <w:jc w:val="center"/>
    </w:pPr>
    <w:rPr>
      <w:rFonts w:ascii="Times New Roman" w:eastAsia="Times New Roman" w:hAnsi="Times New Roman" w:cs="Times New Roman"/>
      <w:b/>
      <w:sz w:val="20"/>
      <w:szCs w:val="17"/>
      <w:lang w:val="uk-UA"/>
    </w:rPr>
  </w:style>
  <w:style w:type="paragraph" w:styleId="BodyText">
    <w:name w:val="Body Text"/>
    <w:basedOn w:val="Normal"/>
    <w:link w:val="BodyTextChar"/>
    <w:rsid w:val="000E0617"/>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0E0617"/>
    <w:rPr>
      <w:rFonts w:ascii="Times New Roman" w:eastAsia="Times New Roman" w:hAnsi="Times New Roman" w:cs="Times New Roman"/>
      <w:sz w:val="24"/>
      <w:szCs w:val="24"/>
      <w:lang w:val="ru-RU" w:eastAsia="ru-RU"/>
    </w:rPr>
  </w:style>
  <w:style w:type="paragraph" w:customStyle="1" w:styleId="Directive2colomns">
    <w:name w:val="Directive 2 colomns"/>
    <w:rsid w:val="00B53D09"/>
    <w:pPr>
      <w:spacing w:before="120" w:after="120" w:line="240" w:lineRule="auto"/>
      <w:ind w:left="119" w:right="153"/>
      <w:jc w:val="both"/>
    </w:pPr>
    <w:rPr>
      <w:rFonts w:ascii="Times New Roman" w:eastAsia="Times New Roman" w:hAnsi="Times New Roman" w:cs="Times New Roman"/>
      <w:sz w:val="20"/>
      <w:szCs w:val="20"/>
      <w:lang w:val="uk-UA" w:eastAsia="ru-RU"/>
    </w:rPr>
  </w:style>
  <w:style w:type="paragraph" w:styleId="ListParagraph">
    <w:name w:val="List Paragraph"/>
    <w:basedOn w:val="Normal"/>
    <w:uiPriority w:val="34"/>
    <w:qFormat/>
    <w:rsid w:val="00101343"/>
    <w:pPr>
      <w:ind w:left="720"/>
      <w:contextualSpacing/>
    </w:pPr>
  </w:style>
  <w:style w:type="paragraph" w:styleId="Header">
    <w:name w:val="header"/>
    <w:basedOn w:val="Normal"/>
    <w:link w:val="HeaderChar"/>
    <w:uiPriority w:val="99"/>
    <w:unhideWhenUsed/>
    <w:rsid w:val="001A1CEB"/>
    <w:pPr>
      <w:tabs>
        <w:tab w:val="center" w:pos="4677"/>
        <w:tab w:val="right" w:pos="9355"/>
      </w:tabs>
      <w:spacing w:after="0" w:line="240" w:lineRule="auto"/>
    </w:pPr>
  </w:style>
  <w:style w:type="character" w:customStyle="1" w:styleId="HeaderChar">
    <w:name w:val="Header Char"/>
    <w:basedOn w:val="DefaultParagraphFont"/>
    <w:link w:val="Header"/>
    <w:uiPriority w:val="99"/>
    <w:rsid w:val="001A1CEB"/>
    <w:rPr>
      <w:lang w:val="en-GB"/>
    </w:rPr>
  </w:style>
  <w:style w:type="paragraph" w:styleId="Footer">
    <w:name w:val="footer"/>
    <w:basedOn w:val="Normal"/>
    <w:link w:val="FooterChar"/>
    <w:uiPriority w:val="99"/>
    <w:unhideWhenUsed/>
    <w:rsid w:val="001A1CEB"/>
    <w:pPr>
      <w:tabs>
        <w:tab w:val="center" w:pos="4677"/>
        <w:tab w:val="right" w:pos="9355"/>
      </w:tabs>
      <w:spacing w:after="0" w:line="240" w:lineRule="auto"/>
    </w:pPr>
  </w:style>
  <w:style w:type="character" w:customStyle="1" w:styleId="FooterChar">
    <w:name w:val="Footer Char"/>
    <w:basedOn w:val="DefaultParagraphFont"/>
    <w:link w:val="Footer"/>
    <w:uiPriority w:val="99"/>
    <w:rsid w:val="001A1CEB"/>
    <w:rPr>
      <w:lang w:val="en-GB"/>
    </w:rPr>
  </w:style>
  <w:style w:type="paragraph" w:styleId="BodyTextIndent">
    <w:name w:val="Body Text Indent"/>
    <w:basedOn w:val="Normal"/>
    <w:link w:val="BodyTextIndentChar"/>
    <w:uiPriority w:val="99"/>
    <w:semiHidden/>
    <w:unhideWhenUsed/>
    <w:rsid w:val="00C1657B"/>
    <w:pPr>
      <w:spacing w:after="120"/>
      <w:ind w:left="283"/>
    </w:pPr>
  </w:style>
  <w:style w:type="character" w:customStyle="1" w:styleId="BodyTextIndentChar">
    <w:name w:val="Body Text Indent Char"/>
    <w:basedOn w:val="DefaultParagraphFont"/>
    <w:link w:val="BodyTextIndent"/>
    <w:rsid w:val="00C1657B"/>
    <w:rPr>
      <w:lang w:val="en-GB"/>
    </w:rPr>
  </w:style>
  <w:style w:type="character" w:customStyle="1" w:styleId="Heading1Char">
    <w:name w:val="Heading 1 Char"/>
    <w:basedOn w:val="DefaultParagraphFont"/>
    <w:link w:val="Heading1"/>
    <w:uiPriority w:val="9"/>
    <w:rsid w:val="00C85EE9"/>
    <w:rPr>
      <w:rFonts w:asciiTheme="majorHAnsi" w:eastAsiaTheme="majorEastAsia" w:hAnsiTheme="majorHAnsi" w:cstheme="majorBidi"/>
      <w:color w:val="2E74B5" w:themeColor="accent1" w:themeShade="BF"/>
      <w:sz w:val="32"/>
      <w:szCs w:val="32"/>
      <w:lang w:val="en-GB"/>
    </w:rPr>
  </w:style>
  <w:style w:type="paragraph" w:styleId="FootnoteText">
    <w:name w:val="footnote text"/>
    <w:basedOn w:val="Normal"/>
    <w:link w:val="FootnoteTextChar"/>
    <w:semiHidden/>
    <w:rsid w:val="00C17F45"/>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C17F4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C17F45"/>
    <w:rPr>
      <w:vertAlign w:val="superscript"/>
    </w:rPr>
  </w:style>
  <w:style w:type="paragraph" w:styleId="HTMLPreformatted">
    <w:name w:val="HTML Preformatted"/>
    <w:basedOn w:val="Normal"/>
    <w:link w:val="HTMLPreformattedChar"/>
    <w:uiPriority w:val="99"/>
    <w:semiHidden/>
    <w:unhideWhenUsed/>
    <w:rsid w:val="00E1276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12764"/>
    <w:rPr>
      <w:rFonts w:ascii="Consolas" w:hAnsi="Consolas" w:cs="Consolas"/>
      <w:sz w:val="20"/>
      <w:szCs w:val="20"/>
      <w:lang w:val="en-GB"/>
    </w:rPr>
  </w:style>
  <w:style w:type="character" w:styleId="Hyperlink">
    <w:name w:val="Hyperlink"/>
    <w:basedOn w:val="DefaultParagraphFont"/>
    <w:uiPriority w:val="99"/>
    <w:unhideWhenUsed/>
    <w:rsid w:val="00196484"/>
    <w:rPr>
      <w:color w:val="0563C1" w:themeColor="hyperlink"/>
      <w:u w:val="single"/>
    </w:rPr>
  </w:style>
  <w:style w:type="paragraph" w:styleId="TOCHeading">
    <w:name w:val="TOC Heading"/>
    <w:basedOn w:val="Heading1"/>
    <w:next w:val="Normal"/>
    <w:uiPriority w:val="39"/>
    <w:unhideWhenUsed/>
    <w:qFormat/>
    <w:rsid w:val="008E7D40"/>
    <w:pPr>
      <w:outlineLvl w:val="9"/>
    </w:pPr>
    <w:rPr>
      <w:lang w:val="en-US"/>
    </w:rPr>
  </w:style>
  <w:style w:type="paragraph" w:styleId="TOC1">
    <w:name w:val="toc 1"/>
    <w:basedOn w:val="Normal"/>
    <w:next w:val="Normal"/>
    <w:autoRedefine/>
    <w:uiPriority w:val="39"/>
    <w:unhideWhenUsed/>
    <w:rsid w:val="008E7D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8119">
      <w:bodyDiv w:val="1"/>
      <w:marLeft w:val="0"/>
      <w:marRight w:val="0"/>
      <w:marTop w:val="0"/>
      <w:marBottom w:val="0"/>
      <w:divBdr>
        <w:top w:val="none" w:sz="0" w:space="0" w:color="auto"/>
        <w:left w:val="none" w:sz="0" w:space="0" w:color="auto"/>
        <w:bottom w:val="none" w:sz="0" w:space="0" w:color="auto"/>
        <w:right w:val="none" w:sz="0" w:space="0" w:color="auto"/>
      </w:divBdr>
    </w:div>
    <w:div w:id="431781357">
      <w:bodyDiv w:val="1"/>
      <w:marLeft w:val="0"/>
      <w:marRight w:val="0"/>
      <w:marTop w:val="0"/>
      <w:marBottom w:val="0"/>
      <w:divBdr>
        <w:top w:val="none" w:sz="0" w:space="0" w:color="auto"/>
        <w:left w:val="none" w:sz="0" w:space="0" w:color="auto"/>
        <w:bottom w:val="none" w:sz="0" w:space="0" w:color="auto"/>
        <w:right w:val="none" w:sz="0" w:space="0" w:color="auto"/>
      </w:divBdr>
    </w:div>
    <w:div w:id="8660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ransport/modes/rail/market/regulatory_bodies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transport/modes/rail/infrastructures/doc/railcalc_presentation_or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340F8-2241-40A9-83E2-3D7F36B1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Pages>
  <Words>17531</Words>
  <Characters>9993</Characters>
  <Application>Microsoft Office Word</Application>
  <DocSecurity>0</DocSecurity>
  <Lines>83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27470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edith</cp:lastModifiedBy>
  <cp:revision>5</cp:revision>
  <dcterms:created xsi:type="dcterms:W3CDTF">2015-10-07T19:37:00Z</dcterms:created>
  <dcterms:modified xsi:type="dcterms:W3CDTF">2015-10-08T11:57:00Z</dcterms:modified>
</cp:coreProperties>
</file>