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6E" w:rsidRPr="00B700B2" w:rsidRDefault="0085026E" w:rsidP="00DA08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РЕГУЛЯТОРНОГО ВПЛИВУ</w:t>
      </w:r>
    </w:p>
    <w:p w:rsidR="008F7905" w:rsidRDefault="0085026E" w:rsidP="00DA08C4">
      <w:pPr>
        <w:ind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51B90" w:rsidRPr="00B70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наказу Міністерства інфраструктури України «Про внесення змін до Коефіцієнтів, що застосовуються до тарифів Збірника тарифів на перевезення вантажів залізничним транспортом у межах України та пов’язані з ними </w:t>
      </w:r>
      <w:r w:rsidR="000176E0">
        <w:rPr>
          <w:rFonts w:ascii="Times New Roman" w:eastAsia="Times New Roman" w:hAnsi="Times New Roman" w:cs="Times New Roman"/>
          <w:b/>
          <w:bCs/>
          <w:sz w:val="28"/>
          <w:szCs w:val="28"/>
        </w:rPr>
        <w:t>послуги</w:t>
      </w:r>
      <w:r w:rsidR="006B0B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A08C4" w:rsidRPr="006B0B9A" w:rsidRDefault="00DA08C4" w:rsidP="00DA08C4">
      <w:pPr>
        <w:ind w:righ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2F9" w:rsidRDefault="00DA08C4" w:rsidP="00DA08C4">
      <w:pPr>
        <w:pStyle w:val="af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</w:t>
      </w:r>
      <w:r w:rsidR="0085026E"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проблеми</w:t>
      </w:r>
    </w:p>
    <w:p w:rsidR="00D00895" w:rsidRDefault="00565574" w:rsidP="00E95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B2">
        <w:rPr>
          <w:rFonts w:ascii="Times New Roman" w:hAnsi="Times New Roman" w:cs="Times New Roman"/>
          <w:sz w:val="28"/>
          <w:szCs w:val="28"/>
        </w:rPr>
        <w:t>Проблема, яку пропонується розв’язати</w:t>
      </w:r>
      <w:r w:rsidR="001147FD" w:rsidRPr="00B700B2">
        <w:rPr>
          <w:rFonts w:ascii="Times New Roman" w:hAnsi="Times New Roman" w:cs="Times New Roman"/>
          <w:sz w:val="28"/>
          <w:szCs w:val="28"/>
        </w:rPr>
        <w:t xml:space="preserve"> шляхом державного регулювання, є </w:t>
      </w:r>
      <w:r w:rsidR="00E955BC" w:rsidRPr="00B700B2">
        <w:rPr>
          <w:rFonts w:ascii="Times New Roman" w:hAnsi="Times New Roman" w:cs="Times New Roman"/>
          <w:sz w:val="28"/>
          <w:szCs w:val="28"/>
        </w:rPr>
        <w:t xml:space="preserve">відсутність у 2018 та 2019 роках зміни державних регульованих тарифів </w:t>
      </w:r>
      <w:r w:rsidR="00D00895">
        <w:rPr>
          <w:rFonts w:ascii="Times New Roman" w:hAnsi="Times New Roman" w:cs="Times New Roman"/>
          <w:sz w:val="28"/>
          <w:szCs w:val="28"/>
        </w:rPr>
        <w:t>на перевезення вантажів залізничним транспортом у межах України.</w:t>
      </w:r>
    </w:p>
    <w:p w:rsidR="00E955BC" w:rsidRDefault="00E955BC" w:rsidP="00E95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FA">
        <w:rPr>
          <w:rFonts w:ascii="Times New Roman" w:hAnsi="Times New Roman" w:cs="Times New Roman"/>
          <w:sz w:val="28"/>
          <w:szCs w:val="28"/>
        </w:rPr>
        <w:t>Державні регульовані ціни мають забезпечувати відповідність ціни витратам на виробництво, продажу, прибутку, змінюватися у зв’язку зі зміною умов виробництва, що не залежать від діяльності суб’єкта, а під час державного регулювання діяльності суб’єктів природних монополій має забезпечуватися принцип самоокупності. Щорічно державні регульовані тарифи на перевезення вантажів у межах України мають змінюватися</w:t>
      </w:r>
      <w:r w:rsidR="001E532E">
        <w:rPr>
          <w:rFonts w:ascii="Times New Roman" w:hAnsi="Times New Roman" w:cs="Times New Roman"/>
          <w:sz w:val="28"/>
          <w:szCs w:val="28"/>
        </w:rPr>
        <w:t xml:space="preserve"> (індексуватися)</w:t>
      </w:r>
      <w:r w:rsidRPr="005C05FA">
        <w:rPr>
          <w:rFonts w:ascii="Times New Roman" w:hAnsi="Times New Roman" w:cs="Times New Roman"/>
          <w:sz w:val="28"/>
          <w:szCs w:val="28"/>
        </w:rPr>
        <w:t>, при цьому мі</w:t>
      </w:r>
      <w:r w:rsidRPr="005C05FA">
        <w:rPr>
          <w:rFonts w:ascii="Times New Roman" w:hAnsi="Times New Roman" w:cs="Times New Roman"/>
          <w:bCs/>
          <w:sz w:val="28"/>
          <w:szCs w:val="28"/>
        </w:rPr>
        <w:t>німальним розміром такої зміни тарифів є розмір, що не є нижчим від і</w:t>
      </w:r>
      <w:r w:rsidRPr="005C05FA">
        <w:rPr>
          <w:rFonts w:ascii="Times New Roman" w:hAnsi="Times New Roman" w:cs="Times New Roman"/>
          <w:sz w:val="28"/>
          <w:szCs w:val="28"/>
        </w:rPr>
        <w:t xml:space="preserve">ндексу цін виробників промислової продукції (далі – </w:t>
      </w:r>
      <w:r w:rsidRPr="005C05FA">
        <w:rPr>
          <w:rFonts w:ascii="Times New Roman" w:hAnsi="Times New Roman" w:cs="Times New Roman"/>
          <w:bCs/>
          <w:sz w:val="28"/>
          <w:szCs w:val="28"/>
        </w:rPr>
        <w:t xml:space="preserve">ІЦВ) відповідно до основних прогнозних макропоказників економічного і соціального розвитку України, схвалених відповідною постановою Кабінету Міністрів України. </w:t>
      </w:r>
      <w:r w:rsidRPr="005C0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 прогнозах економічного і соціального розвитку України у кількісних припущеннях враховується </w:t>
      </w:r>
      <w:r w:rsidRPr="005C05FA">
        <w:rPr>
          <w:rFonts w:ascii="Times New Roman" w:hAnsi="Times New Roman" w:cs="Times New Roman"/>
          <w:sz w:val="28"/>
          <w:szCs w:val="28"/>
        </w:rPr>
        <w:t>зміна державних регульованих тарифів на вантажні залізничні перевезення.</w:t>
      </w:r>
    </w:p>
    <w:p w:rsidR="008D6FAF" w:rsidRPr="005C05FA" w:rsidRDefault="008D6FAF" w:rsidP="008D6FAF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C05FA">
        <w:rPr>
          <w:rFonts w:ascii="Times New Roman" w:eastAsia="Calibri" w:hAnsi="Times New Roman" w:cs="Times New Roman"/>
          <w:sz w:val="28"/>
          <w:szCs w:val="28"/>
        </w:rPr>
        <w:t>Так з</w:t>
      </w:r>
      <w:r w:rsidRPr="005C0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даними Державної служби статистики України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(далі – Держстат) </w:t>
      </w:r>
      <w:r w:rsidRPr="005C0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 2009 по 2018 рік зростання ІЦВ випереджає індекс тарифів на перевезення вантажів залізничним транспортом (далі – ІТ) без проведення запропонованої індексації на 89,7%, а зміна тарифів на вантажні залізничні перевезення, яка закладена у кількісні припущення прогнозу економічного і соціального розвитку України, випереджатиме ІТ у 3,83 рази.</w:t>
      </w:r>
    </w:p>
    <w:p w:rsidR="008D6FAF" w:rsidRPr="005C05FA" w:rsidRDefault="008D6FAF" w:rsidP="008D6FAF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D6FAF" w:rsidRPr="005C05FA" w:rsidRDefault="008D6FAF" w:rsidP="008D6FAF">
      <w:pPr>
        <w:jc w:val="both"/>
        <w:rPr>
          <w:rFonts w:ascii="Times New Roman" w:hAnsi="Times New Roman" w:cs="Times New Roman"/>
          <w:sz w:val="28"/>
          <w:szCs w:val="28"/>
        </w:rPr>
      </w:pPr>
      <w:r w:rsidRPr="005C05FA">
        <w:rPr>
          <w:noProof/>
          <w:lang w:eastAsia="uk-UA"/>
        </w:rPr>
        <w:drawing>
          <wp:inline distT="0" distB="0" distL="0" distR="0" wp14:anchorId="58EEC256" wp14:editId="5AA2555A">
            <wp:extent cx="6332220" cy="2977287"/>
            <wp:effectExtent l="0" t="0" r="11430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0895" w:rsidRDefault="00D00895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Остання зміна державних регульованих тарифів відбулася 30 жовтня 2017 року. З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період з листопада 2017 року по грудень 2018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ІВЦ 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склав 118,2%, з урахуванням прогнозу на 2019 рік становитиме 130,1%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цьому </w:t>
      </w:r>
      <w:r w:rsidR="001E53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 тарифів (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r w:rsidR="001E53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рік склав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98,7%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урахуванням запропонованої індексації ІТ с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тановитиме 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112,7%, 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>1,15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нижче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прогнозного ІЦВ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 споживчих цін за за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начений період скла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120,2%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дизельного палива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зросте на 169,6%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електроенергії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матеріалів – на 130,1, </w:t>
      </w:r>
      <w:r w:rsidRPr="00D8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38B3">
        <w:rPr>
          <w:rFonts w:ascii="Times New Roman" w:eastAsia="Calibri" w:hAnsi="Times New Roman" w:cs="Times New Roman"/>
          <w:sz w:val="28"/>
          <w:szCs w:val="28"/>
        </w:rPr>
        <w:t xml:space="preserve"> (на кінець періоду) гривні до долара США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 111%</w:t>
      </w:r>
      <w:r w:rsidRPr="00D83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895" w:rsidRPr="00B700B2" w:rsidRDefault="00D00895" w:rsidP="00D008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895" w:rsidRPr="00B700B2" w:rsidRDefault="00D00895" w:rsidP="00D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286BA9EB" wp14:editId="45627383">
            <wp:extent cx="6025487" cy="2708910"/>
            <wp:effectExtent l="0" t="0" r="1397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0895" w:rsidRPr="00B700B2" w:rsidRDefault="00D00895" w:rsidP="00D0089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6FAF" w:rsidRDefault="00D00895" w:rsidP="00D008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5FA">
        <w:rPr>
          <w:rFonts w:ascii="Times New Roman" w:eastAsia="Calibri" w:hAnsi="Times New Roman" w:cs="Times New Roman"/>
          <w:sz w:val="28"/>
          <w:szCs w:val="28"/>
        </w:rPr>
        <w:t>При відсутності в 2019 році зміни державних регульованих тарифів на вантажні перевезення очікується збитковий фінансовий результат діяльності АТ «Укрзалізниця»</w:t>
      </w:r>
      <w:r w:rsidR="001E532E">
        <w:rPr>
          <w:rFonts w:ascii="Times New Roman" w:eastAsia="Calibri" w:hAnsi="Times New Roman" w:cs="Times New Roman"/>
          <w:sz w:val="28"/>
          <w:szCs w:val="28"/>
        </w:rPr>
        <w:t xml:space="preserve"> у розмірі -</w:t>
      </w:r>
      <w:r w:rsidR="008D5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32E">
        <w:rPr>
          <w:rFonts w:ascii="Times New Roman" w:eastAsia="Calibri" w:hAnsi="Times New Roman" w:cs="Times New Roman"/>
          <w:sz w:val="28"/>
          <w:szCs w:val="28"/>
        </w:rPr>
        <w:t>3,2 млрд</w:t>
      </w:r>
      <w:r w:rsidR="00135F76">
        <w:rPr>
          <w:rFonts w:ascii="Times New Roman" w:eastAsia="Calibri" w:hAnsi="Times New Roman" w:cs="Times New Roman"/>
          <w:sz w:val="28"/>
          <w:szCs w:val="28"/>
        </w:rPr>
        <w:t>.</w:t>
      </w:r>
      <w:r w:rsidR="001E532E">
        <w:rPr>
          <w:rFonts w:ascii="Times New Roman" w:eastAsia="Calibri" w:hAnsi="Times New Roman" w:cs="Times New Roman"/>
          <w:sz w:val="28"/>
          <w:szCs w:val="28"/>
        </w:rPr>
        <w:t xml:space="preserve"> грн</w:t>
      </w:r>
      <w:r w:rsidRPr="005C05FA">
        <w:rPr>
          <w:rFonts w:ascii="Times New Roman" w:eastAsia="Calibri" w:hAnsi="Times New Roman" w:cs="Times New Roman"/>
          <w:sz w:val="28"/>
          <w:szCs w:val="28"/>
        </w:rPr>
        <w:t>. Загальна рентабельність матиме від’ємне значення -3,14%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6FAF" w:rsidRDefault="008D6FAF" w:rsidP="00D008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5BC" w:rsidRDefault="00D00895" w:rsidP="00D00895">
      <w:pPr>
        <w:jc w:val="both"/>
        <w:rPr>
          <w:rFonts w:ascii="Times New Roman" w:hAnsi="Times New Roman" w:cs="Times New Roman"/>
          <w:sz w:val="28"/>
          <w:szCs w:val="28"/>
        </w:rPr>
      </w:pPr>
      <w:r w:rsidRPr="004308A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39D9904" wp14:editId="10040D77">
            <wp:extent cx="6119790" cy="28655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67" cy="2870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895" w:rsidRDefault="00D00895" w:rsidP="00DA0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8A5" w:rsidRDefault="007C5F05" w:rsidP="008D6FAF">
      <w:pPr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За даними Держ</w:t>
      </w:r>
      <w:r w:rsidR="008D6FA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ста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ту за 9 місяців 2018 року у промисловості рівень рентабельності склав 7%. </w:t>
      </w:r>
      <w:r w:rsidR="008D6FA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Зміна рівня дер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жавних регульованих тарифів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дозволить частково врегулювати ситуацію з встановлення рівних умов діяльності для залізничної галузі та промисловості. </w:t>
      </w:r>
    </w:p>
    <w:p w:rsidR="007C5F05" w:rsidRDefault="007C5F05" w:rsidP="00DA08C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7C5F05" w:rsidRDefault="007C5F05" w:rsidP="008D6FA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61A050CC" wp14:editId="2ECA8C53">
            <wp:extent cx="6120130" cy="2094865"/>
            <wp:effectExtent l="0" t="0" r="1397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5574" w:rsidRPr="005B1BF3" w:rsidRDefault="00565574" w:rsidP="005B1BF3">
      <w:pPr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20DDF" w:rsidRPr="00F20DDF" w:rsidRDefault="00F20DDF" w:rsidP="00DA08C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0D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Критичний рівень зношеності рухомого складу </w:t>
      </w:r>
      <w:r w:rsidR="00372E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перевізника </w:t>
      </w:r>
      <w:r w:rsidRPr="00F20D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 недостатньому рівні фінансування його ремонту та оновлення ставить під загрозу питання забезпечення безпеки руху, належного утримання та відновлення робочого парку вантажних вагонів і локомотивів. Особливо високим є рівень зносу тягового рухомого складу, при середньому зносі локомотивів 96,8%, у т.ч. електровозів – 93,3%, магістральних тепловозів – 99,6%, маневрових тепловозів – 99,9%. При цьому середній вік електровозів складає 40,6 року при нормативному віці 30 років, магістральних тепловозів – 30,7 року при нормативному віці 20 років, маневрових тепловозів – 35,8 року при нормативному віці 25 років.</w:t>
      </w:r>
    </w:p>
    <w:p w:rsidR="00F20DDF" w:rsidRPr="00F20DDF" w:rsidRDefault="00F20DDF" w:rsidP="00DA08C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0D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Також з кожним роком збільшується кількість кілометрів колії з простроченими термінами ремонту, в не найкращому стані контактна мережа, тягові підстанції, об’єкти сигналізації, централізації, блокування та зв’язку.</w:t>
      </w:r>
    </w:p>
    <w:p w:rsidR="00F20DDF" w:rsidRDefault="00F20DDF" w:rsidP="00DA08C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0D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Відсутність дієвого механізму компенсації щодо недоотриманих залізницями доходних надходжень під час надання суспільних послуг з пасажирських перевезень за тарифами нижче економічно обґрунтованого рівня призводить до перехресного субсидування пасажирських перевезень за рахунок вантажних, що негативно впливає на фінансовий стан залізничної галузі.</w:t>
      </w:r>
    </w:p>
    <w:p w:rsidR="00313D93" w:rsidRPr="00B700B2" w:rsidRDefault="00313D93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700B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Для забезпечення </w:t>
      </w:r>
      <w:r w:rsidR="00BA2DE6" w:rsidRPr="00B700B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потреб економіки в перевезеннях вантажів, у т.ч. </w:t>
      </w:r>
      <w:r w:rsidRPr="00B700B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енергетичної та національної безпеки держави, необхідне належне утримання та відновлення робочого парку локомотивів </w:t>
      </w:r>
      <w:r w:rsidR="00BA2DE6" w:rsidRPr="00B700B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та інфраструктури </w:t>
      </w:r>
      <w:r w:rsidRPr="00B700B2">
        <w:rPr>
          <w:rFonts w:ascii="Times New Roman" w:eastAsia="Times New Roman" w:hAnsi="Times New Roman" w:cs="Times New Roman"/>
          <w:sz w:val="28"/>
          <w:szCs w:val="20"/>
          <w:lang w:eastAsia="x-none"/>
        </w:rPr>
        <w:t>для задоволення потреб економіки в перевезеннях.</w:t>
      </w:r>
    </w:p>
    <w:p w:rsidR="000176E0" w:rsidRPr="00B91B80" w:rsidRDefault="000176E0" w:rsidP="00DA08C4">
      <w:pPr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3A7" w:rsidRDefault="006433A7" w:rsidP="00DA08C4">
      <w:pPr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основних груп (підгруп), на які проблема справляє вплив:</w:t>
      </w:r>
    </w:p>
    <w:p w:rsidR="00547082" w:rsidRPr="00B700B2" w:rsidRDefault="00547082" w:rsidP="00DA08C4">
      <w:pPr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2829"/>
      </w:tblGrid>
      <w:tr w:rsidR="00B700B2" w:rsidRPr="00B700B2" w:rsidTr="00D67972">
        <w:trPr>
          <w:trHeight w:val="439"/>
        </w:trPr>
        <w:tc>
          <w:tcPr>
            <w:tcW w:w="3681" w:type="dxa"/>
          </w:tcPr>
          <w:p w:rsidR="006433A7" w:rsidRPr="00B700B2" w:rsidRDefault="006433A7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118" w:type="dxa"/>
          </w:tcPr>
          <w:p w:rsidR="006433A7" w:rsidRPr="00B700B2" w:rsidRDefault="006433A7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2829" w:type="dxa"/>
          </w:tcPr>
          <w:p w:rsidR="006433A7" w:rsidRPr="00B700B2" w:rsidRDefault="006433A7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700B2" w:rsidRPr="00B700B2" w:rsidTr="00D67972">
        <w:trPr>
          <w:trHeight w:val="423"/>
        </w:trPr>
        <w:tc>
          <w:tcPr>
            <w:tcW w:w="3681" w:type="dxa"/>
          </w:tcPr>
          <w:p w:rsidR="006433A7" w:rsidRPr="00B700B2" w:rsidRDefault="006433A7" w:rsidP="00DA08C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3118" w:type="dxa"/>
          </w:tcPr>
          <w:p w:rsidR="006433A7" w:rsidRPr="00B700B2" w:rsidRDefault="006433A7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829" w:type="dxa"/>
          </w:tcPr>
          <w:p w:rsidR="006433A7" w:rsidRPr="00B700B2" w:rsidRDefault="006433A7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B700B2" w:rsidRPr="00B700B2" w:rsidTr="00D67972">
        <w:trPr>
          <w:trHeight w:val="439"/>
        </w:trPr>
        <w:tc>
          <w:tcPr>
            <w:tcW w:w="3681" w:type="dxa"/>
          </w:tcPr>
          <w:p w:rsidR="006433A7" w:rsidRPr="00B700B2" w:rsidRDefault="006433A7" w:rsidP="00DA08C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118" w:type="dxa"/>
          </w:tcPr>
          <w:p w:rsidR="006433A7" w:rsidRPr="00B700B2" w:rsidRDefault="006433A7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829" w:type="dxa"/>
          </w:tcPr>
          <w:p w:rsidR="006433A7" w:rsidRPr="00B700B2" w:rsidRDefault="006433A7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563796" w:rsidRPr="00B700B2" w:rsidTr="00563796">
        <w:trPr>
          <w:trHeight w:val="585"/>
        </w:trPr>
        <w:tc>
          <w:tcPr>
            <w:tcW w:w="3681" w:type="dxa"/>
            <w:vAlign w:val="center"/>
          </w:tcPr>
          <w:p w:rsidR="00563796" w:rsidRPr="00B700B2" w:rsidRDefault="00563796" w:rsidP="00563796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Групи (підгрупи)</w:t>
            </w:r>
          </w:p>
        </w:tc>
        <w:tc>
          <w:tcPr>
            <w:tcW w:w="3118" w:type="dxa"/>
            <w:vAlign w:val="center"/>
          </w:tcPr>
          <w:p w:rsidR="00563796" w:rsidRPr="00B700B2" w:rsidRDefault="00563796" w:rsidP="00563796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2829" w:type="dxa"/>
            <w:vAlign w:val="center"/>
          </w:tcPr>
          <w:p w:rsidR="00563796" w:rsidRPr="00B700B2" w:rsidRDefault="00563796" w:rsidP="00563796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563796" w:rsidRPr="00B700B2" w:rsidTr="00D67972">
        <w:trPr>
          <w:trHeight w:val="687"/>
        </w:trPr>
        <w:tc>
          <w:tcPr>
            <w:tcW w:w="3681" w:type="dxa"/>
          </w:tcPr>
          <w:p w:rsidR="00563796" w:rsidRPr="00B700B2" w:rsidRDefault="00563796" w:rsidP="00DA08C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Суб’єкти господарювання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3118" w:type="dxa"/>
          </w:tcPr>
          <w:p w:rsidR="00563796" w:rsidRPr="00B700B2" w:rsidRDefault="00563796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829" w:type="dxa"/>
          </w:tcPr>
          <w:p w:rsidR="00563796" w:rsidRPr="00B700B2" w:rsidRDefault="00563796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563796" w:rsidRPr="00B700B2" w:rsidTr="00D67972">
        <w:trPr>
          <w:trHeight w:val="687"/>
        </w:trPr>
        <w:tc>
          <w:tcPr>
            <w:tcW w:w="3681" w:type="dxa"/>
          </w:tcPr>
          <w:p w:rsidR="00563796" w:rsidRPr="00B700B2" w:rsidRDefault="00563796" w:rsidP="00DA08C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</w:t>
            </w:r>
            <w:r w:rsidRPr="00567A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тому числі суб’єкти малого підприємництва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**</w:t>
            </w:r>
          </w:p>
        </w:tc>
        <w:tc>
          <w:tcPr>
            <w:tcW w:w="3118" w:type="dxa"/>
          </w:tcPr>
          <w:p w:rsidR="00563796" w:rsidRPr="00B700B2" w:rsidRDefault="00563796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2829" w:type="dxa"/>
          </w:tcPr>
          <w:p w:rsidR="00563796" w:rsidRPr="00B700B2" w:rsidRDefault="00563796" w:rsidP="00DA08C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6433A7" w:rsidRDefault="006433A7" w:rsidP="00DA08C4">
      <w:pPr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D33934">
        <w:rPr>
          <w:rFonts w:ascii="Times New Roman" w:eastAsia="Times New Roman" w:hAnsi="Times New Roman" w:cs="Times New Roman"/>
          <w:bCs/>
          <w:lang w:eastAsia="uk-UA"/>
        </w:rPr>
        <w:t>*Кількість суб’єктів господарювання</w:t>
      </w:r>
      <w:r w:rsidR="001C1219" w:rsidRPr="00D33934">
        <w:rPr>
          <w:rFonts w:ascii="Times New Roman" w:eastAsia="Times New Roman" w:hAnsi="Times New Roman" w:cs="Times New Roman"/>
          <w:bCs/>
          <w:lang w:eastAsia="uk-UA"/>
        </w:rPr>
        <w:t xml:space="preserve"> с</w:t>
      </w:r>
      <w:r w:rsidRPr="00D33934">
        <w:rPr>
          <w:rFonts w:ascii="Times New Roman" w:eastAsia="Times New Roman" w:hAnsi="Times New Roman" w:cs="Times New Roman"/>
          <w:bCs/>
          <w:lang w:eastAsia="uk-UA"/>
        </w:rPr>
        <w:t xml:space="preserve">таном на </w:t>
      </w:r>
      <w:r w:rsidR="00565574" w:rsidRPr="00D33934">
        <w:rPr>
          <w:rFonts w:ascii="Times New Roman" w:eastAsia="Times New Roman" w:hAnsi="Times New Roman" w:cs="Times New Roman"/>
          <w:bCs/>
          <w:lang w:eastAsia="uk-UA"/>
        </w:rPr>
        <w:t>0</w:t>
      </w:r>
      <w:r w:rsidR="00A50920" w:rsidRPr="00D33934">
        <w:rPr>
          <w:rFonts w:ascii="Times New Roman" w:eastAsia="Times New Roman" w:hAnsi="Times New Roman" w:cs="Times New Roman"/>
          <w:bCs/>
          <w:lang w:eastAsia="uk-UA"/>
        </w:rPr>
        <w:t>1</w:t>
      </w:r>
      <w:r w:rsidR="00565574" w:rsidRPr="00D33934">
        <w:rPr>
          <w:rFonts w:ascii="Times New Roman" w:eastAsia="Times New Roman" w:hAnsi="Times New Roman" w:cs="Times New Roman"/>
          <w:bCs/>
          <w:lang w:eastAsia="uk-UA"/>
        </w:rPr>
        <w:t>.01.</w:t>
      </w:r>
      <w:r w:rsidR="00A50920" w:rsidRPr="00D33934">
        <w:rPr>
          <w:rFonts w:ascii="Times New Roman" w:eastAsia="Times New Roman" w:hAnsi="Times New Roman" w:cs="Times New Roman"/>
          <w:bCs/>
          <w:lang w:eastAsia="uk-UA"/>
        </w:rPr>
        <w:t>201</w:t>
      </w:r>
      <w:r w:rsidR="00565574" w:rsidRPr="00D33934">
        <w:rPr>
          <w:rFonts w:ascii="Times New Roman" w:eastAsia="Times New Roman" w:hAnsi="Times New Roman" w:cs="Times New Roman"/>
          <w:bCs/>
          <w:lang w:eastAsia="uk-UA"/>
        </w:rPr>
        <w:t>9</w:t>
      </w:r>
      <w:r w:rsidR="00FF07C0" w:rsidRPr="00D33934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D33934">
        <w:rPr>
          <w:rFonts w:ascii="Times New Roman" w:eastAsia="Times New Roman" w:hAnsi="Times New Roman" w:cs="Times New Roman"/>
          <w:bCs/>
          <w:lang w:eastAsia="uk-UA"/>
        </w:rPr>
        <w:t xml:space="preserve">– </w:t>
      </w:r>
      <w:r w:rsidR="00D454BE" w:rsidRPr="00D33934">
        <w:rPr>
          <w:rFonts w:ascii="Times New Roman" w:eastAsia="Times New Roman" w:hAnsi="Times New Roman" w:cs="Times New Roman"/>
          <w:bCs/>
          <w:lang w:eastAsia="uk-UA"/>
        </w:rPr>
        <w:t>6 </w:t>
      </w:r>
      <w:r w:rsidR="006B254D" w:rsidRPr="00D33934">
        <w:rPr>
          <w:rFonts w:ascii="Times New Roman" w:eastAsia="Times New Roman" w:hAnsi="Times New Roman" w:cs="Times New Roman"/>
          <w:bCs/>
          <w:lang w:eastAsia="uk-UA"/>
        </w:rPr>
        <w:t>826</w:t>
      </w:r>
      <w:r w:rsidR="001C1219" w:rsidRPr="00D33934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D33934">
        <w:rPr>
          <w:rFonts w:ascii="Times New Roman" w:eastAsia="Times New Roman" w:hAnsi="Times New Roman" w:cs="Times New Roman"/>
          <w:bCs/>
          <w:lang w:eastAsia="uk-UA"/>
        </w:rPr>
        <w:t xml:space="preserve">(кількість </w:t>
      </w:r>
      <w:r w:rsidR="001C76FE" w:rsidRPr="00D33934">
        <w:rPr>
          <w:rFonts w:ascii="Times New Roman" w:eastAsia="Times New Roman" w:hAnsi="Times New Roman" w:cs="Times New Roman"/>
          <w:bCs/>
          <w:lang w:eastAsia="uk-UA"/>
        </w:rPr>
        <w:t>вантажовідправників, вантажоодержувачів</w:t>
      </w:r>
      <w:r w:rsidRPr="00D33934">
        <w:rPr>
          <w:rFonts w:ascii="Times New Roman" w:eastAsia="Times New Roman" w:hAnsi="Times New Roman" w:cs="Times New Roman"/>
          <w:bCs/>
          <w:lang w:eastAsia="uk-UA"/>
        </w:rPr>
        <w:t xml:space="preserve"> періодично змінюється).</w:t>
      </w:r>
    </w:p>
    <w:p w:rsidR="00AF5206" w:rsidRPr="00D33934" w:rsidRDefault="00AF5206" w:rsidP="00DA08C4">
      <w:pPr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>
        <w:rPr>
          <w:rFonts w:ascii="Times New Roman" w:eastAsia="Times New Roman" w:hAnsi="Times New Roman" w:cs="Times New Roman"/>
          <w:bCs/>
          <w:lang w:eastAsia="uk-UA"/>
        </w:rPr>
        <w:t>**</w:t>
      </w:r>
      <w:r w:rsidRPr="00AF5206">
        <w:t xml:space="preserve"> </w:t>
      </w:r>
      <w:r w:rsidRPr="00AF5206">
        <w:rPr>
          <w:rFonts w:ascii="Times New Roman" w:eastAsia="Times New Roman" w:hAnsi="Times New Roman" w:cs="Times New Roman"/>
          <w:bCs/>
          <w:lang w:eastAsia="uk-UA"/>
        </w:rPr>
        <w:t>Проведення М-тесту недоцільне, тому що частка перевезень, які здійснюють підприємства малого бізнесу, становить менше 3% загального обсягу перевезень.</w:t>
      </w:r>
    </w:p>
    <w:p w:rsidR="00F97655" w:rsidRPr="00B700B2" w:rsidRDefault="00F97655" w:rsidP="00DA0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3A7" w:rsidRPr="00B700B2" w:rsidRDefault="006433A7" w:rsidP="00DA0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B2">
        <w:rPr>
          <w:rFonts w:ascii="Times New Roman" w:hAnsi="Times New Roman" w:cs="Times New Roman"/>
          <w:sz w:val="28"/>
          <w:szCs w:val="28"/>
        </w:rPr>
        <w:t>Суб’єкти господарювання на ринку залізничних вантажних перевезень:</w:t>
      </w:r>
    </w:p>
    <w:p w:rsidR="006433A7" w:rsidRPr="00B700B2" w:rsidRDefault="00241704" w:rsidP="00DA08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0B2">
        <w:rPr>
          <w:rFonts w:ascii="Times New Roman" w:hAnsi="Times New Roman" w:cs="Times New Roman"/>
          <w:sz w:val="28"/>
          <w:szCs w:val="28"/>
        </w:rPr>
        <w:t>п</w:t>
      </w:r>
      <w:r w:rsidR="006433A7" w:rsidRPr="00B700B2">
        <w:rPr>
          <w:rFonts w:ascii="Times New Roman" w:hAnsi="Times New Roman" w:cs="Times New Roman"/>
          <w:sz w:val="28"/>
          <w:szCs w:val="28"/>
        </w:rPr>
        <w:t>еревізник</w:t>
      </w:r>
      <w:r w:rsidRPr="00B700B2">
        <w:rPr>
          <w:rFonts w:ascii="Times New Roman" w:hAnsi="Times New Roman" w:cs="Times New Roman"/>
          <w:sz w:val="28"/>
          <w:szCs w:val="28"/>
        </w:rPr>
        <w:t xml:space="preserve"> </w:t>
      </w:r>
      <w:r w:rsidR="00573DB3" w:rsidRPr="00B700B2">
        <w:rPr>
          <w:rFonts w:ascii="Times New Roman" w:hAnsi="Times New Roman" w:cs="Times New Roman"/>
          <w:sz w:val="28"/>
          <w:szCs w:val="28"/>
        </w:rPr>
        <w:t>–</w:t>
      </w:r>
      <w:r w:rsidRPr="00B700B2">
        <w:rPr>
          <w:rFonts w:ascii="Times New Roman" w:hAnsi="Times New Roman" w:cs="Times New Roman"/>
          <w:sz w:val="28"/>
          <w:szCs w:val="28"/>
        </w:rPr>
        <w:t xml:space="preserve"> АТ</w:t>
      </w:r>
      <w:r w:rsidR="00573DB3" w:rsidRPr="00B700B2">
        <w:rPr>
          <w:rFonts w:ascii="Times New Roman" w:hAnsi="Times New Roman" w:cs="Times New Roman"/>
          <w:sz w:val="28"/>
          <w:szCs w:val="28"/>
        </w:rPr>
        <w:t> </w:t>
      </w:r>
      <w:r w:rsidRPr="00B700B2">
        <w:rPr>
          <w:rFonts w:ascii="Times New Roman" w:hAnsi="Times New Roman" w:cs="Times New Roman"/>
          <w:sz w:val="28"/>
          <w:szCs w:val="28"/>
        </w:rPr>
        <w:t>«Укрзалізниця»</w:t>
      </w:r>
      <w:r w:rsidR="006433A7" w:rsidRPr="00B700B2">
        <w:rPr>
          <w:rFonts w:ascii="Times New Roman" w:hAnsi="Times New Roman" w:cs="Times New Roman"/>
          <w:sz w:val="28"/>
          <w:szCs w:val="28"/>
        </w:rPr>
        <w:t>;</w:t>
      </w:r>
    </w:p>
    <w:p w:rsidR="006433A7" w:rsidRPr="0083590A" w:rsidRDefault="006433A7" w:rsidP="00DA08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0B2">
        <w:rPr>
          <w:rFonts w:ascii="Times New Roman" w:hAnsi="Times New Roman" w:cs="Times New Roman"/>
          <w:sz w:val="28"/>
          <w:szCs w:val="28"/>
        </w:rPr>
        <w:t>вантажов</w:t>
      </w:r>
      <w:r w:rsidR="001C1219" w:rsidRPr="00B700B2">
        <w:rPr>
          <w:rFonts w:ascii="Times New Roman" w:hAnsi="Times New Roman" w:cs="Times New Roman"/>
          <w:sz w:val="28"/>
          <w:szCs w:val="28"/>
        </w:rPr>
        <w:t>ідправники, вантажоодержувачі (далі – вантажов</w:t>
      </w:r>
      <w:r w:rsidRPr="00B700B2">
        <w:rPr>
          <w:rFonts w:ascii="Times New Roman" w:hAnsi="Times New Roman" w:cs="Times New Roman"/>
          <w:sz w:val="28"/>
          <w:szCs w:val="28"/>
        </w:rPr>
        <w:t>ласники</w:t>
      </w:r>
      <w:r w:rsidR="001C1219" w:rsidRPr="00B700B2">
        <w:rPr>
          <w:rFonts w:ascii="Times New Roman" w:hAnsi="Times New Roman" w:cs="Times New Roman"/>
          <w:sz w:val="28"/>
          <w:szCs w:val="28"/>
        </w:rPr>
        <w:t>)</w:t>
      </w:r>
      <w:r w:rsidR="00A21733" w:rsidRPr="00B700B2">
        <w:rPr>
          <w:rFonts w:ascii="Times New Roman" w:hAnsi="Times New Roman" w:cs="Times New Roman"/>
          <w:sz w:val="28"/>
          <w:szCs w:val="28"/>
        </w:rPr>
        <w:t>, які</w:t>
      </w:r>
      <w:r w:rsidR="00241704" w:rsidRPr="00B700B2">
        <w:rPr>
          <w:rFonts w:ascii="Times New Roman" w:hAnsi="Times New Roman" w:cs="Times New Roman"/>
          <w:sz w:val="28"/>
          <w:szCs w:val="28"/>
        </w:rPr>
        <w:t xml:space="preserve"> уклали договори з </w:t>
      </w:r>
      <w:r w:rsidR="00840F88">
        <w:rPr>
          <w:rFonts w:ascii="Times New Roman" w:hAnsi="Times New Roman" w:cs="Times New Roman"/>
          <w:sz w:val="28"/>
          <w:szCs w:val="28"/>
        </w:rPr>
        <w:t>перевізником</w:t>
      </w:r>
      <w:r w:rsidR="00241704" w:rsidRPr="00B700B2">
        <w:rPr>
          <w:rFonts w:ascii="Times New Roman" w:hAnsi="Times New Roman" w:cs="Times New Roman"/>
          <w:sz w:val="28"/>
          <w:szCs w:val="28"/>
        </w:rPr>
        <w:t xml:space="preserve"> про надання послуг з перевезення вантажів </w:t>
      </w:r>
      <w:r w:rsidR="00241704" w:rsidRPr="0083590A">
        <w:rPr>
          <w:rFonts w:ascii="Times New Roman" w:hAnsi="Times New Roman" w:cs="Times New Roman"/>
          <w:sz w:val="28"/>
          <w:szCs w:val="28"/>
        </w:rPr>
        <w:t>залізничним транспортом та здійснюють розрахунки за ці послуги</w:t>
      </w:r>
      <w:r w:rsidRPr="0083590A">
        <w:rPr>
          <w:rFonts w:ascii="Times New Roman" w:hAnsi="Times New Roman" w:cs="Times New Roman"/>
          <w:sz w:val="28"/>
          <w:szCs w:val="28"/>
        </w:rPr>
        <w:t>.</w:t>
      </w:r>
    </w:p>
    <w:p w:rsidR="00840F88" w:rsidRPr="00840F88" w:rsidRDefault="00840F88" w:rsidP="00DA08C4">
      <w:pPr>
        <w:widowControl w:val="0"/>
        <w:autoSpaceDE w:val="0"/>
        <w:autoSpaceDN w:val="0"/>
        <w:adjustRightInd w:val="0"/>
        <w:spacing w:line="2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F88">
        <w:rPr>
          <w:rFonts w:ascii="Times New Roman" w:hAnsi="Times New Roman"/>
          <w:sz w:val="28"/>
          <w:szCs w:val="28"/>
          <w:lang w:eastAsia="ru-RU"/>
        </w:rPr>
        <w:t>Прийняття наказу відповідатиме принципам державної регуляторної політики, а саме:</w:t>
      </w:r>
    </w:p>
    <w:p w:rsidR="008D6FAF" w:rsidRDefault="00840F88" w:rsidP="00DA08C4">
      <w:pPr>
        <w:widowControl w:val="0"/>
        <w:autoSpaceDE w:val="0"/>
        <w:autoSpaceDN w:val="0"/>
        <w:adjustRightInd w:val="0"/>
        <w:spacing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88">
        <w:rPr>
          <w:rFonts w:ascii="Times New Roman" w:hAnsi="Times New Roman"/>
          <w:sz w:val="28"/>
          <w:szCs w:val="28"/>
          <w:lang w:eastAsia="ru-RU"/>
        </w:rPr>
        <w:t>доцільності – тарифи на перевезення вантажів залізничним транспортом є державними регульованими цінами, які мають</w:t>
      </w:r>
      <w:r w:rsidR="008D6FAF" w:rsidRPr="008D6FAF">
        <w:rPr>
          <w:rFonts w:ascii="Times New Roman" w:hAnsi="Times New Roman" w:cs="Times New Roman"/>
          <w:sz w:val="28"/>
          <w:szCs w:val="28"/>
        </w:rPr>
        <w:t xml:space="preserve"> </w:t>
      </w:r>
      <w:r w:rsidR="008D6FAF" w:rsidRPr="005C05FA">
        <w:rPr>
          <w:rFonts w:ascii="Times New Roman" w:hAnsi="Times New Roman" w:cs="Times New Roman"/>
          <w:sz w:val="28"/>
          <w:szCs w:val="28"/>
        </w:rPr>
        <w:t>відповід</w:t>
      </w:r>
      <w:r w:rsidR="008D6FAF">
        <w:rPr>
          <w:rFonts w:ascii="Times New Roman" w:hAnsi="Times New Roman" w:cs="Times New Roman"/>
          <w:sz w:val="28"/>
          <w:szCs w:val="28"/>
        </w:rPr>
        <w:t xml:space="preserve">ати </w:t>
      </w:r>
      <w:r w:rsidR="008D6FAF" w:rsidRPr="005C05FA">
        <w:rPr>
          <w:rFonts w:ascii="Times New Roman" w:hAnsi="Times New Roman" w:cs="Times New Roman"/>
          <w:sz w:val="28"/>
          <w:szCs w:val="28"/>
        </w:rPr>
        <w:t>витратам на виробництво, продажу, прибутку, змінюватися у зв’язку зі зміною умов виробництва, що не залежать від діяльності суб’єкта,</w:t>
      </w:r>
      <w:r w:rsidR="008D6FAF">
        <w:rPr>
          <w:rFonts w:ascii="Times New Roman" w:hAnsi="Times New Roman" w:cs="Times New Roman"/>
          <w:sz w:val="28"/>
          <w:szCs w:val="28"/>
        </w:rPr>
        <w:t xml:space="preserve"> та щорічно </w:t>
      </w:r>
      <w:r w:rsidRPr="00840F88">
        <w:rPr>
          <w:rFonts w:ascii="Times New Roman" w:hAnsi="Times New Roman"/>
          <w:sz w:val="28"/>
          <w:szCs w:val="28"/>
          <w:lang w:eastAsia="ru-RU"/>
        </w:rPr>
        <w:t>індексуватися у розмірі не нижчому рівня ІЦВ;</w:t>
      </w:r>
      <w:r w:rsidR="008D6FAF" w:rsidRPr="008D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88" w:rsidRPr="00840F88" w:rsidRDefault="00840F88" w:rsidP="00DA08C4">
      <w:pPr>
        <w:widowControl w:val="0"/>
        <w:autoSpaceDE w:val="0"/>
        <w:autoSpaceDN w:val="0"/>
        <w:adjustRightInd w:val="0"/>
        <w:spacing w:line="2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F88">
        <w:rPr>
          <w:rFonts w:ascii="Times New Roman" w:hAnsi="Times New Roman"/>
          <w:sz w:val="28"/>
          <w:szCs w:val="28"/>
          <w:lang w:eastAsia="ru-RU"/>
        </w:rPr>
        <w:t xml:space="preserve">адекватності – при індексації </w:t>
      </w:r>
      <w:r w:rsidR="008D6FAF">
        <w:rPr>
          <w:rFonts w:ascii="Times New Roman" w:hAnsi="Times New Roman"/>
          <w:sz w:val="28"/>
          <w:szCs w:val="28"/>
          <w:lang w:eastAsia="ru-RU"/>
        </w:rPr>
        <w:t xml:space="preserve">(розрахунково </w:t>
      </w:r>
      <w:r w:rsidRPr="00840F88">
        <w:rPr>
          <w:rFonts w:ascii="Times New Roman" w:hAnsi="Times New Roman"/>
          <w:sz w:val="28"/>
          <w:szCs w:val="28"/>
          <w:lang w:eastAsia="ru-RU"/>
        </w:rPr>
        <w:t>з березня 2019 року</w:t>
      </w:r>
      <w:r w:rsidR="008D6FAF">
        <w:rPr>
          <w:rFonts w:ascii="Times New Roman" w:hAnsi="Times New Roman"/>
          <w:sz w:val="28"/>
          <w:szCs w:val="28"/>
          <w:lang w:eastAsia="ru-RU"/>
        </w:rPr>
        <w:t>)</w:t>
      </w:r>
      <w:r w:rsidRPr="00840F88">
        <w:rPr>
          <w:rFonts w:ascii="Times New Roman" w:hAnsi="Times New Roman"/>
          <w:sz w:val="28"/>
          <w:szCs w:val="28"/>
          <w:lang w:eastAsia="ru-RU"/>
        </w:rPr>
        <w:t xml:space="preserve"> вантажних залізничних тарифів на рівень ІЦВ минулого року їх коригування </w:t>
      </w:r>
      <w:r w:rsidR="008D6FAF" w:rsidRPr="00840F88">
        <w:rPr>
          <w:rFonts w:ascii="Times New Roman" w:hAnsi="Times New Roman"/>
          <w:sz w:val="28"/>
          <w:szCs w:val="28"/>
          <w:lang w:eastAsia="ru-RU"/>
        </w:rPr>
        <w:t>відбу</w:t>
      </w:r>
      <w:r w:rsidR="008D6FAF">
        <w:rPr>
          <w:rFonts w:ascii="Times New Roman" w:hAnsi="Times New Roman"/>
          <w:sz w:val="28"/>
          <w:szCs w:val="28"/>
          <w:lang w:eastAsia="ru-RU"/>
        </w:rPr>
        <w:t xml:space="preserve">деться </w:t>
      </w:r>
      <w:r w:rsidRPr="00840F88">
        <w:rPr>
          <w:rFonts w:ascii="Times New Roman" w:hAnsi="Times New Roman"/>
          <w:sz w:val="28"/>
          <w:szCs w:val="28"/>
          <w:lang w:eastAsia="ru-RU"/>
        </w:rPr>
        <w:t xml:space="preserve">по залишковому принципу; </w:t>
      </w:r>
    </w:p>
    <w:p w:rsidR="00840F88" w:rsidRPr="00840F88" w:rsidRDefault="00840F88" w:rsidP="00DA08C4">
      <w:pPr>
        <w:widowControl w:val="0"/>
        <w:autoSpaceDE w:val="0"/>
        <w:autoSpaceDN w:val="0"/>
        <w:adjustRightInd w:val="0"/>
        <w:spacing w:line="2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F88">
        <w:rPr>
          <w:rFonts w:ascii="Times New Roman" w:hAnsi="Times New Roman"/>
          <w:sz w:val="28"/>
          <w:szCs w:val="28"/>
          <w:lang w:eastAsia="ru-RU"/>
        </w:rPr>
        <w:t xml:space="preserve">ефективності – кошти, одержані від </w:t>
      </w:r>
      <w:r w:rsidR="008D6FAF">
        <w:rPr>
          <w:rFonts w:ascii="Times New Roman" w:hAnsi="Times New Roman"/>
          <w:sz w:val="28"/>
          <w:szCs w:val="28"/>
          <w:lang w:eastAsia="ru-RU"/>
        </w:rPr>
        <w:t>зміни</w:t>
      </w:r>
      <w:r w:rsidRPr="00840F88">
        <w:rPr>
          <w:rFonts w:ascii="Times New Roman" w:hAnsi="Times New Roman"/>
          <w:sz w:val="28"/>
          <w:szCs w:val="28"/>
          <w:lang w:eastAsia="ru-RU"/>
        </w:rPr>
        <w:t xml:space="preserve"> державних регульованих тарифів, направлятимуться на утримання та оновлення тягового рухомого складу та інфраструктури, що сприятиме покращенню перевезень вантажів залізничним транспортом;</w:t>
      </w:r>
    </w:p>
    <w:p w:rsidR="00840F88" w:rsidRPr="00840F88" w:rsidRDefault="00840F88" w:rsidP="00DA08C4">
      <w:pPr>
        <w:widowControl w:val="0"/>
        <w:autoSpaceDE w:val="0"/>
        <w:autoSpaceDN w:val="0"/>
        <w:adjustRightInd w:val="0"/>
        <w:spacing w:line="2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F88">
        <w:rPr>
          <w:rFonts w:ascii="Times New Roman" w:hAnsi="Times New Roman"/>
          <w:sz w:val="28"/>
          <w:szCs w:val="28"/>
          <w:lang w:eastAsia="ru-RU"/>
        </w:rPr>
        <w:t>збалансованості - забезпечення у регуляторній діяльності балансу інтересів суб’єктів господарювання, громадян та держави досягається шляхом середньорічного збільшення тарифів на перевезення вантажів у межах України 11,8% та прямого впливу на операційні витрати в промисловості в розмірі 0,19 відсоткових пунктів;</w:t>
      </w:r>
    </w:p>
    <w:p w:rsidR="00840F88" w:rsidRPr="00840F88" w:rsidRDefault="00840F88" w:rsidP="00DA08C4">
      <w:pPr>
        <w:widowControl w:val="0"/>
        <w:autoSpaceDE w:val="0"/>
        <w:autoSpaceDN w:val="0"/>
        <w:adjustRightInd w:val="0"/>
        <w:spacing w:line="2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F88">
        <w:rPr>
          <w:rFonts w:ascii="Times New Roman" w:hAnsi="Times New Roman"/>
          <w:sz w:val="28"/>
          <w:szCs w:val="28"/>
          <w:lang w:eastAsia="ru-RU"/>
        </w:rPr>
        <w:t xml:space="preserve">передбачуваності – </w:t>
      </w:r>
      <w:r w:rsidR="004F256D">
        <w:rPr>
          <w:rFonts w:ascii="Times New Roman" w:hAnsi="Times New Roman"/>
          <w:sz w:val="28"/>
          <w:szCs w:val="28"/>
          <w:lang w:eastAsia="ru-RU"/>
        </w:rPr>
        <w:t xml:space="preserve">зміна рівня державних регульованих </w:t>
      </w:r>
      <w:r w:rsidRPr="00840F88">
        <w:rPr>
          <w:rFonts w:ascii="Times New Roman" w:hAnsi="Times New Roman"/>
          <w:sz w:val="28"/>
          <w:szCs w:val="28"/>
          <w:lang w:eastAsia="ru-RU"/>
        </w:rPr>
        <w:t xml:space="preserve">вантажних залізничних тарифів відбуватиметься на рівень ІЦВ минулого року, що дозволило суб’єктам господарювання врахувати зростання транспортних витрат; </w:t>
      </w:r>
    </w:p>
    <w:p w:rsidR="00E96FDF" w:rsidRDefault="00840F88" w:rsidP="00DA08C4">
      <w:pPr>
        <w:widowControl w:val="0"/>
        <w:autoSpaceDE w:val="0"/>
        <w:autoSpaceDN w:val="0"/>
        <w:adjustRightInd w:val="0"/>
        <w:spacing w:line="2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F88">
        <w:rPr>
          <w:rFonts w:ascii="Times New Roman" w:hAnsi="Times New Roman"/>
          <w:sz w:val="28"/>
          <w:szCs w:val="28"/>
          <w:lang w:eastAsia="ru-RU"/>
        </w:rPr>
        <w:t>прозорості врахування громадської думки – шляхом розміщення на сайті Мінінфраструктури проект</w:t>
      </w:r>
      <w:r w:rsidR="00B3736E">
        <w:rPr>
          <w:rFonts w:ascii="Times New Roman" w:hAnsi="Times New Roman"/>
          <w:sz w:val="28"/>
          <w:szCs w:val="28"/>
          <w:lang w:eastAsia="ru-RU"/>
        </w:rPr>
        <w:t>у</w:t>
      </w:r>
      <w:r w:rsidRPr="00840F88">
        <w:rPr>
          <w:rFonts w:ascii="Times New Roman" w:hAnsi="Times New Roman"/>
          <w:sz w:val="28"/>
          <w:szCs w:val="28"/>
          <w:lang w:eastAsia="ru-RU"/>
        </w:rPr>
        <w:t xml:space="preserve"> наказу для обговорення, висвітлення питання необхідності здійснення </w:t>
      </w:r>
      <w:r w:rsidR="004F256D">
        <w:rPr>
          <w:rFonts w:ascii="Times New Roman" w:hAnsi="Times New Roman"/>
          <w:sz w:val="28"/>
          <w:szCs w:val="28"/>
          <w:lang w:eastAsia="ru-RU"/>
        </w:rPr>
        <w:t xml:space="preserve">зміни рівня тарифів шляхом </w:t>
      </w:r>
      <w:r w:rsidRPr="00840F88">
        <w:rPr>
          <w:rFonts w:ascii="Times New Roman" w:hAnsi="Times New Roman"/>
          <w:sz w:val="28"/>
          <w:szCs w:val="28"/>
          <w:lang w:eastAsia="ru-RU"/>
        </w:rPr>
        <w:t xml:space="preserve">індексації </w:t>
      </w:r>
      <w:r w:rsidR="004F256D">
        <w:rPr>
          <w:rFonts w:ascii="Times New Roman" w:hAnsi="Times New Roman"/>
          <w:sz w:val="28"/>
          <w:szCs w:val="28"/>
          <w:lang w:eastAsia="ru-RU"/>
        </w:rPr>
        <w:t xml:space="preserve">діючих коригуючих </w:t>
      </w:r>
      <w:r w:rsidR="004F256D" w:rsidRPr="005C05FA">
        <w:rPr>
          <w:rFonts w:ascii="Times New Roman" w:hAnsi="Times New Roman" w:cs="Times New Roman"/>
          <w:bCs/>
          <w:sz w:val="28"/>
          <w:szCs w:val="28"/>
        </w:rPr>
        <w:t xml:space="preserve">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 (далі – </w:t>
      </w:r>
      <w:r w:rsidR="004F256D" w:rsidRPr="005C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Коефіцієнти, що застосовуються до тарифів Збірника </w:t>
      </w:r>
      <w:r w:rsidR="004F256D" w:rsidRPr="005C0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тарифів</w:t>
      </w:r>
      <w:r w:rsidR="004F256D" w:rsidRPr="005C05FA">
        <w:rPr>
          <w:rFonts w:ascii="Times New Roman" w:hAnsi="Times New Roman" w:cs="Times New Roman"/>
          <w:bCs/>
          <w:sz w:val="28"/>
          <w:szCs w:val="28"/>
        </w:rPr>
        <w:t>)</w:t>
      </w:r>
      <w:r w:rsidR="004F256D" w:rsidRPr="005C05FA">
        <w:rPr>
          <w:rFonts w:ascii="Times New Roman" w:hAnsi="Times New Roman" w:cs="Times New Roman"/>
          <w:sz w:val="28"/>
          <w:szCs w:val="28"/>
        </w:rPr>
        <w:t xml:space="preserve">, </w:t>
      </w:r>
      <w:r w:rsidR="004F256D" w:rsidRPr="005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 наказом Міністерства транспорту та зв’язку України від 26 березня 2009 р. № 317, зареєстрованих у Міністерстві юстиції України 15 квітня 2009 р. за № 341/16357 (із змінами)</w:t>
      </w:r>
      <w:r w:rsidR="008D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F88">
        <w:rPr>
          <w:rFonts w:ascii="Times New Roman" w:hAnsi="Times New Roman"/>
          <w:sz w:val="28"/>
          <w:szCs w:val="28"/>
          <w:lang w:eastAsia="ru-RU"/>
        </w:rPr>
        <w:t>в засобах масової інформації, обговорення його з бізнес-спільнотою, обов’язкового розгляду регуляторними органами проекту наказу, розгляду зауважень та пропозицій, наданих у встановленому законодавством порядку фізичними та юридичними особами, своєчасне доведення до відо</w:t>
      </w:r>
      <w:r w:rsidR="006E4317">
        <w:rPr>
          <w:rFonts w:ascii="Times New Roman" w:hAnsi="Times New Roman"/>
          <w:sz w:val="28"/>
          <w:szCs w:val="28"/>
          <w:lang w:eastAsia="ru-RU"/>
        </w:rPr>
        <w:t>ма причетних прийнятого наказу.</w:t>
      </w:r>
    </w:p>
    <w:p w:rsidR="00840F88" w:rsidRPr="0083590A" w:rsidRDefault="00840F88" w:rsidP="00DA08C4">
      <w:pPr>
        <w:widowControl w:val="0"/>
        <w:autoSpaceDE w:val="0"/>
        <w:autoSpaceDN w:val="0"/>
        <w:adjustRightInd w:val="0"/>
        <w:spacing w:line="2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873" w:rsidRPr="0083590A" w:rsidRDefault="00007873" w:rsidP="00DA08C4">
      <w:pPr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</w:t>
      </w:r>
      <w:r w:rsidR="005431BE" w:rsidRPr="0083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3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Цілі державного регулювання</w:t>
      </w:r>
    </w:p>
    <w:p w:rsidR="004F256D" w:rsidRPr="005C05FA" w:rsidRDefault="0070471D" w:rsidP="004F2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запропонованого регуляторного акта є </w:t>
      </w:r>
      <w:r w:rsidR="00A96051" w:rsidRPr="0083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зміна у 2019 році </w:t>
      </w:r>
      <w:r w:rsidR="004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рівня </w:t>
      </w:r>
      <w:r w:rsidR="00A96051" w:rsidRPr="0083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державних регульованих тарифів </w:t>
      </w:r>
      <w:r w:rsidR="004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перевезення вантажів залізничним транспортом у межах України </w:t>
      </w:r>
      <w:r w:rsidR="008E5A73" w:rsidRPr="0083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</w:t>
      </w:r>
      <w:r w:rsidR="00901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викладення у новій редакції Коефіцієнтів</w:t>
      </w:r>
      <w:r w:rsidR="004F256D" w:rsidRPr="005C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застосовуються до тарифів Збірника тарифів</w:t>
      </w:r>
      <w:r w:rsidR="004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256D" w:rsidRPr="005C05FA">
        <w:rPr>
          <w:rFonts w:ascii="Times New Roman" w:hAnsi="Times New Roman" w:cs="Times New Roman"/>
          <w:sz w:val="28"/>
          <w:szCs w:val="28"/>
        </w:rPr>
        <w:t xml:space="preserve">з коригуванням діючих </w:t>
      </w:r>
      <w:r w:rsidR="004F256D">
        <w:rPr>
          <w:rFonts w:ascii="Times New Roman" w:hAnsi="Times New Roman" w:cs="Times New Roman"/>
          <w:sz w:val="28"/>
          <w:szCs w:val="28"/>
        </w:rPr>
        <w:t xml:space="preserve">коефіцієнтів </w:t>
      </w:r>
      <w:r w:rsidR="004F256D" w:rsidRPr="005C05FA">
        <w:rPr>
          <w:rFonts w:ascii="Times New Roman" w:hAnsi="Times New Roman" w:cs="Times New Roman"/>
          <w:sz w:val="28"/>
          <w:szCs w:val="28"/>
        </w:rPr>
        <w:t>на 14,2%, що відповідає ІЦВ за 2018 рік, що дозволить змінити рівень тарифів та встановити їх з урахуванням індексації.</w:t>
      </w:r>
    </w:p>
    <w:p w:rsidR="009C688D" w:rsidRPr="00B700B2" w:rsidRDefault="009C688D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</w:t>
      </w:r>
      <w:r w:rsidR="00692DA5"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та оцінка альтернативних способів досягнення цілей</w:t>
      </w:r>
    </w:p>
    <w:p w:rsidR="0085026E" w:rsidRPr="00A86EB2" w:rsidRDefault="0085026E" w:rsidP="004F256D">
      <w:pPr>
        <w:pStyle w:val="af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альтернативних способів.</w:t>
      </w:r>
    </w:p>
    <w:p w:rsidR="00A86EB2" w:rsidRPr="00A86EB2" w:rsidRDefault="00A86EB2" w:rsidP="00DA08C4">
      <w:pPr>
        <w:pStyle w:val="af"/>
        <w:ind w:left="10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128"/>
      </w:tblGrid>
      <w:tr w:rsidR="00A05CB9" w:rsidRPr="00B700B2" w:rsidTr="00563A0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B700B2" w:rsidRDefault="0085026E" w:rsidP="004F256D">
            <w:pPr>
              <w:ind w:firstLine="3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B700B2" w:rsidRDefault="0085026E" w:rsidP="004F256D">
            <w:pPr>
              <w:ind w:firstLine="3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3F606B" w:rsidRPr="00B700B2" w:rsidTr="00563A0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B700B2" w:rsidRDefault="00E054EF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  <w:p w:rsidR="0085026E" w:rsidRPr="00B700B2" w:rsidRDefault="0085026E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17" w:rsidRPr="00B700B2" w:rsidRDefault="00007873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Збереження </w:t>
            </w:r>
            <w:r w:rsidR="00A118E8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чинного регулювання</w:t>
            </w:r>
            <w:r w:rsidR="0049295D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45BC" w:rsidRPr="00B700B2" w:rsidRDefault="009E45BC" w:rsidP="004F256D">
            <w:pPr>
              <w:pStyle w:val="af"/>
              <w:widowControl w:val="0"/>
              <w:shd w:val="clear" w:color="auto" w:fill="FFFFFF"/>
              <w:ind w:left="0" w:firstLine="313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 виконуються положення </w:t>
            </w:r>
            <w:r w:rsidR="004F256D" w:rsidRPr="005C05FA">
              <w:rPr>
                <w:rFonts w:ascii="Times New Roman" w:hAnsi="Times New Roman" w:cs="Times New Roman"/>
                <w:bCs/>
                <w:sz w:val="28"/>
                <w:szCs w:val="28"/>
              </w:rPr>
              <w:t>частини третьої статті 12 Закону України «Про ціни і ціноутворення», частини першої статті 9 Закону України «Про природні монополії»,</w:t>
            </w:r>
            <w:r w:rsidR="004F2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Порядку перегляду тарифів.</w:t>
            </w:r>
            <w:r w:rsidR="004F25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F2262" w:rsidRPr="00B700B2" w:rsidRDefault="00BF2262" w:rsidP="004F256D">
            <w:pPr>
              <w:pStyle w:val="af"/>
              <w:widowControl w:val="0"/>
              <w:shd w:val="clear" w:color="auto" w:fill="FFFFFF"/>
              <w:ind w:left="0" w:firstLine="313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Збитковий результат діяльності АТ</w:t>
            </w:r>
            <w:r w:rsidR="009E45BC"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 </w:t>
            </w:r>
            <w:r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«Укрзалізниця», що суперечить Закону України «Про природні монополії».</w:t>
            </w:r>
          </w:p>
          <w:p w:rsidR="003F606B" w:rsidRDefault="00BF2262" w:rsidP="004F256D">
            <w:pPr>
              <w:pStyle w:val="af"/>
              <w:widowControl w:val="0"/>
              <w:shd w:val="clear" w:color="auto" w:fill="FFFFFF"/>
              <w:ind w:left="0" w:firstLine="313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Відсутні кошти для утримання та </w:t>
            </w:r>
            <w:r w:rsidRPr="0013158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оновлення локомотивів та інфраструткури. </w:t>
            </w:r>
          </w:p>
          <w:p w:rsidR="003F606B" w:rsidRDefault="003F606B" w:rsidP="004F256D">
            <w:pPr>
              <w:pStyle w:val="af"/>
              <w:widowControl w:val="0"/>
              <w:shd w:val="clear" w:color="auto" w:fill="FFFFFF"/>
              <w:ind w:left="0" w:firstLine="313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F606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Зросте дефіцит коштів на виконання необхідного обсягу ремонтних робіт для забезпечення безпечного руху перевезень.</w:t>
            </w:r>
          </w:p>
          <w:p w:rsidR="00837727" w:rsidRPr="00B700B2" w:rsidRDefault="00BF2262" w:rsidP="004F256D">
            <w:pPr>
              <w:pStyle w:val="af"/>
              <w:widowControl w:val="0"/>
              <w:shd w:val="clear" w:color="auto" w:fill="FFFFFF"/>
              <w:ind w:left="0" w:firstLine="3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58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Ускладнюватиметься ситуація </w:t>
            </w:r>
            <w:r w:rsidR="009F04D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щодо </w:t>
            </w:r>
            <w:r w:rsidRPr="0013158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забезпечення суб</w:t>
            </w:r>
            <w:r w:rsidR="00340529" w:rsidRPr="00340529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’</w:t>
            </w:r>
            <w:r w:rsidRPr="0013158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єктів господарювання у перевезеннях вантажів залізничним транспортом.</w:t>
            </w:r>
          </w:p>
        </w:tc>
      </w:tr>
      <w:tr w:rsidR="00A05CB9" w:rsidRPr="00B700B2" w:rsidTr="00563A0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E" w:rsidRPr="00B700B2" w:rsidRDefault="00E054EF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  <w:p w:rsidR="0085026E" w:rsidRPr="00B700B2" w:rsidRDefault="0085026E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C" w:rsidRDefault="008E7248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регуляторного </w:t>
            </w:r>
            <w:proofErr w:type="spellStart"/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="00CE4579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дозволить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(розрахунково 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березня 2019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5E087F" w:rsidRPr="00B700B2" w:rsidRDefault="0029530C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змінити на 14,2% рівень діючих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арифів на вантажні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залізничні перевезення, шляхом 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</w:t>
            </w:r>
            <w:r w:rsid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ення 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 до Коефіцієнтів, що застосовуються до тарифів Збірника тарифів, шляхом їх коригування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(індексації)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ІЦВ минулого </w:t>
            </w:r>
            <w:r w:rsidR="009E45BC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ку;</w:t>
            </w:r>
          </w:p>
          <w:p w:rsidR="003F6D19" w:rsidRPr="00B700B2" w:rsidRDefault="009E45BC" w:rsidP="004F256D">
            <w:pPr>
              <w:tabs>
                <w:tab w:val="left" w:pos="-3686"/>
              </w:tabs>
              <w:ind w:right="45"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виконувати </w:t>
            </w:r>
            <w:r w:rsidR="003F6D19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Порядку перегляду тарифів щодо мінімального рівня зміни тарифів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F6D19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45BC" w:rsidRPr="00B700B2" w:rsidRDefault="00590049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одержати </w:t>
            </w:r>
            <w:r w:rsidR="00D773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додаткові </w:t>
            </w:r>
            <w:r w:rsidR="00022F98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доходи </w:t>
            </w:r>
            <w:r w:rsid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перевізника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середньорічному розрахунку в розмірі </w:t>
            </w:r>
            <w:r w:rsidR="005E087F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6,315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r w:rsidR="00F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7AC0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29530C" w:rsidRPr="005C05FA">
              <w:rPr>
                <w:rFonts w:ascii="Times New Roman" w:hAnsi="Times New Roman" w:cs="Times New Roman"/>
                <w:sz w:val="28"/>
                <w:szCs w:val="28"/>
              </w:rPr>
              <w:t>утримання та часткового оновлення інфраструктури та рухомого складу</w:t>
            </w:r>
            <w:r w:rsidR="009E45BC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5A6F" w:rsidRPr="00B700B2" w:rsidRDefault="00590049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збільшити податкові надходження до Державного бюджету України в сумі </w:t>
            </w:r>
            <w:r w:rsidR="00B7581D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</w:t>
            </w:r>
            <w:r w:rsidR="0020179A" w:rsidRPr="002017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</w:t>
            </w:r>
            <w:r w:rsidR="00F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B700B2" w:rsidRPr="00B700B2" w:rsidTr="00563A0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19" w:rsidRPr="00B700B2" w:rsidRDefault="003F6D19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18" w:rsidRPr="00706897" w:rsidRDefault="009C1718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регуляторного </w:t>
            </w:r>
            <w:proofErr w:type="spellStart"/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який передбачає 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зміну </w:t>
            </w:r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тарифів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вантажні залізничні перевезення</w:t>
            </w:r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розмірі, що запланований у кількісних припущеннях прогнозу основних макропоказників економічного та соціального розвитку України на відповідний рік, прийнятих  постановою Кабінету Міністрів України від 11.07.2018 № 546 «</w:t>
            </w:r>
            <w:r w:rsidRPr="00706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схвалення Прогнозу економічного і соціального розвитку України на 2019-2021 роки</w:t>
            </w:r>
            <w:r w:rsidR="00E054EF" w:rsidRPr="00F212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F2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(зокрема, на 2019 рік передбачено індексацію на рівні 25%) сприятиме:</w:t>
            </w:r>
          </w:p>
          <w:p w:rsidR="009C1718" w:rsidRPr="00706897" w:rsidRDefault="009C1718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</w:t>
            </w:r>
            <w:r w:rsidR="001528BC"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ржанню доходів перевізника</w:t>
            </w:r>
            <w:r w:rsidR="003D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розмірі 11,1 млрд</w:t>
            </w:r>
            <w:r w:rsidR="000B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грн;</w:t>
            </w:r>
          </w:p>
          <w:p w:rsidR="00D13975" w:rsidRPr="00B700B2" w:rsidRDefault="009C1718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збільшенню податкових надходжень </w:t>
            </w:r>
            <w:r w:rsidRPr="009C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Державного бюджету України</w:t>
            </w:r>
            <w:r w:rsidR="0054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C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00B2" w:rsidRPr="00B700B2" w:rsidTr="00563A0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4" w:rsidRPr="00B700B2" w:rsidRDefault="00241704" w:rsidP="004F256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4</w:t>
            </w:r>
            <w:r w:rsidR="00EB28B7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0" w:rsidRPr="006463FF" w:rsidRDefault="009C1718" w:rsidP="0029530C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регуляторного </w:t>
            </w:r>
            <w:proofErr w:type="spellStart"/>
            <w:r w:rsidRPr="009C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9C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який передбачає 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зміну рівня </w:t>
            </w:r>
            <w:r w:rsidR="0029530C" w:rsidRPr="009C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тарифів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 </w:t>
            </w:r>
            <w:r w:rsidRPr="009C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їх </w:t>
            </w:r>
            <w:r w:rsidRPr="009C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індексації </w:t>
            </w:r>
            <w:r w:rsidR="00AF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2,42 </w:t>
            </w:r>
            <w:proofErr w:type="spellStart"/>
            <w:r w:rsidR="00AF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</w:t>
            </w:r>
            <w:proofErr w:type="spellEnd"/>
            <w:r w:rsidR="00AF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2D4B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6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дозволить одержати </w:t>
            </w:r>
            <w:r w:rsidR="00D9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додаткові </w:t>
            </w:r>
            <w:r w:rsidR="001C76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доходи </w:t>
            </w:r>
            <w:r w:rsid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перевізник</w:t>
            </w:r>
            <w:r w:rsidR="00D9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C76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 w:rsid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послуг з </w:t>
            </w:r>
            <w:r w:rsidR="001C76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</w:t>
            </w:r>
            <w:r w:rsid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вантажів</w:t>
            </w:r>
            <w:r w:rsidR="001C76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C76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розмірі 1</w:t>
            </w:r>
            <w:r w:rsidR="00B7581D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2D4B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9,4 </w:t>
            </w:r>
            <w:r w:rsidR="003D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r w:rsidR="0087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76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грн.</w:t>
            </w:r>
            <w:r w:rsidR="0029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забезпечення потреб.</w:t>
            </w:r>
          </w:p>
        </w:tc>
      </w:tr>
    </w:tbl>
    <w:p w:rsidR="00DE586B" w:rsidRPr="00B700B2" w:rsidRDefault="00DE586B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0" w:rsidRPr="00B700B2" w:rsidRDefault="00B47DAB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способи, що не передбачають розроблення та затвердження регуляторного акта, є неприйнятними, оскільки вирішення проблеми лежить 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передусім у правовій площині, </w:t>
      </w:r>
      <w:r w:rsidR="004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щорічна </w:t>
      </w:r>
      <w:r w:rsidR="00C85B6D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зміна </w:t>
      </w:r>
      <w:r w:rsidR="004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рівня </w:t>
      </w:r>
      <w:r w:rsidR="00C85B6D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державних регульованих цін </w:t>
      </w:r>
      <w:r w:rsidR="004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індексації </w:t>
      </w:r>
      <w:r w:rsidR="00C85B6D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</w:t>
      </w:r>
      <w:r w:rsidR="004F256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C85B6D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тільки на підставі прийняття відпов</w:t>
      </w:r>
      <w:r w:rsidR="004F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ідного наказу Мінінфраструктури, яким затверджуються </w:t>
      </w:r>
      <w:r w:rsidR="0029530C" w:rsidRPr="005C05FA">
        <w:rPr>
          <w:rFonts w:ascii="Times New Roman" w:hAnsi="Times New Roman" w:cs="Times New Roman"/>
          <w:sz w:val="28"/>
          <w:szCs w:val="28"/>
        </w:rPr>
        <w:t>нов</w:t>
      </w:r>
      <w:r w:rsidR="0029530C">
        <w:rPr>
          <w:rFonts w:ascii="Times New Roman" w:hAnsi="Times New Roman" w:cs="Times New Roman"/>
          <w:sz w:val="28"/>
          <w:szCs w:val="28"/>
        </w:rPr>
        <w:t>і</w:t>
      </w:r>
      <w:r w:rsidR="0029530C" w:rsidRPr="005C05FA">
        <w:rPr>
          <w:rFonts w:ascii="Times New Roman" w:hAnsi="Times New Roman" w:cs="Times New Roman"/>
          <w:sz w:val="28"/>
          <w:szCs w:val="28"/>
        </w:rPr>
        <w:t xml:space="preserve"> </w:t>
      </w:r>
      <w:r w:rsidR="0029530C" w:rsidRPr="005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</w:t>
      </w:r>
      <w:r w:rsid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530C" w:rsidRPr="005C0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застосовуються до тарифів Збірника тарифів</w:t>
      </w:r>
      <w:r w:rsid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6E" w:rsidRPr="00B700B2" w:rsidRDefault="00692DA5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5026E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вибраних альтернативних способів досягнення цілей.</w:t>
      </w:r>
    </w:p>
    <w:p w:rsidR="00B936FF" w:rsidRPr="005B1BF3" w:rsidRDefault="00B936FF" w:rsidP="00DA08C4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26E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держави.</w:t>
      </w:r>
    </w:p>
    <w:p w:rsidR="00B936FF" w:rsidRPr="005B1BF3" w:rsidRDefault="00B936FF" w:rsidP="00DA08C4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2"/>
        <w:gridCol w:w="4187"/>
        <w:gridCol w:w="3063"/>
      </w:tblGrid>
      <w:tr w:rsidR="00B700B2" w:rsidRPr="00B700B2" w:rsidTr="00A60DE9">
        <w:trPr>
          <w:trHeight w:val="375"/>
        </w:trPr>
        <w:tc>
          <w:tcPr>
            <w:tcW w:w="2547" w:type="dxa"/>
          </w:tcPr>
          <w:p w:rsidR="00B232EA" w:rsidRPr="00B700B2" w:rsidRDefault="0085026E" w:rsidP="0029530C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969" w:type="dxa"/>
          </w:tcPr>
          <w:p w:rsidR="0085026E" w:rsidRPr="00B700B2" w:rsidRDefault="0085026E" w:rsidP="0029530C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112" w:type="dxa"/>
          </w:tcPr>
          <w:p w:rsidR="0085026E" w:rsidRPr="00B700B2" w:rsidRDefault="0085026E" w:rsidP="0029530C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Витрати</w:t>
            </w:r>
          </w:p>
        </w:tc>
      </w:tr>
      <w:tr w:rsidR="00B700B2" w:rsidRPr="00B700B2" w:rsidTr="001F0AB8">
        <w:tc>
          <w:tcPr>
            <w:tcW w:w="2547" w:type="dxa"/>
          </w:tcPr>
          <w:p w:rsidR="0085026E" w:rsidRPr="00B700B2" w:rsidRDefault="0085026E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</w:t>
            </w:r>
            <w:r w:rsidR="00E0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85026E" w:rsidRPr="00B700B2" w:rsidRDefault="0085026E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D34" w:rsidRPr="00B700B2" w:rsidRDefault="00272D34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5026E" w:rsidRPr="006463FF" w:rsidRDefault="00543095" w:rsidP="0029530C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3112" w:type="dxa"/>
          </w:tcPr>
          <w:p w:rsidR="00014FF4" w:rsidRPr="00B700B2" w:rsidRDefault="003E7437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Збереження чинного регулювання </w:t>
            </w:r>
            <w:r w:rsidR="003A3101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призведе до наступних 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</w:t>
            </w:r>
            <w:r w:rsidR="003A3101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E7437" w:rsidRDefault="003E7437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невиконання залізничним транспортом основної діяльності товариства</w:t>
            </w:r>
            <w:r w:rsidR="00875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саме: 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задоволення потреб вантажовласників у </w:t>
            </w:r>
            <w:r w:rsidR="00014FF4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безпечних та якісних перевезеннях; </w:t>
            </w:r>
          </w:p>
          <w:p w:rsidR="00543095" w:rsidRPr="00B700B2" w:rsidRDefault="00543095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погіршення транспортного потенціалу та іміджу держави;</w:t>
            </w:r>
          </w:p>
          <w:p w:rsidR="00A7645B" w:rsidRPr="00B700B2" w:rsidRDefault="00014FF4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недоотримання Державним бюджетом України податкових надходжень</w:t>
            </w:r>
            <w:r w:rsidR="003D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тому числі 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зменшення продуктивності виробництва інших галузей промисловості.</w:t>
            </w:r>
          </w:p>
        </w:tc>
      </w:tr>
      <w:tr w:rsidR="00B700B2" w:rsidRPr="00B700B2" w:rsidTr="001F0AB8">
        <w:tc>
          <w:tcPr>
            <w:tcW w:w="2547" w:type="dxa"/>
          </w:tcPr>
          <w:p w:rsidR="0085026E" w:rsidRPr="00B700B2" w:rsidRDefault="00E054EF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  <w:p w:rsidR="0085026E" w:rsidRPr="00B700B2" w:rsidRDefault="0085026E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</w:tcPr>
          <w:p w:rsidR="00AB2E09" w:rsidRPr="00B700B2" w:rsidRDefault="00AB2E09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Дозволить</w:t>
            </w:r>
            <w:r w:rsidR="00FA003D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: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AB2E09" w:rsidRPr="00B700B2" w:rsidRDefault="00C358E8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</w:t>
            </w:r>
            <w:r w:rsidR="003A3101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икон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ати </w:t>
            </w:r>
            <w:r w:rsidR="00AB2E09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положен</w:t>
            </w:r>
            <w:r w:rsidR="00DE6E17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ня </w:t>
            </w:r>
            <w:r w:rsidR="00AB2E09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Порядку перегляду тарифів у </w:t>
            </w:r>
            <w:r w:rsidR="00875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частині </w:t>
            </w:r>
            <w:r w:rsidR="00DE6E17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перегляду державних регульованих цін</w:t>
            </w:r>
            <w:r w:rsidR="00875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</w:t>
            </w:r>
            <w:r w:rsidR="00DE6E17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AC1034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проведення</w:t>
            </w:r>
            <w:r w:rsidR="00AB2E09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індексації вантажних залізничних тарифів</w:t>
            </w:r>
            <w:r w:rsidR="00AC1034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;</w:t>
            </w:r>
          </w:p>
          <w:p w:rsidR="00B97AC0" w:rsidRPr="00B700B2" w:rsidRDefault="00B97AC0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збільш</w:t>
            </w:r>
            <w:r w:rsidR="00C35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ити 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податкові надходження до Державного бюджету України в сумі </w:t>
            </w:r>
            <w:r w:rsidR="00B7581D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208,</w:t>
            </w:r>
            <w:r w:rsidR="0020179A" w:rsidRPr="002017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0</w:t>
            </w:r>
            <w:r w:rsidR="006464FD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="008651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млн грн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;</w:t>
            </w:r>
          </w:p>
          <w:p w:rsidR="00DE6E17" w:rsidRPr="00B700B2" w:rsidRDefault="00DE6E17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покращ</w:t>
            </w:r>
            <w:r w:rsidR="00C35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ити 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стан інфраструктури 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та тягового рухомого складу;</w:t>
            </w:r>
          </w:p>
          <w:p w:rsidR="00A7645B" w:rsidRPr="00B700B2" w:rsidRDefault="00DE6E17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поліпш</w:t>
            </w:r>
            <w:r w:rsidR="00C35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ити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ситуаці</w:t>
            </w:r>
            <w:r w:rsidR="003F7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ю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із </w:t>
            </w:r>
            <w:r w:rsidR="00FA003D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забезпеч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енням галузей економіки у </w:t>
            </w:r>
            <w:r w:rsidR="00875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вантажних 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перевезеннях.</w:t>
            </w:r>
          </w:p>
        </w:tc>
        <w:tc>
          <w:tcPr>
            <w:tcW w:w="3112" w:type="dxa"/>
          </w:tcPr>
          <w:p w:rsidR="0085026E" w:rsidRPr="00B700B2" w:rsidRDefault="008754BE" w:rsidP="0029530C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Відсутні</w:t>
            </w:r>
          </w:p>
        </w:tc>
      </w:tr>
      <w:tr w:rsidR="00B700B2" w:rsidRPr="00B700B2" w:rsidTr="001F0AB8">
        <w:tc>
          <w:tcPr>
            <w:tcW w:w="2547" w:type="dxa"/>
          </w:tcPr>
          <w:p w:rsidR="00E86FE7" w:rsidRPr="00B700B2" w:rsidRDefault="00E86FE7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3</w:t>
            </w:r>
          </w:p>
        </w:tc>
        <w:tc>
          <w:tcPr>
            <w:tcW w:w="3969" w:type="dxa"/>
          </w:tcPr>
          <w:p w:rsidR="009A5351" w:rsidRDefault="00E86FE7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Зростання податкових надходжень до Державного бюджету України з доходів </w:t>
            </w:r>
            <w:r w:rsidR="00C82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перевізника, збільшених 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11,1</w:t>
            </w:r>
            <w:r w:rsidR="00AF7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млрд</w:t>
            </w:r>
            <w:r w:rsidR="00BC5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="008C4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грн.</w:t>
            </w:r>
          </w:p>
          <w:p w:rsidR="008754BE" w:rsidRPr="00B700B2" w:rsidRDefault="008754BE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75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ення у</w:t>
            </w:r>
            <w:r w:rsidRPr="00875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тримання залізничної інфраструктури у </w:t>
            </w:r>
            <w:r w:rsidR="00C82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належному</w:t>
            </w:r>
            <w:r w:rsidRPr="00875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стані.</w:t>
            </w:r>
          </w:p>
        </w:tc>
        <w:tc>
          <w:tcPr>
            <w:tcW w:w="3112" w:type="dxa"/>
          </w:tcPr>
          <w:p w:rsidR="00E86FE7" w:rsidRPr="00B700B2" w:rsidRDefault="007E5BAB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Відсутні</w:t>
            </w:r>
          </w:p>
        </w:tc>
      </w:tr>
      <w:tr w:rsidR="00B700B2" w:rsidRPr="00B700B2" w:rsidTr="001F0AB8">
        <w:tc>
          <w:tcPr>
            <w:tcW w:w="2547" w:type="dxa"/>
          </w:tcPr>
          <w:p w:rsidR="00E86FE7" w:rsidRPr="00B700B2" w:rsidRDefault="00E054EF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4</w:t>
            </w:r>
          </w:p>
        </w:tc>
        <w:tc>
          <w:tcPr>
            <w:tcW w:w="3969" w:type="dxa"/>
          </w:tcPr>
          <w:p w:rsidR="00452531" w:rsidRDefault="00452531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Виконання положень законів України «Про природні монополії», «Про ціни і ціноутворення» у частині самоокупності суб’єктів природних монополій.</w:t>
            </w:r>
          </w:p>
          <w:p w:rsidR="00E86FE7" w:rsidRPr="00B700B2" w:rsidRDefault="00E86FE7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Можливість оновлення </w:t>
            </w:r>
            <w:r w:rsidR="00566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та модернізації 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інфраструктури </w:t>
            </w:r>
            <w:r w:rsidR="00566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й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локомотивної тяги в необхідній кількості.</w:t>
            </w:r>
          </w:p>
          <w:p w:rsidR="009A5351" w:rsidRPr="00324A80" w:rsidRDefault="00E86FE7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Повне забезпечення потреб вантажов</w:t>
            </w:r>
            <w:r w:rsidR="00324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ласників у перевезенні вантажів</w:t>
            </w:r>
            <w:r w:rsidR="00324A80" w:rsidRPr="00324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(</w:t>
            </w:r>
            <w:r w:rsidR="00324A80" w:rsidRPr="00324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відсутність скар</w:t>
            </w:r>
            <w:r w:rsidR="00324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 про стримування розвитку деяких галузей економіки).</w:t>
            </w:r>
          </w:p>
          <w:p w:rsidR="00BC7A12" w:rsidRDefault="008754BE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24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Забезпечення утримання</w:t>
            </w:r>
            <w:r w:rsidRPr="00875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інфраструктури залізничного транспорту в </w:t>
            </w:r>
            <w:r w:rsidR="00566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якісному</w:t>
            </w:r>
            <w:r w:rsidRPr="00875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стані</w:t>
            </w:r>
            <w:r w:rsidR="00BC7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8754BE" w:rsidRDefault="00BC7A12" w:rsidP="0029530C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Забезпечення нового рівня якості послуг та скорочення термінів доставки вантажів за рахунок розширення перевізних</w:t>
            </w:r>
            <w:r w:rsidR="0039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можливостей залізничної мережі що зумовить позитивний вплив на економіку держави.</w:t>
            </w:r>
          </w:p>
          <w:p w:rsidR="00F83142" w:rsidRPr="00F83142" w:rsidRDefault="00A55590" w:rsidP="0056379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Можливість нарощення обсягів виробництва певними галузями економіки за рахунок розширення перевізни</w:t>
            </w:r>
            <w:r w:rsidR="0039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х можливостей</w:t>
            </w:r>
            <w:r w:rsidR="00563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="00324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АТ «Укрзалізниця»</w:t>
            </w:r>
            <w:r w:rsidR="00F83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112" w:type="dxa"/>
          </w:tcPr>
          <w:p w:rsidR="00E86FE7" w:rsidRPr="00B700B2" w:rsidRDefault="007E5BAB" w:rsidP="0029530C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Зменшення виробництва в окремих галузях промисловості, для яких зростання транспортних витрат має вирішальне значення</w:t>
            </w:r>
            <w:r w:rsidR="00222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скорочення робочих місць, закриття окремих підприємств та виникнення соціальної напруги.</w:t>
            </w:r>
          </w:p>
        </w:tc>
      </w:tr>
    </w:tbl>
    <w:p w:rsidR="00837727" w:rsidRPr="00B700B2" w:rsidRDefault="00837727" w:rsidP="0029530C">
      <w:pPr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796" w:rsidRDefault="00563796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96" w:rsidRDefault="00563796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AB" w:rsidRPr="0039321A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Оцінка впливу на сферу інтересів суб’єктів господарювання.</w:t>
      </w:r>
    </w:p>
    <w:p w:rsidR="00DD782A" w:rsidRPr="00B700B2" w:rsidRDefault="00DD782A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Вплив реалізації наказу на </w:t>
      </w:r>
      <w:r w:rsidRPr="00B700B2">
        <w:rPr>
          <w:rFonts w:ascii="Times New Roman" w:eastAsia="Calibri" w:hAnsi="Times New Roman" w:cs="Times New Roman"/>
          <w:sz w:val="28"/>
          <w:szCs w:val="28"/>
        </w:rPr>
        <w:t>ринкове середовище, забезпечення прав та інтересів суб’єктів господарювання та держави о</w:t>
      </w:r>
      <w:r w:rsidRPr="00B700B2">
        <w:rPr>
          <w:rFonts w:ascii="Times New Roman" w:eastAsia="Calibri" w:hAnsi="Times New Roman" w:cs="Times New Roman"/>
          <w:sz w:val="28"/>
          <w:szCs w:val="28"/>
          <w:lang w:eastAsia="ru-RU"/>
        </w:rPr>
        <w:t>чікується</w:t>
      </w:r>
      <w:r w:rsidRPr="00B700B2">
        <w:rPr>
          <w:rFonts w:ascii="Times New Roman" w:eastAsia="Calibri" w:hAnsi="Times New Roman" w:cs="Times New Roman"/>
          <w:sz w:val="28"/>
          <w:szCs w:val="28"/>
        </w:rPr>
        <w:t xml:space="preserve"> в розмірі:</w:t>
      </w:r>
    </w:p>
    <w:p w:rsidR="00DD782A" w:rsidRPr="00B700B2" w:rsidRDefault="00DD782A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0B2">
        <w:rPr>
          <w:rFonts w:ascii="Times New Roman" w:eastAsia="Calibri" w:hAnsi="Times New Roman" w:cs="Times New Roman"/>
          <w:bCs/>
          <w:sz w:val="28"/>
          <w:szCs w:val="28"/>
        </w:rPr>
        <w:t xml:space="preserve">11,8% 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середньорічного збільшення тарифів на перев</w:t>
      </w:r>
      <w:r w:rsidR="00B91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езення вантажів у межах України;</w:t>
      </w:r>
    </w:p>
    <w:p w:rsidR="00DD782A" w:rsidRPr="00B700B2" w:rsidRDefault="00DD782A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0B2">
        <w:rPr>
          <w:rFonts w:ascii="Times New Roman" w:eastAsia="Calibri" w:hAnsi="Times New Roman" w:cs="Times New Roman"/>
          <w:bCs/>
          <w:sz w:val="28"/>
          <w:szCs w:val="28"/>
        </w:rPr>
        <w:t xml:space="preserve">0,19 відсоткових пунктів прямого впливу на операційні витрати в промисловості, 0,70 – у добувній 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 і розроблення кар’єрів</w:t>
      </w:r>
      <w:r w:rsidRPr="00B700B2">
        <w:rPr>
          <w:rFonts w:ascii="Times New Roman" w:eastAsia="Calibri" w:hAnsi="Times New Roman" w:cs="Times New Roman"/>
          <w:bCs/>
          <w:sz w:val="28"/>
          <w:szCs w:val="28"/>
        </w:rPr>
        <w:t xml:space="preserve">, 0,11 – у металургійному виробництві, виробництві готових металевих виробів, крім машин і устаткування, 0,13 – у сільському господарстві, 0,01 – у виробництві харчових продуктів, напоїв і тютюнових виробів, 0,43 – у виробництві коксу та продуктів </w:t>
      </w:r>
      <w:proofErr w:type="spellStart"/>
      <w:r w:rsidRPr="00B700B2">
        <w:rPr>
          <w:rFonts w:ascii="Times New Roman" w:eastAsia="Calibri" w:hAnsi="Times New Roman" w:cs="Times New Roman"/>
          <w:bCs/>
          <w:sz w:val="28"/>
          <w:szCs w:val="28"/>
        </w:rPr>
        <w:t>нафтоперероблення</w:t>
      </w:r>
      <w:proofErr w:type="spellEnd"/>
      <w:r w:rsidRPr="00B700B2">
        <w:rPr>
          <w:rFonts w:ascii="Times New Roman" w:eastAsia="Calibri" w:hAnsi="Times New Roman" w:cs="Times New Roman"/>
          <w:bCs/>
          <w:sz w:val="28"/>
          <w:szCs w:val="28"/>
        </w:rPr>
        <w:t xml:space="preserve">, 0,26 – у виробництві хімічних речовин і хімічної продукції, 0,05 – у виробництві гумових і пластмасових виробів, іншої неметалевої мінеральної продукції. </w:t>
      </w:r>
    </w:p>
    <w:p w:rsidR="00DD782A" w:rsidRPr="00B700B2" w:rsidRDefault="00DD782A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</w:p>
    <w:tbl>
      <w:tblPr>
        <w:tblW w:w="101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4"/>
        <w:gridCol w:w="1134"/>
        <w:gridCol w:w="1470"/>
        <w:gridCol w:w="1396"/>
        <w:gridCol w:w="1445"/>
        <w:gridCol w:w="1345"/>
        <w:gridCol w:w="1356"/>
      </w:tblGrid>
      <w:tr w:rsidR="00B700B2" w:rsidRPr="00B700B2" w:rsidTr="0017563E">
        <w:trPr>
          <w:trHeight w:val="613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B15BF7">
            <w:pPr>
              <w:ind w:left="-142" w:firstLine="1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Вид економічної діяльності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Код за КВЕД-2010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9 місяців 2018 року</w:t>
            </w:r>
          </w:p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(дані Держстату)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2019 (прогноз),</w:t>
            </w:r>
          </w:p>
          <w:p w:rsidR="00DD782A" w:rsidRPr="00B700B2" w:rsidRDefault="00CB6B3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  <w:r w:rsidR="00DD782A"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700B2" w:rsidRPr="00B700B2" w:rsidTr="0017563E">
        <w:trPr>
          <w:trHeight w:val="1856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2A" w:rsidRPr="00B700B2" w:rsidRDefault="00DD782A" w:rsidP="00DF198A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2A" w:rsidRPr="00B700B2" w:rsidRDefault="00DD782A" w:rsidP="00DF198A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операційної діяльності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E9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Рівень рентабельності (збитковості), </w:t>
            </w:r>
          </w:p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операційної діяльності*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Збільшення державних залізничних тарифів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Влив індексації тарифів на операційні витрати, %</w:t>
            </w:r>
          </w:p>
        </w:tc>
      </w:tr>
      <w:tr w:rsidR="00B700B2" w:rsidRPr="00B700B2" w:rsidTr="0017563E">
        <w:trPr>
          <w:trHeight w:val="716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Промисловість та сільське господарство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3 492 553,4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6 314,9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</w:tr>
      <w:tr w:rsidR="00B700B2" w:rsidRPr="00B700B2" w:rsidTr="0017563E">
        <w:trPr>
          <w:trHeight w:val="51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Промисловість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B+C+D+E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2 032 266,6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2 983 367,4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5 649,1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</w:tr>
      <w:tr w:rsidR="00B700B2" w:rsidRPr="00B700B2" w:rsidTr="0017563E">
        <w:trPr>
          <w:trHeight w:val="527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Добувна промисловість і розроблення кар'єрів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218 886,6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321 325,5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2 245,6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B700B2" w:rsidRPr="00B700B2" w:rsidTr="0017563E">
        <w:trPr>
          <w:trHeight w:val="314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Переробна промисловість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1 307 253,7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1 919 048,4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00B2" w:rsidRPr="00B700B2" w:rsidTr="0017563E">
        <w:trPr>
          <w:trHeight w:val="792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виробництво харчових продуктів, напоїв і тютюнових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10+11+12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418 556,8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614 441,4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B700B2" w:rsidRPr="00B700B2" w:rsidTr="0017563E">
        <w:trPr>
          <w:trHeight w:val="792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виробництво коксу та продуктів </w:t>
            </w:r>
            <w:proofErr w:type="spellStart"/>
            <w:r w:rsidRPr="00B7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нафтоперероблення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79 340,1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116 471,3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B700B2" w:rsidRPr="00B700B2" w:rsidTr="0017563E">
        <w:trPr>
          <w:trHeight w:val="692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виробництво хімічних речовин і хімічної продукції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53 414,7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78 412,8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B700B2" w:rsidRPr="00B700B2" w:rsidTr="00563796">
        <w:trPr>
          <w:trHeight w:val="1183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22+23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109 453,4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-9,1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160 677,6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63796" w:rsidRPr="00B700B2" w:rsidTr="00563796">
        <w:trPr>
          <w:trHeight w:val="963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96" w:rsidRPr="00B700B2" w:rsidRDefault="00563796" w:rsidP="00563796">
            <w:pPr>
              <w:ind w:leftChars="-1" w:left="-2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 економічної діяльності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Код за КВЕД-2010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96" w:rsidRPr="00B700B2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9 місяців 2018 року</w:t>
            </w:r>
          </w:p>
          <w:p w:rsidR="00563796" w:rsidRPr="00B700B2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(дані </w:t>
            </w:r>
            <w:proofErr w:type="spellStart"/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Держстату</w:t>
            </w:r>
            <w:proofErr w:type="spellEnd"/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96" w:rsidRPr="00B700B2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2019 (прогноз),</w:t>
            </w:r>
          </w:p>
          <w:p w:rsidR="00563796" w:rsidRPr="00B700B2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3796" w:rsidRPr="00B700B2" w:rsidTr="00563796">
        <w:trPr>
          <w:trHeight w:val="1271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96" w:rsidRPr="00B700B2" w:rsidRDefault="00563796" w:rsidP="00DF198A">
            <w:pPr>
              <w:ind w:leftChars="-1" w:left="-2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96" w:rsidRPr="00B700B2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операційної діяльності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96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Рівень рентабельності (збитковості), </w:t>
            </w:r>
          </w:p>
          <w:p w:rsidR="00563796" w:rsidRPr="00B700B2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96" w:rsidRPr="00B700B2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операційної діяльності*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96" w:rsidRPr="00B700B2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Збільшення державних залізничних тарифів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96" w:rsidRPr="00B700B2" w:rsidRDefault="00563796" w:rsidP="00563796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Влив індексації тарифів на операційні витрати, %</w:t>
            </w:r>
          </w:p>
        </w:tc>
      </w:tr>
      <w:tr w:rsidR="00563796" w:rsidRPr="00B700B2" w:rsidTr="00563796">
        <w:trPr>
          <w:trHeight w:val="127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96" w:rsidRPr="00B700B2" w:rsidRDefault="00563796" w:rsidP="00DF198A">
            <w:pPr>
              <w:ind w:leftChars="-1" w:left="-2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металургійне виробництво, виробництво готових металевих виробів, крім машин і устаткування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24+25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96" w:rsidRPr="00B700B2" w:rsidRDefault="00563796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378 198,1 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96" w:rsidRPr="00B700B2" w:rsidRDefault="00563796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555 194,8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587,6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563796" w:rsidRPr="00B700B2" w:rsidTr="0017563E">
        <w:trPr>
          <w:trHeight w:val="503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96" w:rsidRPr="00B700B2" w:rsidRDefault="00563796" w:rsidP="00DF198A">
            <w:pPr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Сільське господарство*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96" w:rsidRPr="00B700B2" w:rsidRDefault="00563796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462 476,0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96" w:rsidRPr="00B700B2" w:rsidRDefault="00563796" w:rsidP="00DF198A">
            <w:pPr>
              <w:ind w:firstLine="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509 186,0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96" w:rsidRPr="00B700B2" w:rsidRDefault="00563796" w:rsidP="00DF198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0,13</w:t>
            </w:r>
          </w:p>
        </w:tc>
      </w:tr>
      <w:tr w:rsidR="00563796" w:rsidRPr="00B700B2" w:rsidTr="0017563E">
        <w:trPr>
          <w:trHeight w:val="503"/>
        </w:trPr>
        <w:tc>
          <w:tcPr>
            <w:tcW w:w="101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796" w:rsidRPr="00B700B2" w:rsidRDefault="00563796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* дані за 2017 рік,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рік </w:t>
            </w: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 скориговані на ІЦВ 114,2%, рентабельність для культур зернових та зернобобових</w:t>
            </w:r>
          </w:p>
        </w:tc>
      </w:tr>
      <w:tr w:rsidR="00563796" w:rsidRPr="00B700B2" w:rsidTr="0017563E">
        <w:trPr>
          <w:trHeight w:val="503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796" w:rsidRPr="00B700B2" w:rsidRDefault="00563796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** дані очікувані за 2019 рік скориговані на ІЦВ 110,1%</w:t>
            </w:r>
          </w:p>
        </w:tc>
      </w:tr>
    </w:tbl>
    <w:p w:rsidR="00836BE0" w:rsidRDefault="00836BE0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782A" w:rsidRPr="00B700B2" w:rsidRDefault="00DD782A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0B2">
        <w:rPr>
          <w:rFonts w:ascii="Times New Roman" w:eastAsia="Calibri" w:hAnsi="Times New Roman" w:cs="Times New Roman"/>
          <w:bCs/>
          <w:sz w:val="28"/>
          <w:szCs w:val="28"/>
        </w:rPr>
        <w:t>Очікувана річна зміна доходів від перевезень вантажів у 2019 році, за галузями наведена в таблиці.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3240"/>
        <w:gridCol w:w="3703"/>
        <w:gridCol w:w="2655"/>
      </w:tblGrid>
      <w:tr w:rsidR="00FD2AA4" w:rsidRPr="00A522AB" w:rsidTr="00155A1F">
        <w:trPr>
          <w:trHeight w:val="11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Галузі промисловості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Вантажі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Очікуване зростання тарифів на перевезення вантажів у 2019 році від індексації на 14,2%, </w:t>
            </w:r>
          </w:p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млн. грн</w:t>
            </w:r>
            <w:r w:rsidR="00CB6B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A522AB" w:rsidRPr="00A522AB" w:rsidTr="00155A1F">
        <w:trPr>
          <w:trHeight w:val="521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Усі вантажі, в т.ч.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6 314,9</w:t>
            </w:r>
          </w:p>
        </w:tc>
      </w:tr>
      <w:tr w:rsidR="00A522AB" w:rsidRPr="00A522AB" w:rsidTr="00A522AB">
        <w:trPr>
          <w:trHeight w:val="39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Вугільна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Вугілля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743,1</w:t>
            </w:r>
          </w:p>
        </w:tc>
      </w:tr>
      <w:tr w:rsidR="00A522AB" w:rsidRPr="00A522AB" w:rsidTr="00A522AB">
        <w:trPr>
          <w:trHeight w:val="414"/>
        </w:trPr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Гірничо-металургійна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Руда залізна, вапняк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1 153,5</w:t>
            </w:r>
          </w:p>
        </w:tc>
      </w:tr>
      <w:tr w:rsidR="00A522AB" w:rsidRPr="00A522AB" w:rsidTr="00A522AB">
        <w:trPr>
          <w:trHeight w:val="420"/>
        </w:trPr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Чорні метали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587,6</w:t>
            </w:r>
          </w:p>
        </w:tc>
      </w:tr>
      <w:tr w:rsidR="00A522AB" w:rsidRPr="00A522AB" w:rsidTr="00A522AB">
        <w:trPr>
          <w:trHeight w:val="413"/>
        </w:trPr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Кокс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113,4</w:t>
            </w:r>
          </w:p>
        </w:tc>
      </w:tr>
      <w:tr w:rsidR="00A522AB" w:rsidRPr="00A522AB" w:rsidTr="00A522AB">
        <w:trPr>
          <w:trHeight w:val="724"/>
        </w:trPr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Виробництво інших мінеральних виробів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Мінерально-будівельні вантажі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349,1</w:t>
            </w:r>
          </w:p>
        </w:tc>
      </w:tr>
      <w:tr w:rsidR="00A522AB" w:rsidRPr="00A522AB" w:rsidTr="00A522AB">
        <w:trPr>
          <w:trHeight w:val="393"/>
        </w:trPr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83,2</w:t>
            </w:r>
          </w:p>
        </w:tc>
      </w:tr>
      <w:tr w:rsidR="00A522AB" w:rsidRPr="00A522AB" w:rsidTr="00A522AB">
        <w:trPr>
          <w:trHeight w:val="511"/>
        </w:trPr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Хімічна та нафтохімічна промисловість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Нафта та темні нафтопродукти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A522AB" w:rsidRPr="00A522AB" w:rsidTr="00A522AB">
        <w:trPr>
          <w:trHeight w:val="486"/>
        </w:trPr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Світлі нафтопродукти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325,9</w:t>
            </w:r>
          </w:p>
        </w:tc>
      </w:tr>
      <w:tr w:rsidR="00A522AB" w:rsidRPr="00A522AB" w:rsidTr="00A522AB">
        <w:trPr>
          <w:trHeight w:val="605"/>
        </w:trPr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Хімічні і мінеральні добрива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104,7</w:t>
            </w:r>
          </w:p>
        </w:tc>
      </w:tr>
      <w:tr w:rsidR="00A522AB" w:rsidRPr="00A522AB" w:rsidTr="00563796">
        <w:trPr>
          <w:trHeight w:val="520"/>
        </w:trPr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Зріджені гази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563796" w:rsidRPr="00A522AB" w:rsidTr="00563796">
        <w:trPr>
          <w:trHeight w:val="8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96" w:rsidRPr="00A522AB" w:rsidRDefault="00563796" w:rsidP="00563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Галузі промисловості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96" w:rsidRPr="00A522AB" w:rsidRDefault="00563796" w:rsidP="00563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Вантажі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96" w:rsidRPr="00A522AB" w:rsidRDefault="00563796" w:rsidP="0056379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Очікуване зростання тарифів на перевезення вантажів у 2019 році від індексації на 14,2%, </w:t>
            </w:r>
          </w:p>
          <w:p w:rsidR="00563796" w:rsidRPr="00A522AB" w:rsidRDefault="00563796" w:rsidP="005637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млн. грн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A522AB" w:rsidRPr="00A522AB" w:rsidTr="00563796">
        <w:trPr>
          <w:trHeight w:val="826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Харчова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Зерно і продукти перемелу, продукти харчування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</w:tr>
      <w:tr w:rsidR="00A522AB" w:rsidRPr="00A522AB" w:rsidTr="00A522AB">
        <w:trPr>
          <w:trHeight w:val="509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Лісна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Лісові вантажі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82A" w:rsidRPr="00A522AB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2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</w:tr>
    </w:tbl>
    <w:p w:rsidR="0017563E" w:rsidRPr="00563796" w:rsidRDefault="0017563E" w:rsidP="00563796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D782A" w:rsidRDefault="00DD782A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Зміна транспортної складової в кінцевій ціні продукції за умови впровадження наказу складе від 0,04% до 0,91%.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0"/>
        <w:gridCol w:w="2795"/>
        <w:gridCol w:w="1855"/>
        <w:gridCol w:w="2250"/>
        <w:gridCol w:w="2060"/>
      </w:tblGrid>
      <w:tr w:rsidR="00836BE0" w:rsidRPr="002845B1" w:rsidTr="002845B1">
        <w:trPr>
          <w:trHeight w:val="552"/>
        </w:trPr>
        <w:tc>
          <w:tcPr>
            <w:tcW w:w="600" w:type="dxa"/>
            <w:vMerge w:val="restart"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2795" w:type="dxa"/>
            <w:vMerge w:val="restart"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вантажів</w:t>
            </w:r>
          </w:p>
        </w:tc>
        <w:tc>
          <w:tcPr>
            <w:tcW w:w="4105" w:type="dxa"/>
            <w:gridSpan w:val="2"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транспортної складової в кінцевій ціні продукції в умовах</w:t>
            </w:r>
          </w:p>
        </w:tc>
        <w:tc>
          <w:tcPr>
            <w:tcW w:w="2060" w:type="dxa"/>
            <w:vMerge w:val="restart"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</w:p>
        </w:tc>
      </w:tr>
      <w:tr w:rsidR="002845B1" w:rsidRPr="002845B1" w:rsidTr="002845B1">
        <w:trPr>
          <w:trHeight w:val="458"/>
        </w:trPr>
        <w:tc>
          <w:tcPr>
            <w:tcW w:w="600" w:type="dxa"/>
            <w:vMerge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 w:val="restart"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діючих тарифів,</w:t>
            </w:r>
          </w:p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50" w:type="dxa"/>
            <w:vMerge w:val="restart"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 тарифів з дня офіційного опублікування,</w:t>
            </w: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%%</w:t>
            </w:r>
          </w:p>
        </w:tc>
        <w:tc>
          <w:tcPr>
            <w:tcW w:w="2060" w:type="dxa"/>
            <w:vMerge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BE0" w:rsidRPr="002845B1" w:rsidTr="002845B1">
        <w:trPr>
          <w:trHeight w:val="581"/>
        </w:trPr>
        <w:tc>
          <w:tcPr>
            <w:tcW w:w="600" w:type="dxa"/>
            <w:vMerge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82A" w:rsidRPr="002845B1" w:rsidRDefault="00DD782A" w:rsidP="00DF19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(гр.4 - гр.3)</w:t>
            </w:r>
          </w:p>
        </w:tc>
      </w:tr>
      <w:tr w:rsidR="002845B1" w:rsidRPr="002845B1" w:rsidTr="002845B1">
        <w:trPr>
          <w:trHeight w:val="203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залізна (агломерат)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гематит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Обкотиші</w:t>
            </w:r>
            <w:proofErr w:type="spellEnd"/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Чорні метали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Зернові (пшениця) 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Вапняк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Брухт чорних металів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Щебінь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27,93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2845B1" w:rsidRPr="002845B1" w:rsidTr="002845B1">
        <w:trPr>
          <w:trHeight w:val="338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Цукор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845B1" w:rsidRPr="002845B1" w:rsidTr="002845B1">
        <w:trPr>
          <w:trHeight w:val="132"/>
        </w:trPr>
        <w:tc>
          <w:tcPr>
            <w:tcW w:w="60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9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</w:t>
            </w:r>
          </w:p>
        </w:tc>
        <w:tc>
          <w:tcPr>
            <w:tcW w:w="1855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225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2060" w:type="dxa"/>
            <w:hideMark/>
          </w:tcPr>
          <w:p w:rsidR="00DD782A" w:rsidRPr="002845B1" w:rsidRDefault="00DD782A" w:rsidP="00DF19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</w:tbl>
    <w:p w:rsidR="00DD782A" w:rsidRPr="00F224A3" w:rsidRDefault="00DD782A" w:rsidP="00DF198A">
      <w:pPr>
        <w:widowControl w:val="0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96" w:rsidRDefault="00563796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5B1" w:rsidRDefault="00DD782A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Вплив індексації тарифів на вантажні залізничні перевезення з березня 2019  року на 14,2% на ціну продукції у 2019 році складе від 0,2 до 1,1%, крім щебню та вапняку. Враховуючи низьку ціну, вплив складе лише 18,0 і 19,0</w:t>
      </w:r>
      <w:r w:rsidR="004C638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700B2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r w:rsidR="004C6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700B2">
        <w:rPr>
          <w:rFonts w:ascii="Times New Roman" w:eastAsia="Calibri" w:hAnsi="Times New Roman" w:cs="Times New Roman"/>
          <w:sz w:val="28"/>
          <w:szCs w:val="28"/>
          <w:lang w:eastAsia="ru-RU"/>
        </w:rPr>
        <w:t>на тонну відповідно.</w:t>
      </w:r>
    </w:p>
    <w:p w:rsidR="00F224A3" w:rsidRPr="0017563E" w:rsidRDefault="00F224A3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</w:p>
    <w:tbl>
      <w:tblPr>
        <w:tblW w:w="9604" w:type="dxa"/>
        <w:tblLook w:val="04A0" w:firstRow="1" w:lastRow="0" w:firstColumn="1" w:lastColumn="0" w:noHBand="0" w:noVBand="1"/>
      </w:tblPr>
      <w:tblGrid>
        <w:gridCol w:w="1594"/>
        <w:gridCol w:w="900"/>
        <w:gridCol w:w="1592"/>
        <w:gridCol w:w="818"/>
        <w:gridCol w:w="766"/>
        <w:gridCol w:w="1592"/>
        <w:gridCol w:w="818"/>
        <w:gridCol w:w="1612"/>
      </w:tblGrid>
      <w:tr w:rsidR="00B700B2" w:rsidRPr="00B700B2" w:rsidTr="00591081">
        <w:trPr>
          <w:trHeight w:val="844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Найменування вантажів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Тариф, грн./тонну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Середня ціна,</w:t>
            </w:r>
          </w:p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(прогноз на 2019 рік),</w:t>
            </w:r>
          </w:p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 грн/т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Вплив індексації тарифів на ціну, %</w:t>
            </w:r>
          </w:p>
        </w:tc>
      </w:tr>
      <w:tr w:rsidR="00B700B2" w:rsidRPr="00B700B2" w:rsidTr="00591081">
        <w:trPr>
          <w:trHeight w:val="984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діючий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з дня офіційного опублікування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Зміни, (+/-)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діюча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з дня офіційного опублікування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Зміни, (+/-)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0B2" w:rsidRPr="00B700B2" w:rsidTr="00EA4690">
        <w:trPr>
          <w:trHeight w:val="22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Вугілля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3468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700B2" w:rsidRPr="00B700B2" w:rsidTr="00EA4690">
        <w:trPr>
          <w:trHeight w:val="61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Руда залізна (агломерат), в т.ч.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133,8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       Гематит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126,2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2081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Обкотиші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3474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3825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700B2" w:rsidRPr="00B700B2" w:rsidTr="00EA4690">
        <w:trPr>
          <w:trHeight w:val="33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Чорні метали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265,7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17872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19677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700B2" w:rsidRPr="00B700B2" w:rsidTr="00EA4690">
        <w:trPr>
          <w:trHeight w:val="63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 xml:space="preserve">Зернові (пшениця)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169,7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6338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6978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Вапняк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157,6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276,7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23333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25690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2357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Кокс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157,8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6875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7569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700B2" w:rsidRPr="00B700B2" w:rsidTr="00EA4690">
        <w:trPr>
          <w:trHeight w:val="33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Цемент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2147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700B2" w:rsidRPr="00B700B2" w:rsidTr="00EA4690">
        <w:trPr>
          <w:trHeight w:val="63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Брухт чорних металів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283,3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323,5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7375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8120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Нафта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272,6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311,3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14888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16392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1504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Щебінь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Цукор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164,8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9359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700B2" w:rsidRPr="00B700B2" w:rsidTr="00EA4690">
        <w:trPr>
          <w:trHeight w:val="31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Сіль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166,9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1679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A" w:rsidRPr="00B700B2" w:rsidRDefault="00DD782A" w:rsidP="00DF1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C824A3" w:rsidRDefault="00C824A3" w:rsidP="00DA08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78B" w:rsidRPr="00DD078B" w:rsidRDefault="00DD078B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сферу інтересів суб’єктів господарювання.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543"/>
      </w:tblGrid>
      <w:tr w:rsidR="00DD078B" w:rsidRPr="00DD078B" w:rsidTr="0052760E">
        <w:trPr>
          <w:trHeight w:val="962"/>
        </w:trPr>
        <w:tc>
          <w:tcPr>
            <w:tcW w:w="2376" w:type="dxa"/>
            <w:vAlign w:val="center"/>
          </w:tcPr>
          <w:p w:rsidR="00DD078B" w:rsidRPr="00DD078B" w:rsidRDefault="00DD078B" w:rsidP="00DF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8B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828" w:type="dxa"/>
          </w:tcPr>
          <w:p w:rsidR="00DD078B" w:rsidRPr="00DD078B" w:rsidRDefault="00DD078B" w:rsidP="00DF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8B" w:rsidRPr="00DD078B" w:rsidRDefault="00DD078B" w:rsidP="00DF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8B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  <w:p w:rsidR="00DD078B" w:rsidRPr="00DD078B" w:rsidRDefault="00DD078B" w:rsidP="00DF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D078B" w:rsidRPr="00DD078B" w:rsidRDefault="00DD078B" w:rsidP="00DF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8B" w:rsidRPr="00DD078B" w:rsidRDefault="00DD078B" w:rsidP="00DF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8B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DD078B" w:rsidRPr="00DD078B" w:rsidTr="003F7A48">
        <w:trPr>
          <w:trHeight w:val="699"/>
        </w:trPr>
        <w:tc>
          <w:tcPr>
            <w:tcW w:w="2376" w:type="dxa"/>
          </w:tcPr>
          <w:p w:rsidR="00DD078B" w:rsidRPr="00706897" w:rsidRDefault="00DD078B" w:rsidP="00DF198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3828" w:type="dxa"/>
          </w:tcPr>
          <w:p w:rsidR="00E62D7A" w:rsidRPr="00706897" w:rsidRDefault="00E62D7A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Можливість зниження ціни реалізації продукції або отримання додаткових прибутків вантажовласниками за рахунок низьких державн</w:t>
            </w:r>
            <w:r w:rsidR="003F7A4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регульованих </w:t>
            </w:r>
            <w:r w:rsidR="00585E53" w:rsidRPr="00706897">
              <w:rPr>
                <w:rFonts w:ascii="Times New Roman" w:hAnsi="Times New Roman" w:cs="Times New Roman"/>
                <w:sz w:val="28"/>
                <w:szCs w:val="28"/>
              </w:rPr>
              <w:t>тарифів.</w:t>
            </w:r>
          </w:p>
          <w:p w:rsidR="00DD078B" w:rsidRPr="00706897" w:rsidRDefault="00E62D7A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078B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меншення частки транспортної складової у ціні виробленої продукції </w:t>
            </w:r>
            <w:r w:rsidR="00DD078B" w:rsidRPr="0070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користувачів залізничних послуг</w:t>
            </w:r>
            <w:r w:rsidR="00BC7E87" w:rsidRPr="00706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78B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78B" w:rsidRPr="00706897" w:rsidRDefault="00DD078B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D078B" w:rsidRPr="00706897" w:rsidRDefault="00DD078B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Погіршення умов безпеки при перевезенні вантажів та якості послуг у зв’язку</w:t>
            </w:r>
            <w:r w:rsidR="002944C9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4C9"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нестачею коштів на ремонти, модернізацію та оновлення основних фондів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78B" w:rsidRPr="00706897" w:rsidRDefault="00DD078B" w:rsidP="00DF198A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незабезпечення у повній мірі потреб вантажовласників </w:t>
            </w:r>
            <w:r w:rsidR="00BC7E87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C7E87" w:rsidRPr="0070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необхідних 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обсягах перевезень вантажів;</w:t>
            </w:r>
          </w:p>
          <w:p w:rsidR="00DD078B" w:rsidRPr="00706897" w:rsidRDefault="00DD078B" w:rsidP="00DF198A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загальне скорочення перевізних можливостей залізничної мережі.</w:t>
            </w:r>
          </w:p>
          <w:p w:rsidR="00DD078B" w:rsidRPr="00706897" w:rsidRDefault="00DD078B" w:rsidP="003F7A4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фінансові </w:t>
            </w:r>
            <w:r w:rsidR="003F7A4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залізничні 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витрати у вантажо</w:t>
            </w:r>
            <w:r w:rsidR="003F7A48">
              <w:rPr>
                <w:rFonts w:ascii="Times New Roman" w:hAnsi="Times New Roman" w:cs="Times New Roman"/>
                <w:sz w:val="28"/>
                <w:szCs w:val="28"/>
              </w:rPr>
              <w:t>власників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не виникають.</w:t>
            </w:r>
          </w:p>
        </w:tc>
      </w:tr>
      <w:tr w:rsidR="00DD078B" w:rsidRPr="00DD078B" w:rsidTr="0052760E">
        <w:trPr>
          <w:trHeight w:val="841"/>
        </w:trPr>
        <w:tc>
          <w:tcPr>
            <w:tcW w:w="2376" w:type="dxa"/>
          </w:tcPr>
          <w:p w:rsidR="00DD078B" w:rsidRPr="00706897" w:rsidRDefault="00DD078B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</w:tc>
        <w:tc>
          <w:tcPr>
            <w:tcW w:w="3828" w:type="dxa"/>
          </w:tcPr>
          <w:p w:rsidR="004A4CAF" w:rsidRPr="00706897" w:rsidRDefault="004A4CAF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Покращення ситуації з забезпеченням потреб вантажовласників у перевезенні вантажів.</w:t>
            </w:r>
          </w:p>
          <w:p w:rsidR="00DD078B" w:rsidRPr="00706897" w:rsidRDefault="00DD078B" w:rsidP="003F7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Покращення якості посл</w:t>
            </w:r>
            <w:r w:rsidR="00C02380" w:rsidRPr="00706897">
              <w:rPr>
                <w:rFonts w:ascii="Times New Roman" w:hAnsi="Times New Roman" w:cs="Times New Roman"/>
                <w:sz w:val="28"/>
                <w:szCs w:val="28"/>
              </w:rPr>
              <w:t>уг за рахунок направлення</w:t>
            </w:r>
            <w:r w:rsidR="00C02380"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коштів на ремонти, модернізацію та </w:t>
            </w:r>
            <w:r w:rsidR="00D73E2B"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основних фондів,</w:t>
            </w:r>
            <w:r w:rsidR="003F7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E2B" w:rsidRPr="00706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утримання інфраструктури залізничного транспорту в належному стані.</w:t>
            </w:r>
          </w:p>
        </w:tc>
        <w:tc>
          <w:tcPr>
            <w:tcW w:w="3543" w:type="dxa"/>
          </w:tcPr>
          <w:p w:rsidR="00DD078B" w:rsidRPr="00706897" w:rsidRDefault="00DD078B" w:rsidP="003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витрат </w:t>
            </w:r>
            <w:r w:rsidR="00EE15B4" w:rsidRPr="00706897">
              <w:rPr>
                <w:rFonts w:ascii="Times New Roman" w:hAnsi="Times New Roman" w:cs="Times New Roman"/>
                <w:sz w:val="28"/>
                <w:szCs w:val="28"/>
              </w:rPr>
              <w:t>вантажо</w:t>
            </w:r>
            <w:r w:rsidR="003F7A48">
              <w:rPr>
                <w:rFonts w:ascii="Times New Roman" w:hAnsi="Times New Roman" w:cs="Times New Roman"/>
                <w:sz w:val="28"/>
                <w:szCs w:val="28"/>
              </w:rPr>
              <w:t xml:space="preserve">власників 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</w:t>
            </w:r>
            <w:r w:rsidR="008813A8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послуг за 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перевезен</w:t>
            </w:r>
            <w:r w:rsidR="008813A8" w:rsidRPr="00706897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вантажів залізничним транспортом</w:t>
            </w:r>
            <w:r w:rsidR="00EE15B4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у середньорічному розрахунку на 6,315 млрд грн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D078B" w:rsidRPr="00DD078B" w:rsidTr="0052760E">
        <w:trPr>
          <w:trHeight w:val="1493"/>
        </w:trPr>
        <w:tc>
          <w:tcPr>
            <w:tcW w:w="2376" w:type="dxa"/>
          </w:tcPr>
          <w:p w:rsidR="00DD078B" w:rsidRPr="00706897" w:rsidRDefault="00DD078B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3828" w:type="dxa"/>
          </w:tcPr>
          <w:p w:rsidR="00DD078B" w:rsidRPr="00706897" w:rsidRDefault="00DD078B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Забезпечення потреб вантажовласників у перевезенні вантажів;  здійснення оновлення локомотивної тяги та утримання в належному стані залізничної інфраструктури;</w:t>
            </w:r>
          </w:p>
          <w:p w:rsidR="00DD078B" w:rsidRPr="00706897" w:rsidRDefault="00DD078B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забезпечення умов безпечного перевезення вантажів.</w:t>
            </w:r>
          </w:p>
        </w:tc>
        <w:tc>
          <w:tcPr>
            <w:tcW w:w="3543" w:type="dxa"/>
          </w:tcPr>
          <w:p w:rsidR="00DD078B" w:rsidRPr="00706897" w:rsidRDefault="00DD078B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Збільшення витрат</w:t>
            </w:r>
            <w:r w:rsidR="008813A8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вантажовласників 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на оплату</w:t>
            </w:r>
            <w:r w:rsidR="008813A8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послуг з 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перевезен</w:t>
            </w:r>
            <w:r w:rsidR="008813A8" w:rsidRPr="00706897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вантажів залізничним транспортом</w:t>
            </w:r>
            <w:r w:rsidR="00C523F9">
              <w:rPr>
                <w:rFonts w:ascii="Times New Roman" w:hAnsi="Times New Roman" w:cs="Times New Roman"/>
                <w:sz w:val="28"/>
                <w:szCs w:val="28"/>
              </w:rPr>
              <w:t xml:space="preserve"> на 11,1 млрд</w:t>
            </w:r>
            <w:r w:rsidR="008813A8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C52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078B" w:rsidRPr="00706897" w:rsidTr="0052760E">
        <w:trPr>
          <w:trHeight w:val="418"/>
        </w:trPr>
        <w:tc>
          <w:tcPr>
            <w:tcW w:w="2376" w:type="dxa"/>
          </w:tcPr>
          <w:p w:rsidR="00DD078B" w:rsidRPr="00706897" w:rsidRDefault="00DD078B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Альтернатива 4</w:t>
            </w:r>
          </w:p>
        </w:tc>
        <w:tc>
          <w:tcPr>
            <w:tcW w:w="3828" w:type="dxa"/>
          </w:tcPr>
          <w:p w:rsidR="00911151" w:rsidRPr="00706897" w:rsidRDefault="00911151" w:rsidP="00DF1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06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Забезпечення нового рівня якості послуг за рахунок оновлення інфраструктури, модернізації та оновлення рухомого складу перевізника.</w:t>
            </w:r>
          </w:p>
          <w:p w:rsidR="00911151" w:rsidRPr="00706897" w:rsidRDefault="00911151" w:rsidP="00DF1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06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Можливість нарощення обсягів виробництва певними галузями економіки за рахунок розширення перевізних можливостей АТ</w:t>
            </w:r>
            <w:r w:rsidR="00B820E7" w:rsidRPr="00706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Pr="00706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«Укрзалізниця».</w:t>
            </w:r>
          </w:p>
          <w:p w:rsidR="00911151" w:rsidRPr="00706897" w:rsidRDefault="00DD078B" w:rsidP="00DF1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06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Повне забезпечення потреб вантажов</w:t>
            </w:r>
            <w:r w:rsidR="00C251BD" w:rsidRPr="00706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ласників у перевезенні вантажів, </w:t>
            </w:r>
            <w:r w:rsidR="00C251BD" w:rsidRPr="00706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скорочення термінів доставки вантажів.</w:t>
            </w:r>
          </w:p>
        </w:tc>
        <w:tc>
          <w:tcPr>
            <w:tcW w:w="3543" w:type="dxa"/>
          </w:tcPr>
          <w:p w:rsidR="009E1CB8" w:rsidRPr="00706897" w:rsidRDefault="00E426B2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Збільшення витрат вантажовласників на оплату послуг з  перевезення вантажів залізничним транспортом </w:t>
            </w:r>
            <w:r w:rsidR="00DD078B" w:rsidRPr="00706897">
              <w:rPr>
                <w:rFonts w:ascii="Times New Roman" w:hAnsi="Times New Roman" w:cs="Times New Roman"/>
                <w:sz w:val="28"/>
                <w:szCs w:val="28"/>
              </w:rPr>
              <w:t>129,4 млрд грн</w:t>
            </w:r>
            <w:r w:rsidR="009E1CB8" w:rsidRPr="00706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1CB8" w:rsidRPr="00706897" w:rsidRDefault="00247FAF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1CB8" w:rsidRPr="00706897">
              <w:rPr>
                <w:rFonts w:ascii="Times New Roman" w:hAnsi="Times New Roman" w:cs="Times New Roman"/>
                <w:sz w:val="28"/>
                <w:szCs w:val="28"/>
              </w:rPr>
              <w:t>адмірне фінансове навантаження на вантажо</w:t>
            </w:r>
            <w:r w:rsidR="003F7A48">
              <w:rPr>
                <w:rFonts w:ascii="Times New Roman" w:hAnsi="Times New Roman" w:cs="Times New Roman"/>
                <w:sz w:val="28"/>
                <w:szCs w:val="28"/>
              </w:rPr>
              <w:t>власників,</w:t>
            </w:r>
            <w:r w:rsidR="009E1CB8"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 що призведе до суттєвого збільшення витрат на перевезення вантажів та цін на вироблену продукцію, знизивши </w:t>
            </w:r>
            <w:r w:rsidR="009E1CB8" w:rsidRPr="0070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конкуренто</w:t>
            </w:r>
            <w:r w:rsidR="007E4201" w:rsidRPr="00706897">
              <w:rPr>
                <w:rFonts w:ascii="Times New Roman" w:hAnsi="Times New Roman" w:cs="Times New Roman"/>
                <w:sz w:val="28"/>
                <w:szCs w:val="28"/>
              </w:rPr>
              <w:t>спроможність вироблених товарів.</w:t>
            </w:r>
          </w:p>
          <w:p w:rsidR="00DD078B" w:rsidRPr="00706897" w:rsidRDefault="009E1CB8" w:rsidP="00DF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 xml:space="preserve">Зниження обсягів реалізації продукції, зменшення кількості робочих місць та закриття окремих </w:t>
            </w:r>
            <w:r w:rsidR="00630B80" w:rsidRPr="00706897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r w:rsidRPr="00706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4201" w:rsidRPr="007E4201" w:rsidRDefault="007E4201" w:rsidP="00DA0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4CD" w:rsidRPr="00B700B2" w:rsidRDefault="009B74CD" w:rsidP="00DA0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B2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  <w:r w:rsidR="009E049E" w:rsidRPr="00B700B2">
        <w:rPr>
          <w:rFonts w:ascii="Times New Roman" w:hAnsi="Times New Roman" w:cs="Times New Roman"/>
          <w:sz w:val="28"/>
          <w:szCs w:val="28"/>
        </w:rPr>
        <w:t>.</w:t>
      </w:r>
      <w:r w:rsidRPr="00B700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6"/>
        <w:gridCol w:w="1527"/>
        <w:gridCol w:w="1547"/>
        <w:gridCol w:w="1494"/>
        <w:gridCol w:w="1364"/>
        <w:gridCol w:w="1513"/>
      </w:tblGrid>
      <w:tr w:rsidR="00A05CB9" w:rsidRPr="00B700B2" w:rsidTr="0017563E">
        <w:tc>
          <w:tcPr>
            <w:tcW w:w="2256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527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547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494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364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1513" w:type="dxa"/>
          </w:tcPr>
          <w:p w:rsidR="009B74CD" w:rsidRPr="00B700B2" w:rsidRDefault="009B74CD" w:rsidP="00E6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B700B2" w:rsidRPr="00B700B2" w:rsidTr="0017563E">
        <w:tc>
          <w:tcPr>
            <w:tcW w:w="2256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одиниць*</w:t>
            </w:r>
          </w:p>
        </w:tc>
        <w:tc>
          <w:tcPr>
            <w:tcW w:w="1527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547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494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9B74CD" w:rsidRPr="00B700B2" w:rsidRDefault="00E56A56" w:rsidP="00DA08C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529E3" w:rsidRPr="00B700B2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  <w:tr w:rsidR="00A05CB9" w:rsidRPr="00B700B2" w:rsidTr="0017563E">
        <w:tc>
          <w:tcPr>
            <w:tcW w:w="2256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527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547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494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9B74CD" w:rsidRPr="00B700B2" w:rsidRDefault="009B74CD" w:rsidP="00DF198A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9B74CD" w:rsidRPr="00B700B2" w:rsidRDefault="009B74CD" w:rsidP="00E6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B74CD" w:rsidRPr="00B700B2" w:rsidRDefault="00746A6B" w:rsidP="00DA08C4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B2">
        <w:rPr>
          <w:rFonts w:ascii="Times New Roman" w:hAnsi="Times New Roman" w:cs="Times New Roman"/>
          <w:sz w:val="24"/>
          <w:szCs w:val="24"/>
        </w:rPr>
        <w:t>*</w:t>
      </w:r>
      <w:r w:rsidR="0029197B" w:rsidRPr="00B700B2">
        <w:rPr>
          <w:rFonts w:ascii="Times New Roman" w:hAnsi="Times New Roman" w:cs="Times New Roman"/>
          <w:sz w:val="24"/>
          <w:szCs w:val="24"/>
        </w:rPr>
        <w:t>К</w:t>
      </w:r>
      <w:r w:rsidR="009B74CD" w:rsidRPr="00B700B2">
        <w:rPr>
          <w:rFonts w:ascii="Times New Roman" w:hAnsi="Times New Roman" w:cs="Times New Roman"/>
          <w:sz w:val="24"/>
          <w:szCs w:val="24"/>
        </w:rPr>
        <w:t>ількість суб’єктів господарювання, що підпадають під дію регул</w:t>
      </w:r>
      <w:r w:rsidR="0029197B" w:rsidRPr="00B700B2">
        <w:rPr>
          <w:rFonts w:ascii="Times New Roman" w:hAnsi="Times New Roman" w:cs="Times New Roman"/>
          <w:sz w:val="24"/>
          <w:szCs w:val="24"/>
        </w:rPr>
        <w:t>ювання, за групами визначити не</w:t>
      </w:r>
      <w:r w:rsidR="009B74CD" w:rsidRPr="00B700B2">
        <w:rPr>
          <w:rFonts w:ascii="Times New Roman" w:hAnsi="Times New Roman" w:cs="Times New Roman"/>
          <w:sz w:val="24"/>
          <w:szCs w:val="24"/>
        </w:rPr>
        <w:t>можливо, оскільки</w:t>
      </w:r>
      <w:r w:rsidR="0029197B" w:rsidRPr="00B700B2">
        <w:rPr>
          <w:rFonts w:ascii="Times New Roman" w:hAnsi="Times New Roman" w:cs="Times New Roman"/>
          <w:sz w:val="24"/>
          <w:szCs w:val="24"/>
        </w:rPr>
        <w:t>,</w:t>
      </w:r>
      <w:r w:rsidR="009B74CD" w:rsidRPr="00B700B2">
        <w:rPr>
          <w:rFonts w:ascii="Times New Roman" w:hAnsi="Times New Roman" w:cs="Times New Roman"/>
          <w:sz w:val="24"/>
          <w:szCs w:val="24"/>
        </w:rPr>
        <w:t xml:space="preserve"> за інформацією Держстату</w:t>
      </w:r>
      <w:r w:rsidR="0029197B" w:rsidRPr="00B700B2">
        <w:rPr>
          <w:rFonts w:ascii="Times New Roman" w:hAnsi="Times New Roman" w:cs="Times New Roman"/>
          <w:sz w:val="24"/>
          <w:szCs w:val="24"/>
        </w:rPr>
        <w:t>,</w:t>
      </w:r>
      <w:r w:rsidR="009B74CD" w:rsidRPr="00B700B2">
        <w:rPr>
          <w:rFonts w:ascii="Times New Roman" w:hAnsi="Times New Roman" w:cs="Times New Roman"/>
          <w:sz w:val="24"/>
          <w:szCs w:val="24"/>
        </w:rPr>
        <w:t xml:space="preserve"> суб’єкт господарювання може </w:t>
      </w:r>
      <w:r w:rsidR="0029197B" w:rsidRPr="00B700B2">
        <w:rPr>
          <w:rFonts w:ascii="Times New Roman" w:hAnsi="Times New Roman" w:cs="Times New Roman"/>
          <w:sz w:val="24"/>
          <w:szCs w:val="24"/>
        </w:rPr>
        <w:t>належат</w:t>
      </w:r>
      <w:r w:rsidR="00F97655" w:rsidRPr="00B700B2">
        <w:rPr>
          <w:rFonts w:ascii="Times New Roman" w:hAnsi="Times New Roman" w:cs="Times New Roman"/>
          <w:sz w:val="24"/>
          <w:szCs w:val="24"/>
        </w:rPr>
        <w:t>и</w:t>
      </w:r>
      <w:r w:rsidR="0029197B" w:rsidRPr="00B700B2">
        <w:rPr>
          <w:rFonts w:ascii="Times New Roman" w:hAnsi="Times New Roman" w:cs="Times New Roman"/>
          <w:sz w:val="24"/>
          <w:szCs w:val="24"/>
        </w:rPr>
        <w:t xml:space="preserve"> </w:t>
      </w:r>
      <w:r w:rsidR="009B74CD" w:rsidRPr="00B700B2">
        <w:rPr>
          <w:rFonts w:ascii="Times New Roman" w:hAnsi="Times New Roman" w:cs="Times New Roman"/>
          <w:sz w:val="24"/>
          <w:szCs w:val="24"/>
        </w:rPr>
        <w:t xml:space="preserve">до групи «Великі», при цьому частка перевезень залізничним транспортом </w:t>
      </w:r>
      <w:r w:rsidR="0029197B" w:rsidRPr="00B700B2">
        <w:rPr>
          <w:rFonts w:ascii="Times New Roman" w:hAnsi="Times New Roman" w:cs="Times New Roman"/>
          <w:sz w:val="24"/>
          <w:szCs w:val="24"/>
        </w:rPr>
        <w:t xml:space="preserve">буде </w:t>
      </w:r>
      <w:r w:rsidR="009B74CD" w:rsidRPr="00B700B2">
        <w:rPr>
          <w:rFonts w:ascii="Times New Roman" w:hAnsi="Times New Roman" w:cs="Times New Roman"/>
          <w:sz w:val="24"/>
          <w:szCs w:val="24"/>
        </w:rPr>
        <w:t>зовсім незначна, та навпаки.</w:t>
      </w:r>
    </w:p>
    <w:p w:rsidR="00A9412B" w:rsidRPr="00E90CE2" w:rsidRDefault="00A9412B" w:rsidP="00DA08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97"/>
        <w:gridCol w:w="3969"/>
      </w:tblGrid>
      <w:tr w:rsidR="00A9412B" w:rsidRPr="00A9412B" w:rsidTr="004C0715">
        <w:trPr>
          <w:trHeight w:val="619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2B" w:rsidRPr="00A9412B" w:rsidRDefault="00A9412B" w:rsidP="00DF198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Сумарні</w:t>
            </w:r>
            <w:proofErr w:type="spellEnd"/>
            <w:r w:rsidRPr="00A9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9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A9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альтернативами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2B" w:rsidRPr="00A9412B" w:rsidRDefault="0052760E" w:rsidP="00DF198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млрд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A9412B" w:rsidRPr="00A9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*</w:t>
            </w:r>
          </w:p>
        </w:tc>
      </w:tr>
      <w:tr w:rsidR="00A9412B" w:rsidRPr="00A9412B" w:rsidTr="004C0715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B" w:rsidRPr="00A9412B" w:rsidRDefault="000B121A" w:rsidP="00DF19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Альтернатива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B" w:rsidRPr="00A9412B" w:rsidRDefault="00A9412B" w:rsidP="00DF19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</w:t>
            </w:r>
            <w:proofErr w:type="spellStart"/>
            <w:r w:rsidRPr="00A9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Відсутні</w:t>
            </w:r>
            <w:proofErr w:type="spellEnd"/>
          </w:p>
        </w:tc>
      </w:tr>
      <w:tr w:rsidR="00A9412B" w:rsidRPr="00A9412B" w:rsidTr="004C0715">
        <w:trPr>
          <w:trHeight w:val="55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B" w:rsidRPr="00A9412B" w:rsidRDefault="000B121A" w:rsidP="00DF19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Альтернатива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B" w:rsidRPr="00A9412B" w:rsidRDefault="00A9412B" w:rsidP="00DF198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6,315</w:t>
            </w:r>
          </w:p>
        </w:tc>
      </w:tr>
      <w:tr w:rsidR="00A9412B" w:rsidRPr="00A9412B" w:rsidTr="004C0715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B" w:rsidRPr="00A9412B" w:rsidRDefault="00A9412B" w:rsidP="00DF19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Альтернатива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B" w:rsidRPr="00A9412B" w:rsidRDefault="00A9412B" w:rsidP="00DF198A">
            <w:pPr>
              <w:tabs>
                <w:tab w:val="left" w:pos="142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11,1</w:t>
            </w:r>
          </w:p>
        </w:tc>
      </w:tr>
      <w:tr w:rsidR="00A9412B" w:rsidRPr="00A9412B" w:rsidTr="004C0715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B" w:rsidRPr="00A9412B" w:rsidRDefault="00A9412B" w:rsidP="00DF19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Альтернатива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B" w:rsidRPr="00A9412B" w:rsidRDefault="00A9412B" w:rsidP="00DF198A">
            <w:pPr>
              <w:tabs>
                <w:tab w:val="left" w:pos="142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129,4</w:t>
            </w:r>
          </w:p>
        </w:tc>
      </w:tr>
    </w:tbl>
    <w:p w:rsidR="00E65CF3" w:rsidRDefault="00E65CF3" w:rsidP="00E65CF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B700B2" w:rsidRDefault="0085026E" w:rsidP="00E65CF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692DA5"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Вибір найбільш оптимального альтернативного способу досягнення цілей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835"/>
      </w:tblGrid>
      <w:tr w:rsidR="00F978D8" w:rsidRPr="00B700B2" w:rsidTr="000C7EC1">
        <w:tc>
          <w:tcPr>
            <w:tcW w:w="2263" w:type="dxa"/>
            <w:vAlign w:val="center"/>
          </w:tcPr>
          <w:p w:rsidR="0085026E" w:rsidRPr="00B700B2" w:rsidRDefault="0085026E" w:rsidP="00DF19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  <w:vAlign w:val="center"/>
          </w:tcPr>
          <w:p w:rsidR="0085026E" w:rsidRPr="00B700B2" w:rsidRDefault="0085026E" w:rsidP="00DF19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Бал результативності (за чотирибальною системою оцін</w:t>
            </w:r>
            <w:r w:rsidR="00863C80"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ювання</w:t>
            </w: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85026E" w:rsidRPr="00B700B2" w:rsidRDefault="0085026E" w:rsidP="00DF19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B700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B700B2" w:rsidRPr="00B700B2" w:rsidTr="000C7EC1">
        <w:tc>
          <w:tcPr>
            <w:tcW w:w="2263" w:type="dxa"/>
            <w:tcBorders>
              <w:bottom w:val="single" w:sz="4" w:space="0" w:color="auto"/>
            </w:tcBorders>
          </w:tcPr>
          <w:p w:rsidR="0085026E" w:rsidRPr="00B700B2" w:rsidRDefault="0085026E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</w:t>
            </w:r>
            <w:r w:rsidR="004D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1</w:t>
            </w:r>
          </w:p>
          <w:p w:rsidR="0085026E" w:rsidRPr="00B700B2" w:rsidRDefault="0085026E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26E" w:rsidRPr="00B700B2" w:rsidRDefault="0085026E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C0715" w:rsidRPr="004C0715" w:rsidRDefault="004C0715" w:rsidP="00DF198A">
            <w:pPr>
              <w:pStyle w:val="af"/>
              <w:widowControl w:val="0"/>
              <w:shd w:val="clear" w:color="auto" w:fill="FFFFFF"/>
              <w:ind w:left="91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C07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Оскільки збереження чинного </w:t>
            </w:r>
            <w:r w:rsidRPr="004C07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регулювання призведе до:</w:t>
            </w:r>
          </w:p>
          <w:p w:rsidR="004C0715" w:rsidRPr="004C0715" w:rsidRDefault="004C0715" w:rsidP="00DF198A">
            <w:pPr>
              <w:pStyle w:val="af"/>
              <w:widowControl w:val="0"/>
              <w:shd w:val="clear" w:color="auto" w:fill="FFFFFF"/>
              <w:ind w:left="91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C07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відсутності можливості з</w:t>
            </w:r>
            <w:r w:rsidR="003F7A4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міни рівня </w:t>
            </w:r>
            <w:r w:rsidRPr="004C07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вантажних тарифів </w:t>
            </w:r>
            <w:r w:rsidR="003F7A4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навіть </w:t>
            </w:r>
            <w:r w:rsidRPr="004C07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на </w:t>
            </w:r>
            <w:r w:rsidR="003F7A4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мінімальний рівень</w:t>
            </w:r>
            <w:r w:rsidRPr="004C07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; </w:t>
            </w:r>
          </w:p>
          <w:p w:rsidR="004C0715" w:rsidRPr="004C0715" w:rsidRDefault="004C0715" w:rsidP="00DF198A">
            <w:pPr>
              <w:pStyle w:val="af"/>
              <w:widowControl w:val="0"/>
              <w:shd w:val="clear" w:color="auto" w:fill="FFFFFF"/>
              <w:ind w:left="91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C07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невідповідності положенням Порядку перегляду тарифів щодо мінімального рівня зміни тарифів на рівні, не нижчому рівня ІЦВ; </w:t>
            </w:r>
          </w:p>
          <w:p w:rsidR="004C0715" w:rsidRPr="004C0715" w:rsidRDefault="004C0715" w:rsidP="00DF198A">
            <w:pPr>
              <w:pStyle w:val="af"/>
              <w:widowControl w:val="0"/>
              <w:shd w:val="clear" w:color="auto" w:fill="FFFFFF"/>
              <w:ind w:left="91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C07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незабезпечення окупності  локомотивної тяги за період життєвого циклу;</w:t>
            </w:r>
          </w:p>
          <w:p w:rsidR="004C0715" w:rsidRPr="00706897" w:rsidRDefault="004C0715" w:rsidP="00DF198A">
            <w:pPr>
              <w:pStyle w:val="af"/>
              <w:widowControl w:val="0"/>
              <w:shd w:val="clear" w:color="auto" w:fill="FFFFFF"/>
              <w:ind w:left="91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68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можливість покриття лише витрат на експлуатацію локомотивів, відбувається «проїдання» обігових коштів;</w:t>
            </w:r>
          </w:p>
          <w:p w:rsidR="004C0715" w:rsidRDefault="004C0715" w:rsidP="00DF198A">
            <w:pPr>
              <w:pStyle w:val="af"/>
              <w:widowControl w:val="0"/>
              <w:shd w:val="clear" w:color="auto" w:fill="FFFFFF"/>
              <w:ind w:left="91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68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відсутності можливості підтримання </w:t>
            </w:r>
            <w:r w:rsidRPr="004C071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інфраструктури у </w:t>
            </w:r>
            <w:r w:rsidR="008D55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задовільному</w:t>
            </w:r>
            <w:r w:rsidR="003B5D8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стані;</w:t>
            </w:r>
          </w:p>
          <w:p w:rsidR="00503483" w:rsidRPr="00B700B2" w:rsidRDefault="003B5D88" w:rsidP="00DF198A">
            <w:pPr>
              <w:pStyle w:val="af"/>
              <w:widowControl w:val="0"/>
              <w:shd w:val="clear" w:color="auto" w:fill="FFFFFF"/>
              <w:ind w:left="91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збиткового</w:t>
            </w:r>
            <w:r w:rsidR="00503483"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</w:t>
            </w:r>
            <w:r w:rsidR="00503483"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діяльності АТ «Укрзалізниця», що суперечить Закону України «Про природні монополії».</w:t>
            </w:r>
          </w:p>
          <w:p w:rsidR="00272D34" w:rsidRPr="00B700B2" w:rsidRDefault="00503483" w:rsidP="00DF19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Ускладнюватиметься ситуація із забезпечення </w:t>
            </w:r>
            <w:r w:rsidR="0025617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суб</w:t>
            </w:r>
            <w:r w:rsidR="00256173" w:rsidRPr="0025617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’</w:t>
            </w:r>
            <w:r w:rsidR="0025617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єктів </w:t>
            </w:r>
            <w:r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господарювання у </w:t>
            </w:r>
            <w:r w:rsidR="0025617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необхідних обсягах</w:t>
            </w:r>
            <w:r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17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перевезення </w:t>
            </w:r>
            <w:r w:rsidRPr="00B7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вантажів залізничним транспортом.</w:t>
            </w:r>
          </w:p>
        </w:tc>
      </w:tr>
      <w:tr w:rsidR="00B700B2" w:rsidRPr="00B700B2" w:rsidTr="000C7EC1">
        <w:tc>
          <w:tcPr>
            <w:tcW w:w="2263" w:type="dxa"/>
            <w:tcBorders>
              <w:bottom w:val="single" w:sz="4" w:space="0" w:color="auto"/>
            </w:tcBorders>
          </w:tcPr>
          <w:p w:rsidR="0085026E" w:rsidRPr="00B700B2" w:rsidRDefault="004D0717" w:rsidP="00DF19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26E" w:rsidRPr="00B700B2" w:rsidRDefault="00DB5927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C0715" w:rsidRPr="004C0715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 прийняття регуляторного акту забезпечить досягнення наступних цілей:</w:t>
            </w:r>
          </w:p>
          <w:p w:rsidR="004C0715" w:rsidRPr="00B700B2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 вимог Порядку перегляду тарифів</w:t>
            </w:r>
            <w:r w:rsidR="003F7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частині мінімального розміру зміни державних регульованих тарифів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0715" w:rsidRPr="004C0715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збільшення доходів </w:t>
            </w:r>
            <w:r w:rsidR="00B1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перевізника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 w:rsidR="00B1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послуг з 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</w:t>
            </w:r>
            <w:r w:rsidR="00B1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вантажів у межах України в середньорічному розрахунку в розмірі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6,315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</w:t>
            </w:r>
            <w:r w:rsidR="00D3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  <w:r w:rsidR="004D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0715" w:rsidRPr="004C0715" w:rsidRDefault="003B5D88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направлення одержаних коштів </w:t>
            </w:r>
            <w:r w:rsidRPr="0045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ремонти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модернізацію</w:t>
            </w:r>
            <w:r w:rsidRPr="0045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оновлення основних фондів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потреб вантажовласників у перевезеннях;</w:t>
            </w:r>
          </w:p>
          <w:p w:rsidR="004C0715" w:rsidRPr="004C0715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прозорого збільшення тарифів на рівні ІЦВ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минулого року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0715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збільшення податкових надходжень до Державного бюджету України в сумі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</w:t>
            </w:r>
            <w:r w:rsidR="00D3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2830" w:rsidRPr="00B700B2" w:rsidRDefault="003B3213" w:rsidP="003B3213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5C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рямий вплив на операційні витрати в промисловості складе 0,19 відсоткових </w:t>
            </w:r>
            <w:r w:rsidRPr="005C05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пунктів</w:t>
            </w:r>
            <w:r w:rsidR="00D331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700B2" w:rsidRPr="00B700B2" w:rsidTr="000C7EC1">
        <w:tc>
          <w:tcPr>
            <w:tcW w:w="2263" w:type="dxa"/>
            <w:tcBorders>
              <w:bottom w:val="single" w:sz="4" w:space="0" w:color="auto"/>
            </w:tcBorders>
          </w:tcPr>
          <w:p w:rsidR="00927C4F" w:rsidRPr="00B700B2" w:rsidRDefault="00927C4F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C4F" w:rsidRPr="00B700B2" w:rsidRDefault="00DB5927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C0715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Дасть можливість:</w:t>
            </w:r>
          </w:p>
          <w:p w:rsidR="004C0715" w:rsidRPr="004C0715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увати 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Кабінету Міністрів України від 11.07.2018 №</w:t>
            </w:r>
            <w:r w:rsidR="0092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  <w:r w:rsidR="00D3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183" w:rsidRPr="00D3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33183" w:rsidRPr="00D33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схвалення Прогнозу економічного і соціального розвитку України на 2019-2021 роки</w:t>
            </w:r>
            <w:r w:rsidR="00D33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частині з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тарифів на вантажні залізничні перевезення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ому 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кількісних припущеннях прогнозу основних макропоказників економічного і соціального розвитку України на відповідний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ED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 на</w:t>
            </w:r>
            <w:r w:rsidR="00ED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25%); </w:t>
            </w:r>
          </w:p>
          <w:p w:rsidR="004C0715" w:rsidRPr="004C0715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одержання додаткових доходів </w:t>
            </w:r>
            <w:r w:rsidR="00A3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перевізником 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A3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послуг з 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</w:t>
            </w:r>
            <w:r w:rsidR="00A3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8F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вантажів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середньорічному розрахунку в розмірі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  <w:r w:rsidR="00F8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грн;</w:t>
            </w:r>
          </w:p>
          <w:p w:rsidR="004C0715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 податкових надходжень до Державного бюджету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0715" w:rsidRPr="004C0715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утримання в належному стані залізничної інфраструктури;</w:t>
            </w:r>
          </w:p>
          <w:p w:rsidR="00927C4F" w:rsidRPr="00B700B2" w:rsidRDefault="004C0715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збільшення витрат вантажовласників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B700B2" w:rsidRPr="00B700B2" w:rsidTr="000C7EC1">
        <w:tc>
          <w:tcPr>
            <w:tcW w:w="2263" w:type="dxa"/>
            <w:tcBorders>
              <w:bottom w:val="single" w:sz="4" w:space="0" w:color="auto"/>
            </w:tcBorders>
          </w:tcPr>
          <w:p w:rsidR="00F2283E" w:rsidRPr="00B700B2" w:rsidRDefault="00F2283E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283E" w:rsidRPr="00B700B2" w:rsidRDefault="00F2283E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D3682" w:rsidRPr="003D3682" w:rsidRDefault="003D3682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Дасть можливість:</w:t>
            </w:r>
          </w:p>
          <w:p w:rsidR="003D3682" w:rsidRPr="003D3682" w:rsidRDefault="003D3682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 вимог Закону України «Про ціни і цін</w:t>
            </w:r>
            <w:r w:rsidR="007E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оутворення» </w:t>
            </w:r>
            <w:r w:rsidR="00DC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частині встановлення </w:t>
            </w: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 обґрунтован</w:t>
            </w:r>
            <w:r w:rsidR="00DC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="0064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тарифів</w:t>
            </w: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3682" w:rsidRPr="003D3682" w:rsidRDefault="003D3682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одержати доходи </w:t>
            </w:r>
            <w:r w:rsidR="0064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перевізнику </w:t>
            </w: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64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послуг з </w:t>
            </w: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</w:t>
            </w:r>
            <w:r w:rsidR="0064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вантажів</w:t>
            </w: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середньорічному розрахунку в розмірі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8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грн;</w:t>
            </w:r>
          </w:p>
          <w:p w:rsidR="003D3682" w:rsidRPr="003D3682" w:rsidRDefault="003D3682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та модернізації інфраструктури та локомот</w:t>
            </w:r>
            <w:r w:rsidR="007E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ивної тяги в необхідному обсязі;</w:t>
            </w:r>
          </w:p>
          <w:p w:rsidR="003D3682" w:rsidRPr="003D3682" w:rsidRDefault="003D3682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повністю забезпечити потреби вантажовласників у перевезенні вантажів;</w:t>
            </w:r>
          </w:p>
          <w:p w:rsidR="003D3682" w:rsidRPr="003D3682" w:rsidRDefault="003D3682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розширення перевізних можливостей залізничної мережі.</w:t>
            </w:r>
          </w:p>
          <w:p w:rsidR="00F2283E" w:rsidRPr="00B700B2" w:rsidRDefault="003D3682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 негативно вплине на економіку держави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цілому, так як призведе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зниження конкурентоздатності певних </w:t>
            </w: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видів товарів, зниження ВВП, закриття підприємств деяких галузей економіки</w:t>
            </w:r>
            <w:r w:rsidR="00F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скорочення робочих місць</w:t>
            </w:r>
            <w:r w:rsidR="00F0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підвищення соціальної напруги</w:t>
            </w:r>
            <w:r w:rsidRPr="003D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78D8" w:rsidRPr="00B700B2" w:rsidTr="000C7EC1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C2" w:rsidRPr="00B700B2" w:rsidRDefault="00AF2FC2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C2" w:rsidRPr="00B700B2" w:rsidRDefault="00AF2FC2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C2" w:rsidRPr="00B700B2" w:rsidRDefault="00AF2FC2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8D8" w:rsidRPr="00B700B2" w:rsidTr="000C7EC1">
        <w:tc>
          <w:tcPr>
            <w:tcW w:w="2263" w:type="dxa"/>
            <w:tcBorders>
              <w:top w:val="single" w:sz="4" w:space="0" w:color="auto"/>
            </w:tcBorders>
          </w:tcPr>
          <w:p w:rsidR="0085026E" w:rsidRPr="00B700B2" w:rsidRDefault="0085026E" w:rsidP="00DF198A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26E" w:rsidRPr="00B700B2" w:rsidRDefault="0085026E" w:rsidP="00DF198A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26E" w:rsidRPr="00B700B2" w:rsidRDefault="0085026E" w:rsidP="00DF198A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026E" w:rsidRPr="00B700B2" w:rsidRDefault="0085026E" w:rsidP="00DF198A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Обґрунтування відповідного місця альтернативи </w:t>
            </w:r>
            <w:r w:rsidR="00F70CA2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рейтингу</w:t>
            </w:r>
          </w:p>
        </w:tc>
      </w:tr>
      <w:tr w:rsidR="00B700B2" w:rsidRPr="00B700B2" w:rsidTr="000C7EC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5026E" w:rsidRPr="00B700B2" w:rsidRDefault="00666494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026E" w:rsidRPr="0075598F" w:rsidRDefault="0075598F" w:rsidP="003B3213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Економія коштів </w:t>
            </w:r>
            <w:proofErr w:type="spellStart"/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вантажовласни</w:t>
            </w:r>
            <w:proofErr w:type="spellEnd"/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6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за рахунок низьких державн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регульованих тарифів на перевезення в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антажів залізничним транспортом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026E" w:rsidRPr="00B700B2" w:rsidRDefault="00D730F0" w:rsidP="003B3213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53E33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битковий результат діяльності </w:t>
            </w:r>
            <w:r w:rsidR="00530D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 «</w:t>
            </w:r>
            <w:proofErr w:type="spellStart"/>
            <w:r w:rsidR="00530D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Укрзалізни</w:t>
            </w:r>
            <w:proofErr w:type="spellEnd"/>
            <w:r w:rsidR="007E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30DF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ця»</w:t>
            </w:r>
            <w:r w:rsidR="00753E33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відсутні кошти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B3213" w:rsidRP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необхідні для поточних потреб галузі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 умови збереження чинного регулювання будуть відсутні можливості:</w:t>
            </w:r>
          </w:p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забезпечення у повному обсязі потреб вантажовласників у перевезенні вантажів;</w:t>
            </w:r>
          </w:p>
          <w:p w:rsidR="003B3213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направлення коштів на</w:t>
            </w:r>
            <w:r w:rsidR="003B32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3B3213" w:rsidRPr="003B32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ремонти, модернізац</w:t>
            </w:r>
            <w:r w:rsidR="003B32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ію та оновлення основних фондів;</w:t>
            </w:r>
          </w:p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утримання в належному стані залізничної інфраструктури.</w:t>
            </w:r>
          </w:p>
          <w:p w:rsidR="00B65E66" w:rsidRPr="00B700B2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Проблеми продовжують існувати, альтернатива лише посилюватиме проблеми у галузі і жодним чином не сприятиме їх вирішенню.</w:t>
            </w:r>
          </w:p>
        </w:tc>
      </w:tr>
      <w:tr w:rsidR="00F978D8" w:rsidRPr="00B700B2" w:rsidTr="000C7EC1">
        <w:tc>
          <w:tcPr>
            <w:tcW w:w="2263" w:type="dxa"/>
            <w:shd w:val="clear" w:color="auto" w:fill="auto"/>
          </w:tcPr>
          <w:p w:rsidR="0085026E" w:rsidRPr="00B700B2" w:rsidRDefault="00666494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  <w:p w:rsidR="0085026E" w:rsidRPr="00B700B2" w:rsidRDefault="0085026E" w:rsidP="00DF19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Покращення з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абезпечення потреб </w:t>
            </w:r>
            <w:proofErr w:type="spellStart"/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вантажовласни</w:t>
            </w:r>
            <w:r w:rsidR="00F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ків</w:t>
            </w:r>
            <w:proofErr w:type="spellEnd"/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перевезенні вантажів;</w:t>
            </w:r>
          </w:p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направлення коштів на капітальні інвестиції, ремонти та нагальні поточні 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 галузі;</w:t>
            </w:r>
          </w:p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утримання в задовільному стані залізничної інфраструктури;</w:t>
            </w:r>
          </w:p>
          <w:p w:rsidR="004D7211" w:rsidRPr="00B700B2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4858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держання на мінімальному рівні коштів, необхідних для забезпечення беззбиткової діяльності </w:t>
            </w:r>
            <w:r w:rsidR="00A7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перевізника</w:t>
            </w:r>
            <w:r w:rsidR="0066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4858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E4201" w:rsidRDefault="00834858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8F45D8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більшення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6,315 млрд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E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витрат </w:t>
            </w:r>
            <w:proofErr w:type="spellStart"/>
            <w:r w:rsidR="007E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вантажовласни</w:t>
            </w:r>
            <w:proofErr w:type="spellEnd"/>
            <w:r w:rsidR="007E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5026E" w:rsidRPr="00B700B2" w:rsidRDefault="00666494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E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акта дозволить:</w:t>
            </w:r>
          </w:p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очікувано отримати</w:t>
            </w:r>
            <w:r w:rsidR="00B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перевізнику від надання послуг з перевезення вантажів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додаткових доходів 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середньорічному розрахунку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6,315 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75598F" w:rsidRPr="0075598F" w:rsidRDefault="00FE7984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одержані кошти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направити </w:t>
            </w:r>
            <w:r w:rsidRPr="0045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ремонти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модернізацію</w:t>
            </w:r>
            <w:r w:rsidRPr="0045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оновлення основних фондів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справедливе підвищення тарифів на рівні ІЦВ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минулого року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598F" w:rsidRPr="0075598F" w:rsidRDefault="0075598F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збільшити податкові надходження до Державного бюджету України в сумі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  <w:p w:rsidR="0085026E" w:rsidRPr="00B700B2" w:rsidRDefault="0075598F" w:rsidP="003D3DF0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Альтернатива забезпечує 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часткове </w:t>
            </w:r>
            <w:r w:rsidRPr="007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досягнення цілей державного регулювання щодо </w:t>
            </w:r>
            <w:r w:rsidR="003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рівня тарифів на мінімальний розмір</w:t>
            </w:r>
          </w:p>
        </w:tc>
      </w:tr>
      <w:tr w:rsidR="00CB4597" w:rsidRPr="00B700B2" w:rsidTr="000C7EC1">
        <w:tc>
          <w:tcPr>
            <w:tcW w:w="2263" w:type="dxa"/>
            <w:shd w:val="clear" w:color="auto" w:fill="auto"/>
          </w:tcPr>
          <w:p w:rsidR="00CB4597" w:rsidRPr="00B700B2" w:rsidRDefault="00CB4597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Альтернатива 3 </w:t>
            </w:r>
          </w:p>
        </w:tc>
        <w:tc>
          <w:tcPr>
            <w:tcW w:w="2268" w:type="dxa"/>
            <w:shd w:val="clear" w:color="auto" w:fill="auto"/>
          </w:tcPr>
          <w:p w:rsidR="00CB4597" w:rsidRPr="00A05CB9" w:rsidRDefault="00CB4597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потреб</w:t>
            </w:r>
            <w:r w:rsidR="00E9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вантажовласни-ків</w:t>
            </w:r>
            <w:proofErr w:type="spellEnd"/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перевезенні вантажів;</w:t>
            </w:r>
          </w:p>
          <w:p w:rsidR="00CB4597" w:rsidRPr="00A05CB9" w:rsidRDefault="00CB4597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</w:t>
            </w:r>
            <w:r w:rsidR="0075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часткового 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локомотивної тяги;</w:t>
            </w:r>
          </w:p>
          <w:p w:rsidR="00CB4597" w:rsidRPr="00A05CB9" w:rsidRDefault="00CB4597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утримання в належному стані залізничної інфраструктури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B4597" w:rsidRPr="00A05CB9" w:rsidRDefault="00CB4597" w:rsidP="00DF198A">
            <w:pPr>
              <w:tabs>
                <w:tab w:val="left" w:pos="-3686"/>
              </w:tabs>
              <w:ind w:right="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Збільшення витрат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вантажовласни</w:t>
            </w:r>
            <w:r w:rsidR="003D3D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на перевезення вантажів у межах України з початку року, що складе у середньорічному розрахунку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11,1</w:t>
            </w:r>
            <w:r w:rsidR="005C3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="0002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млрд</w:t>
            </w:r>
            <w:r w:rsidR="004E5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грн.</w:t>
            </w:r>
          </w:p>
        </w:tc>
        <w:tc>
          <w:tcPr>
            <w:tcW w:w="2835" w:type="dxa"/>
            <w:shd w:val="clear" w:color="auto" w:fill="auto"/>
          </w:tcPr>
          <w:p w:rsidR="00CB4597" w:rsidRPr="00A05CB9" w:rsidRDefault="00CB4597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озволить:</w:t>
            </w:r>
          </w:p>
          <w:p w:rsidR="00CB4597" w:rsidRPr="00A05CB9" w:rsidRDefault="00CB4597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очікувано отримати </w:t>
            </w:r>
            <w:r w:rsidR="0075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перевізнику від надання послуг з перевезення вантажів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середньорічному розрахунку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11,1 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D3DF0" w:rsidRDefault="003D3DF0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збільшити кількість ремонтів об’єктів інфраструктури та локомотивів;</w:t>
            </w:r>
          </w:p>
          <w:p w:rsidR="00CB4597" w:rsidRDefault="00CB4597" w:rsidP="003D3DF0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збільшити податкові надходження до Державного бюджету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D3DF0" w:rsidRPr="00A05CB9" w:rsidRDefault="003D3DF0" w:rsidP="003D3DF0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Зросте прямий вплив на операційні витрати вантажовласників. </w:t>
            </w:r>
          </w:p>
        </w:tc>
      </w:tr>
      <w:tr w:rsidR="00DE72BD" w:rsidRPr="00B700B2" w:rsidTr="000C7EC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DE72BD" w:rsidRPr="00B700B2" w:rsidRDefault="00DE72BD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18BD" w:rsidRPr="00E218BD" w:rsidRDefault="00E218BD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нового рівня якості послуг за </w:t>
            </w:r>
            <w:r w:rsidRP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рахунок оновлення інфраструктури, модернізації та оновлення рухомого складу перевізника.</w:t>
            </w:r>
          </w:p>
          <w:p w:rsidR="00E218BD" w:rsidRPr="00E218BD" w:rsidRDefault="00E218BD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 нарощення обсягів виробництва певними галузями економіки за рахунок розширення перевізних можливостей 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Укрзалізни</w:t>
            </w:r>
            <w:proofErr w:type="spellEnd"/>
            <w:r w:rsidR="007E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ця».</w:t>
            </w:r>
          </w:p>
          <w:p w:rsidR="00DE72BD" w:rsidRDefault="00E218BD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Повне забезпечення потреб </w:t>
            </w:r>
            <w:proofErr w:type="spellStart"/>
            <w:r w:rsidRP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</w:t>
            </w:r>
            <w:proofErr w:type="spellEnd"/>
            <w:r w:rsidR="003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власників у перевезенні вантажів.</w:t>
            </w:r>
          </w:p>
          <w:p w:rsidR="00E218BD" w:rsidRPr="00A05CB9" w:rsidRDefault="00E218BD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Забезпечить позитивний імідж Держави, яка матиме значний транспортний потенціал та сучасну залізничну інфраструктуру.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72BD" w:rsidRPr="00A05CB9" w:rsidRDefault="00DE72BD" w:rsidP="00DF198A">
            <w:pPr>
              <w:tabs>
                <w:tab w:val="left" w:pos="-3686"/>
              </w:tabs>
              <w:ind w:right="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Збільшення витрат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вантажовласникі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в 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перевезення вантажів у межах України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що складе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середньорічному розрахунку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129,4</w:t>
            </w:r>
            <w:r w:rsidR="0002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млрд</w:t>
            </w:r>
            <w:r w:rsidR="004E5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A0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E72BD" w:rsidRPr="00A05CB9" w:rsidRDefault="00DE72BD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озволить:</w:t>
            </w:r>
          </w:p>
          <w:p w:rsidR="00DE72BD" w:rsidRPr="00A05CB9" w:rsidRDefault="00DE72BD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очікувано отримати </w:t>
            </w:r>
            <w:r w:rsid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перевізнику від </w:t>
            </w:r>
            <w:r w:rsidR="00E2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надання послуг з перевезення вантажів у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середньорічному розрахунку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129,4 </w:t>
            </w:r>
            <w:r w:rsidR="0002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</w:t>
            </w:r>
            <w:r w:rsidR="004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грн.; </w:t>
            </w:r>
          </w:p>
          <w:p w:rsidR="00DE72BD" w:rsidRPr="00706897" w:rsidRDefault="00DE72BD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одержані кошти направити на повне оновлення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модернізацію локомотивної тяги та оновлення залізничної інфраструктури.</w:t>
            </w:r>
          </w:p>
          <w:p w:rsidR="00DE72BD" w:rsidRPr="00A05CB9" w:rsidRDefault="00DE72BD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Однак, альтернатива є недоцільною через надмірне фінансове навантаження на вантажовласників </w:t>
            </w:r>
            <w:r w:rsidR="00F64232" w:rsidRPr="0070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на економіку держави в цілому, так як призведе до зниження конкурентоздатності певних видів товарів, зниження ВВП, закриття підприємств деяких галузей економіки, скорочення робочих місць та підвищення соціальної напруги</w:t>
            </w:r>
            <w:r w:rsidR="00F64232" w:rsidRPr="00F64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</w:tbl>
    <w:p w:rsidR="0085026E" w:rsidRPr="00B700B2" w:rsidRDefault="0085026E" w:rsidP="00DF198A">
      <w:pPr>
        <w:tabs>
          <w:tab w:val="left" w:pos="-3686"/>
        </w:tabs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97621C" w:rsidRPr="00B700B2" w:rsidTr="001815DD">
        <w:trPr>
          <w:trHeight w:val="1287"/>
        </w:trPr>
        <w:tc>
          <w:tcPr>
            <w:tcW w:w="2405" w:type="dxa"/>
            <w:tcBorders>
              <w:top w:val="single" w:sz="4" w:space="0" w:color="auto"/>
            </w:tcBorders>
          </w:tcPr>
          <w:p w:rsidR="0069070D" w:rsidRPr="00B700B2" w:rsidRDefault="0069070D" w:rsidP="00DF198A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26E" w:rsidRPr="00B700B2" w:rsidRDefault="0085026E" w:rsidP="00DF198A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026E" w:rsidRPr="00B700B2" w:rsidRDefault="0085026E" w:rsidP="00DF198A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026E" w:rsidRPr="00B700B2" w:rsidRDefault="0085026E" w:rsidP="00DF198A">
            <w:pPr>
              <w:tabs>
                <w:tab w:val="left" w:pos="-3686"/>
              </w:tabs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ризику зовнішніх</w:t>
            </w:r>
            <w:r w:rsidRPr="00B7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чинників на дію запропонованого регуляторного акта</w:t>
            </w:r>
          </w:p>
        </w:tc>
      </w:tr>
      <w:tr w:rsidR="000D6B8C" w:rsidRPr="00B700B2" w:rsidTr="001815DD">
        <w:tc>
          <w:tcPr>
            <w:tcW w:w="2405" w:type="dxa"/>
            <w:shd w:val="clear" w:color="auto" w:fill="auto"/>
          </w:tcPr>
          <w:p w:rsidR="000D6B8C" w:rsidRPr="00E65CF3" w:rsidRDefault="001F7F20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  <w:p w:rsidR="000D6B8C" w:rsidRPr="00E65CF3" w:rsidRDefault="000D6B8C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E36A2" w:rsidRPr="00E65CF3" w:rsidRDefault="000D6B8C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Причинами відмови є подальше скорочення кількості локомотивів та рухомого складу, погіршення умов безпеки перевезення вантажів та 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подальший занепад залізничної галузі.</w:t>
            </w:r>
          </w:p>
          <w:p w:rsidR="000D6B8C" w:rsidRPr="00E65CF3" w:rsidRDefault="000D6B8C" w:rsidP="00DF1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D6B8C" w:rsidRPr="00E65CF3" w:rsidRDefault="000D6B8C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Відсутня можливість:               </w:t>
            </w:r>
            <w:r w:rsidRPr="00E65CF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забезпечувати потреби в перевезенні </w:t>
            </w:r>
            <w:r w:rsidR="000A4E4A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необхідних обсягів 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вантажів;</w:t>
            </w:r>
          </w:p>
          <w:p w:rsidR="000D6B8C" w:rsidRPr="00E65CF3" w:rsidRDefault="000D6B8C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направляти кошти</w:t>
            </w:r>
            <w:r w:rsidR="007629E6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ремонти, модернізацію та оновлення основних фондів</w:t>
            </w:r>
            <w:r w:rsidR="00C55498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6B8C" w:rsidRPr="00E65CF3" w:rsidRDefault="000D6B8C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утримувати в належному стані</w:t>
            </w:r>
            <w:bookmarkStart w:id="0" w:name="_GoBack"/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залізничну інфраструктуру.</w:t>
            </w:r>
          </w:p>
        </w:tc>
      </w:tr>
      <w:tr w:rsidR="000D6B8C" w:rsidRPr="00B700B2" w:rsidTr="001815DD">
        <w:tc>
          <w:tcPr>
            <w:tcW w:w="2405" w:type="dxa"/>
            <w:shd w:val="clear" w:color="auto" w:fill="auto"/>
          </w:tcPr>
          <w:p w:rsidR="000D6B8C" w:rsidRPr="00E65CF3" w:rsidRDefault="001F7F20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  <w:p w:rsidR="000D6B8C" w:rsidRPr="00E65CF3" w:rsidRDefault="000D6B8C" w:rsidP="00DF1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0D6B8C" w:rsidRPr="00E65CF3" w:rsidRDefault="000D6B8C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Дозволить:</w:t>
            </w:r>
          </w:p>
          <w:p w:rsidR="000D6B8C" w:rsidRPr="00E65CF3" w:rsidRDefault="000D6B8C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потреб</w:t>
            </w:r>
            <w:r w:rsidR="000A4E4A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вантажовласників у </w:t>
            </w:r>
            <w:r w:rsidR="00646ADB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необхідних обсягах 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</w:t>
            </w:r>
            <w:r w:rsidR="00646ADB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вантажів;</w:t>
            </w:r>
          </w:p>
          <w:p w:rsidR="00662EC0" w:rsidRPr="00E65CF3" w:rsidRDefault="000D6B8C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направити кошти</w:t>
            </w:r>
            <w:r w:rsidR="00662EC0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ремонти, модернізацію та оновлення основних фондів</w:t>
            </w:r>
            <w:r w:rsidR="001F7F20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6B8C" w:rsidRPr="00E65CF3" w:rsidRDefault="000D6B8C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утримувати в задовільний стані залізничну інфраструктуру;</w:t>
            </w:r>
          </w:p>
          <w:p w:rsidR="000D6B8C" w:rsidRPr="00E65CF3" w:rsidRDefault="000D6B8C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забезпечить </w:t>
            </w:r>
            <w:r w:rsidR="00AC0F6E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мінімальне 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тарифів на рівні ІЦВ минулого року</w:t>
            </w:r>
            <w:r w:rsidR="001F7F20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D6B8C" w:rsidRPr="00E65CF3" w:rsidRDefault="000D6B8C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Призведе до збільшення витрат вантажовласників на перевезення вантажів у середньорічному розрахунку в розмірі 6,315 </w:t>
            </w:r>
            <w:r w:rsidR="00026079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r w:rsidR="004E5FFB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</w:t>
            </w:r>
          </w:p>
          <w:p w:rsidR="000D6B8C" w:rsidRPr="00E65CF3" w:rsidRDefault="000D6B8C" w:rsidP="00DF198A">
            <w:pPr>
              <w:tabs>
                <w:tab w:val="left" w:pos="709"/>
                <w:tab w:val="left" w:pos="851"/>
              </w:tabs>
              <w:ind w:left="1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F0A" w:rsidRPr="00B700B2" w:rsidTr="001815DD">
        <w:tc>
          <w:tcPr>
            <w:tcW w:w="2405" w:type="dxa"/>
            <w:shd w:val="clear" w:color="auto" w:fill="auto"/>
          </w:tcPr>
          <w:p w:rsidR="00281F0A" w:rsidRPr="00E65CF3" w:rsidRDefault="00281F0A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3</w:t>
            </w:r>
          </w:p>
        </w:tc>
        <w:tc>
          <w:tcPr>
            <w:tcW w:w="3969" w:type="dxa"/>
            <w:shd w:val="clear" w:color="auto" w:fill="auto"/>
          </w:tcPr>
          <w:p w:rsidR="00281F0A" w:rsidRPr="00E65CF3" w:rsidRDefault="00281F0A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Дозволить:</w:t>
            </w:r>
          </w:p>
          <w:p w:rsidR="00281F0A" w:rsidRPr="00E65CF3" w:rsidRDefault="00C55498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збільшити </w:t>
            </w:r>
            <w:r w:rsidR="00281F0A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ення</w:t>
            </w:r>
            <w:r w:rsidR="00281F0A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вантажовласників у перевезенні вантажів;</w:t>
            </w:r>
          </w:p>
          <w:p w:rsidR="00281F0A" w:rsidRPr="00E65CF3" w:rsidRDefault="00281F0A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направляти кошти на </w:t>
            </w:r>
            <w:r w:rsidR="00C55498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утримання та 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 локомотивної тяги;</w:t>
            </w:r>
          </w:p>
          <w:p w:rsidR="001F7F20" w:rsidRPr="00E65CF3" w:rsidRDefault="00281F0A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утримувати в належному стані залізничну інфраструктур</w:t>
            </w:r>
            <w:r w:rsidR="001F7F20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у;</w:t>
            </w:r>
          </w:p>
          <w:p w:rsidR="00715EDA" w:rsidRPr="00E65CF3" w:rsidRDefault="00715EDA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 отримати перевізнику від надання послуг з перевезення вантажів в середньорі</w:t>
            </w:r>
            <w:r w:rsidR="00026079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чному розрахунку 11,1 млрд</w:t>
            </w:r>
            <w:r w:rsidR="004E5FFB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3260" w:type="dxa"/>
            <w:shd w:val="clear" w:color="auto" w:fill="auto"/>
          </w:tcPr>
          <w:p w:rsidR="00281F0A" w:rsidRPr="00E65CF3" w:rsidRDefault="00281F0A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Призведе до збільшення витрат вантажовласників на перевезення вантажів у середньорічному розрахунку в розмірі 11,1 </w:t>
            </w:r>
            <w:r w:rsidR="00026079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r w:rsidR="004E5FFB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</w:t>
            </w:r>
          </w:p>
          <w:p w:rsidR="00281F0A" w:rsidRPr="00E65CF3" w:rsidRDefault="00281F0A" w:rsidP="00DF198A">
            <w:pPr>
              <w:tabs>
                <w:tab w:val="left" w:pos="709"/>
                <w:tab w:val="left" w:pos="851"/>
              </w:tabs>
              <w:ind w:left="1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F0A" w:rsidRPr="00B700B2" w:rsidTr="001815DD">
        <w:tc>
          <w:tcPr>
            <w:tcW w:w="2405" w:type="dxa"/>
            <w:shd w:val="clear" w:color="auto" w:fill="auto"/>
          </w:tcPr>
          <w:p w:rsidR="00281F0A" w:rsidRPr="00E65CF3" w:rsidRDefault="00281F0A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4</w:t>
            </w:r>
          </w:p>
        </w:tc>
        <w:tc>
          <w:tcPr>
            <w:tcW w:w="3969" w:type="dxa"/>
            <w:shd w:val="clear" w:color="auto" w:fill="auto"/>
          </w:tcPr>
          <w:p w:rsidR="00281F0A" w:rsidRPr="00E65CF3" w:rsidRDefault="00281F0A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Дозволить:</w:t>
            </w:r>
          </w:p>
          <w:p w:rsidR="00281F0A" w:rsidRPr="00E65CF3" w:rsidRDefault="00727C8E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r w:rsidR="00715EDA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повному обсязі 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 </w:t>
            </w:r>
            <w:r w:rsidR="00281F0A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вантажовласників у перевезенні вантажів;</w:t>
            </w:r>
          </w:p>
          <w:p w:rsidR="00715EDA" w:rsidRPr="00E65CF3" w:rsidRDefault="00715EDA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розширити перевізні можливості залізничної мережі; </w:t>
            </w:r>
          </w:p>
          <w:p w:rsidR="00281F0A" w:rsidRPr="00E65CF3" w:rsidRDefault="00281F0A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здійснити необхідну модернізацію та оновлення локомотивної тяги та удосконалити залізничну інфраструктуру;</w:t>
            </w:r>
          </w:p>
          <w:p w:rsidR="00281F0A" w:rsidRPr="00E65CF3" w:rsidRDefault="00727C8E" w:rsidP="00DF1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r w:rsidR="00281F0A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позитивний імідж держави, яка матиме значний транспортний потенціал та сучасну залізничну інфраструктуру.</w:t>
            </w:r>
          </w:p>
        </w:tc>
        <w:tc>
          <w:tcPr>
            <w:tcW w:w="3260" w:type="dxa"/>
            <w:shd w:val="clear" w:color="auto" w:fill="auto"/>
          </w:tcPr>
          <w:p w:rsidR="00281F0A" w:rsidRPr="00E65CF3" w:rsidRDefault="00281F0A" w:rsidP="00DF198A">
            <w:pPr>
              <w:tabs>
                <w:tab w:val="left" w:pos="-368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Призведе до збільшення витрат вантажовласників на перевезення вантажів у середньорічному розрахунку в розмірі 129,4</w:t>
            </w:r>
            <w:r w:rsidR="00D87F90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млрд</w:t>
            </w:r>
            <w:r w:rsidR="004E5FFB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7F90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</w:t>
            </w:r>
            <w:r w:rsidR="004E5FFB"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негативно вплине на суб’єктів господарювання та призведе до колапсу в галузях економіки України.</w:t>
            </w:r>
          </w:p>
        </w:tc>
      </w:tr>
    </w:tbl>
    <w:p w:rsidR="001815DD" w:rsidRPr="00B700B2" w:rsidRDefault="001815DD" w:rsidP="00DA08C4">
      <w:pPr>
        <w:tabs>
          <w:tab w:val="left" w:pos="-3686"/>
        </w:tabs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B700B2" w:rsidRDefault="0085026E" w:rsidP="00DA08C4">
      <w:pPr>
        <w:tabs>
          <w:tab w:val="left" w:pos="-3686"/>
        </w:tabs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692DA5"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Механізм та заходи, які забезпечать розв’язання визначеної проблеми</w:t>
      </w:r>
    </w:p>
    <w:p w:rsidR="007D7961" w:rsidRPr="005C05FA" w:rsidRDefault="00157EE4" w:rsidP="007D796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Механізмом, який забезпечить розв’язання проблеми, є </w:t>
      </w:r>
      <w:r w:rsidR="002E51C0" w:rsidRPr="007D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виключно </w:t>
      </w:r>
      <w:r w:rsidRPr="007D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регуляторного </w:t>
      </w:r>
      <w:proofErr w:type="spellStart"/>
      <w:r w:rsidRPr="007D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B92AEE" w:rsidRPr="007D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яким </w:t>
      </w:r>
      <w:r w:rsidR="007D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</w:t>
      </w:r>
      <w:r w:rsidR="004E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7D7961" w:rsidRPr="005C05FA">
        <w:rPr>
          <w:rFonts w:ascii="Times New Roman" w:hAnsi="Times New Roman" w:cs="Times New Roman"/>
          <w:sz w:val="28"/>
          <w:szCs w:val="28"/>
          <w:lang w:val="uk-UA"/>
        </w:rPr>
        <w:t xml:space="preserve"> нові коефіцієнти, які застосовуються до тарифів Збірника тарифів на перевезення вантажів залізничним транспортом у межах Укра</w:t>
      </w:r>
      <w:r w:rsidR="007D7961">
        <w:rPr>
          <w:rFonts w:ascii="Times New Roman" w:hAnsi="Times New Roman" w:cs="Times New Roman"/>
          <w:sz w:val="28"/>
          <w:szCs w:val="28"/>
          <w:lang w:val="uk-UA"/>
        </w:rPr>
        <w:t>їни та пов’язані з ними послуги, що змінить рівень державних регульованих тарифів та здійснить їх встановлення.</w:t>
      </w:r>
    </w:p>
    <w:p w:rsidR="007D7961" w:rsidRDefault="00767D76" w:rsidP="007D7961">
      <w:pPr>
        <w:tabs>
          <w:tab w:val="left" w:pos="-3686"/>
        </w:tabs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Очікуваний позитивний ефект –</w:t>
      </w:r>
      <w:r w:rsidR="00A927C1" w:rsidRPr="00B700B2">
        <w:t xml:space="preserve"> </w:t>
      </w:r>
      <w:r w:rsidR="00A927C1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="00B9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самоокупності АТ «Укрзалізниця», направлення одержаних коштів </w:t>
      </w:r>
      <w:r w:rsidR="00B92AEE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розмірі 6,315</w:t>
      </w:r>
      <w:r w:rsidR="00B92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млрд</w:t>
      </w:r>
      <w:r w:rsidR="00352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грн</w:t>
      </w:r>
      <w:r w:rsidR="00352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утримання інфраструктури та локомотивів, </w:t>
      </w:r>
      <w:r w:rsid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дозволить п</w:t>
      </w:r>
      <w:r w:rsidR="007D7961" w:rsidRP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</w:t>
      </w:r>
      <w:r w:rsid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="007D7961" w:rsidRP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ситуаці</w:t>
      </w:r>
      <w:r w:rsid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D7961" w:rsidRP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забезпечення потреб у перевезеннях, поліпшення якості перевезень, збільшення швидкості руху та скорочення термінів доставки вантажів</w:t>
      </w:r>
      <w:r w:rsid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у свою чергу </w:t>
      </w:r>
      <w:r w:rsidR="007D7961" w:rsidRP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 зростанню виробництва та збуту продукції, збільшенню валютних надходжень</w:t>
      </w:r>
      <w:r w:rsid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виконання</w:t>
      </w:r>
      <w:r w:rsidR="007D7961" w:rsidRP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961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 положень Порядку перегляду тарифів у частині </w:t>
      </w:r>
      <w:r w:rsid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 рівня ва</w:t>
      </w:r>
      <w:r w:rsidR="007D7961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нтажних залізничних тарифів на рівні, не нижчому від ІЦВ</w:t>
      </w:r>
      <w:r w:rsid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7D7961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податкових надходжень до Державного бюджету України в сумі 208,</w:t>
      </w:r>
      <w:r w:rsidR="007D7961" w:rsidRPr="002017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</w:t>
      </w:r>
      <w:r w:rsidR="00352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767D76" w:rsidRPr="00B700B2" w:rsidRDefault="00767D76" w:rsidP="00DA08C4">
      <w:pPr>
        <w:tabs>
          <w:tab w:val="left" w:pos="-3686"/>
        </w:tabs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Впровадження запропонованого регуляторного </w:t>
      </w:r>
      <w:proofErr w:type="spellStart"/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додаткових витрат з Державного бюджету України.</w:t>
      </w:r>
    </w:p>
    <w:p w:rsidR="00767D76" w:rsidRPr="00B700B2" w:rsidRDefault="00767D76" w:rsidP="00DA08C4">
      <w:pPr>
        <w:tabs>
          <w:tab w:val="left" w:pos="-3686"/>
        </w:tabs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акта поширюватиметься на суб’єктів господарювання, які відповідно до чинного законодавства України є учасниками процесу перевезення вантажів</w:t>
      </w:r>
      <w:r w:rsidR="009903A1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53" w:rsidRPr="00B700B2" w:rsidRDefault="00196753" w:rsidP="00DA08C4">
      <w:pPr>
        <w:tabs>
          <w:tab w:val="left" w:pos="-3686"/>
        </w:tabs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B700B2" w:rsidRDefault="0085026E" w:rsidP="00DA08C4">
      <w:pPr>
        <w:tabs>
          <w:tab w:val="left" w:pos="-3686"/>
        </w:tabs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="00692DA5"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281F0A" w:rsidRDefault="00281F0A" w:rsidP="00DA08C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1F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Реалізація регуляторного акта не потребуватиме додаткових витрат та ресурсів органів виконавчої влади, органів місцевого самоврядування.</w:t>
      </w:r>
    </w:p>
    <w:p w:rsidR="00640CC0" w:rsidRPr="00AD48F4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700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умови </w:t>
      </w:r>
      <w:r w:rsidR="00640CC0" w:rsidRPr="00B700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прийняття </w:t>
      </w:r>
      <w:r w:rsidR="00640CC0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регуляторного акт</w:t>
      </w:r>
      <w:r w:rsidR="008A6126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640CC0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30142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укрупненими п</w:t>
      </w:r>
      <w:r w:rsidR="00FB21BF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рогнозними розрахунками доходи </w:t>
      </w:r>
      <w:r w:rsidR="009673B3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перевізника </w:t>
      </w:r>
      <w:r w:rsidR="00191230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B92A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зміни рівня державних регульованих тарифів на перевезення вантажів у межах України </w:t>
      </w:r>
      <w:r w:rsidR="00191230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ІЦВ</w:t>
      </w:r>
      <w:r w:rsidR="009903A1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минулого року </w:t>
      </w:r>
      <w:r w:rsidR="004B4210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складатимуть</w:t>
      </w:r>
      <w:r w:rsidR="00D30142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903A1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6,315</w:t>
      </w:r>
      <w:r w:rsidR="00F536F2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B325B9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мл</w:t>
      </w:r>
      <w:r w:rsidR="000D04B8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рд</w:t>
      </w:r>
      <w:r w:rsidR="00352F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F536F2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B325B9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грн.</w:t>
      </w:r>
      <w:r w:rsidR="00281F0A" w:rsidRPr="00AD48F4">
        <w:rPr>
          <w:rFonts w:ascii="Times New Roman" w:hAnsi="Times New Roman" w:cs="Times New Roman"/>
          <w:sz w:val="28"/>
          <w:szCs w:val="28"/>
        </w:rPr>
        <w:t xml:space="preserve"> </w:t>
      </w:r>
      <w:r w:rsidR="00AD48F4" w:rsidRPr="00AD48F4">
        <w:rPr>
          <w:rFonts w:ascii="Times New Roman" w:hAnsi="Times New Roman" w:cs="Times New Roman"/>
          <w:sz w:val="28"/>
          <w:szCs w:val="28"/>
        </w:rPr>
        <w:t xml:space="preserve">Витрати вантажовласників </w:t>
      </w:r>
      <w:r w:rsidR="00AD48F4">
        <w:rPr>
          <w:rFonts w:ascii="Times New Roman" w:hAnsi="Times New Roman" w:cs="Times New Roman"/>
          <w:sz w:val="28"/>
          <w:szCs w:val="28"/>
        </w:rPr>
        <w:t xml:space="preserve">на перевезення вантажів </w:t>
      </w:r>
      <w:r w:rsidR="00194112">
        <w:rPr>
          <w:rFonts w:ascii="Times New Roman" w:hAnsi="Times New Roman" w:cs="Times New Roman"/>
          <w:sz w:val="28"/>
          <w:szCs w:val="28"/>
        </w:rPr>
        <w:t>зростуть на 6,315 млрд</w:t>
      </w:r>
      <w:r w:rsidR="00352FBB">
        <w:rPr>
          <w:rFonts w:ascii="Times New Roman" w:hAnsi="Times New Roman" w:cs="Times New Roman"/>
          <w:sz w:val="28"/>
          <w:szCs w:val="28"/>
        </w:rPr>
        <w:t>.</w:t>
      </w:r>
      <w:r w:rsidR="006D0760">
        <w:rPr>
          <w:rFonts w:ascii="Times New Roman" w:hAnsi="Times New Roman" w:cs="Times New Roman"/>
          <w:sz w:val="28"/>
          <w:szCs w:val="28"/>
        </w:rPr>
        <w:t xml:space="preserve"> грн (д</w:t>
      </w:r>
      <w:r w:rsidR="00281F0A" w:rsidRPr="00AD48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одаток 2).</w:t>
      </w:r>
    </w:p>
    <w:p w:rsidR="0085026E" w:rsidRPr="00AD48F4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М-тесту недоцільн</w:t>
      </w:r>
      <w:r w:rsidR="00C82830" w:rsidRPr="00AD48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що частка перевезень, які здійснюють підприємства малого бізнесу, становить менше </w:t>
      </w:r>
      <w:r w:rsidR="00450F4C" w:rsidRPr="00AD4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8F4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загального обсягу перевезень.</w:t>
      </w:r>
    </w:p>
    <w:p w:rsidR="00C45A4F" w:rsidRPr="00B700B2" w:rsidRDefault="00C45A4F" w:rsidP="00DA08C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</w:t>
      </w:r>
      <w:r w:rsidR="00692DA5"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запропонованого строку дії регуляторного акта</w:t>
      </w: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дії регуляторного акта пропонується не обмежувати </w:t>
      </w:r>
      <w:r w:rsidR="00F70CA2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часі. </w:t>
      </w: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Регуляторний акт набирає чинності з </w:t>
      </w:r>
      <w:r w:rsidR="00272D34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офіційного опублікування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DA6" w:rsidRPr="00B700B2" w:rsidRDefault="00A83DA6" w:rsidP="00DA08C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</w:t>
      </w:r>
      <w:r w:rsidR="00692DA5"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показників результативності дії регуляторного акта</w:t>
      </w:r>
    </w:p>
    <w:p w:rsidR="00E614F8" w:rsidRPr="00B700B2" w:rsidRDefault="00E614F8" w:rsidP="00DA08C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7"/>
        <w:gridCol w:w="4677"/>
      </w:tblGrid>
      <w:tr w:rsidR="00B700B2" w:rsidRPr="00B700B2" w:rsidTr="002A2890">
        <w:trPr>
          <w:trHeight w:val="327"/>
        </w:trPr>
        <w:tc>
          <w:tcPr>
            <w:tcW w:w="4957" w:type="dxa"/>
          </w:tcPr>
          <w:p w:rsidR="00A83DA6" w:rsidRDefault="00A83DA6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5E8" w:rsidRDefault="0085026E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показника</w:t>
            </w:r>
          </w:p>
          <w:p w:rsidR="00A83DA6" w:rsidRPr="00A83DA6" w:rsidRDefault="00A83DA6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83DA6" w:rsidRDefault="00A83DA6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26E" w:rsidRPr="00A83DA6" w:rsidRDefault="0085026E" w:rsidP="00DF1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показника</w:t>
            </w:r>
          </w:p>
        </w:tc>
      </w:tr>
      <w:tr w:rsidR="00B700B2" w:rsidRPr="00B700B2" w:rsidTr="00BE1C17">
        <w:trPr>
          <w:trHeight w:val="985"/>
        </w:trPr>
        <w:tc>
          <w:tcPr>
            <w:tcW w:w="4957" w:type="dxa"/>
          </w:tcPr>
          <w:p w:rsidR="00CB5456" w:rsidRPr="00B700B2" w:rsidRDefault="00CB5456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надходжень до державного та місцевих бюджетів і державних цільових фондів, пов’язаних з дією акта</w:t>
            </w:r>
          </w:p>
        </w:tc>
        <w:tc>
          <w:tcPr>
            <w:tcW w:w="4677" w:type="dxa"/>
          </w:tcPr>
          <w:p w:rsidR="00CB5456" w:rsidRPr="00B700B2" w:rsidRDefault="00CB5456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</w:t>
            </w:r>
            <w:r w:rsidR="00C82830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овані податкові надходження до Д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ержавного бюджету України </w:t>
            </w:r>
            <w:r w:rsidRPr="00B70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становитимуть </w:t>
            </w:r>
            <w:r w:rsidR="0004035F" w:rsidRPr="00B700B2">
              <w:rPr>
                <w:rFonts w:ascii="Times New Roman" w:eastAsia="Calibri" w:hAnsi="Times New Roman" w:cs="Times New Roman"/>
                <w:sz w:val="28"/>
                <w:szCs w:val="28"/>
              </w:rPr>
              <w:t>208,</w:t>
            </w:r>
            <w:r w:rsidR="0020179A" w:rsidRPr="0020179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EB6961" w:rsidRPr="00B70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700B2">
              <w:rPr>
                <w:rFonts w:ascii="Times New Roman" w:eastAsia="Calibri" w:hAnsi="Times New Roman" w:cs="Times New Roman"/>
                <w:sz w:val="28"/>
                <w:szCs w:val="28"/>
              </w:rPr>
              <w:t>млн</w:t>
            </w:r>
            <w:r w:rsidR="00352F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70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E257E0" w:rsidRPr="00B700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70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0B2" w:rsidRPr="00B700B2" w:rsidTr="00BE1C17">
        <w:trPr>
          <w:trHeight w:val="730"/>
        </w:trPr>
        <w:tc>
          <w:tcPr>
            <w:tcW w:w="4957" w:type="dxa"/>
          </w:tcPr>
          <w:p w:rsidR="0085026E" w:rsidRPr="00B700B2" w:rsidRDefault="0085026E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Суб’єкти господарювання, на яких поширюватиметься дія акта</w:t>
            </w:r>
          </w:p>
        </w:tc>
        <w:tc>
          <w:tcPr>
            <w:tcW w:w="4677" w:type="dxa"/>
          </w:tcPr>
          <w:p w:rsidR="00F41AC3" w:rsidRPr="00B700B2" w:rsidRDefault="000D0D73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="008A3715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</w:tr>
      <w:tr w:rsidR="00B700B2" w:rsidRPr="00B700B2" w:rsidTr="00BE1C17">
        <w:trPr>
          <w:trHeight w:val="1323"/>
        </w:trPr>
        <w:tc>
          <w:tcPr>
            <w:tcW w:w="4957" w:type="dxa"/>
          </w:tcPr>
          <w:p w:rsidR="00CB5456" w:rsidRPr="00B700B2" w:rsidRDefault="00CB5456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коштів та часу, що витрачатиметься суб’єктами господарювання на виконання вимог акта</w:t>
            </w:r>
          </w:p>
        </w:tc>
        <w:tc>
          <w:tcPr>
            <w:tcW w:w="4677" w:type="dxa"/>
          </w:tcPr>
          <w:p w:rsidR="00CB5456" w:rsidRPr="00B700B2" w:rsidRDefault="00CB5456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на </w:t>
            </w:r>
            <w:r w:rsidR="00FE4A11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антажні перевезення</w:t>
            </w:r>
            <w:r w:rsidR="00FE4A11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залізничним транспортом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зростуть на </w:t>
            </w:r>
            <w:r w:rsidR="00CF1F83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6,315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  <w:r w:rsidR="000D0D73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  <w:r w:rsidR="0035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  <w:r w:rsidR="0017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ПДВ.</w:t>
            </w:r>
            <w:r w:rsidR="00CD1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Додаткового часу вантажовласників не потребує.</w:t>
            </w:r>
          </w:p>
        </w:tc>
      </w:tr>
      <w:tr w:rsidR="00B700B2" w:rsidRPr="00B700B2" w:rsidTr="00BE1C17">
        <w:trPr>
          <w:trHeight w:val="1201"/>
        </w:trPr>
        <w:tc>
          <w:tcPr>
            <w:tcW w:w="4957" w:type="dxa"/>
          </w:tcPr>
          <w:p w:rsidR="0085026E" w:rsidRPr="00B700B2" w:rsidRDefault="0085026E" w:rsidP="00DF19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інформованості</w:t>
            </w:r>
            <w:r w:rsidRPr="00B7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</w:p>
        </w:tc>
        <w:tc>
          <w:tcPr>
            <w:tcW w:w="4677" w:type="dxa"/>
          </w:tcPr>
          <w:p w:rsidR="0085026E" w:rsidRPr="00B700B2" w:rsidRDefault="006C68D0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r w:rsidR="0085026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розміщення проекту регуляторного акта на офіційному сайті Міністерства інфраструктури України</w:t>
            </w:r>
            <w:r w:rsidR="00AA262C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026E" w:rsidRPr="00B7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2890" w:rsidRPr="00B700B2" w:rsidTr="002A2890">
        <w:trPr>
          <w:trHeight w:val="951"/>
        </w:trPr>
        <w:tc>
          <w:tcPr>
            <w:tcW w:w="4957" w:type="dxa"/>
          </w:tcPr>
          <w:p w:rsidR="002A2890" w:rsidRPr="00B700B2" w:rsidRDefault="002A2890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2A2890">
              <w:rPr>
                <w:rFonts w:ascii="Times New Roman" w:eastAsia="Times New Roman" w:hAnsi="Times New Roman" w:cs="Times New Roman"/>
                <w:sz w:val="28"/>
                <w:szCs w:val="28"/>
              </w:rPr>
              <w:t>ндекс тарифів на вантажні перевезення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2A2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кварталу попереднього року)</w:t>
            </w:r>
          </w:p>
        </w:tc>
        <w:tc>
          <w:tcPr>
            <w:tcW w:w="4677" w:type="dxa"/>
          </w:tcPr>
          <w:p w:rsidR="002A2890" w:rsidRPr="002A2890" w:rsidRDefault="002A2890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114,2%</w:t>
            </w:r>
          </w:p>
        </w:tc>
      </w:tr>
      <w:tr w:rsidR="002A2890" w:rsidRPr="00B700B2" w:rsidTr="00871850">
        <w:trPr>
          <w:trHeight w:val="1183"/>
        </w:trPr>
        <w:tc>
          <w:tcPr>
            <w:tcW w:w="4957" w:type="dxa"/>
          </w:tcPr>
          <w:p w:rsidR="002A2890" w:rsidRPr="002753FE" w:rsidRDefault="00871850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3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A2890" w:rsidRPr="002A2890">
              <w:rPr>
                <w:rFonts w:ascii="Times New Roman" w:eastAsia="Times New Roman" w:hAnsi="Times New Roman" w:cs="Times New Roman"/>
                <w:sz w:val="28"/>
                <w:szCs w:val="28"/>
              </w:rPr>
              <w:t>ількіст</w:t>
            </w:r>
            <w:r w:rsidRPr="002753F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2A2890" w:rsidRPr="002A2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кілометрів оновленої інфраструктури, у </w:t>
            </w:r>
            <w:r w:rsidRPr="002753FE">
              <w:rPr>
                <w:rFonts w:ascii="Times New Roman" w:eastAsia="Times New Roman" w:hAnsi="Times New Roman" w:cs="Times New Roman"/>
                <w:sz w:val="28"/>
                <w:szCs w:val="28"/>
              </w:rPr>
              <w:t>т.ч. електрифікованих дільниць</w:t>
            </w:r>
          </w:p>
        </w:tc>
        <w:tc>
          <w:tcPr>
            <w:tcW w:w="4677" w:type="dxa"/>
          </w:tcPr>
          <w:p w:rsidR="002A2890" w:rsidRPr="002753FE" w:rsidRDefault="00283A78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Реконструкція 260 км колій та виконання </w:t>
            </w:r>
            <w:r w:rsidR="001A1EDF" w:rsidRPr="0027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1EDF" w:rsidRPr="0027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A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1EDF" w:rsidRPr="0027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км </w:t>
            </w:r>
            <w:r w:rsidRPr="0027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капітальних ремонтів колій; </w:t>
            </w:r>
            <w:r w:rsidR="0000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початок </w:t>
            </w:r>
            <w:r w:rsidRPr="0027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електрифікаці</w:t>
            </w:r>
            <w:r w:rsidR="0000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="0019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дільниці Ковель – </w:t>
            </w:r>
            <w:proofErr w:type="spellStart"/>
            <w:r w:rsidR="0019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Ізов</w:t>
            </w:r>
            <w:proofErr w:type="spellEnd"/>
            <w:r w:rsidR="0019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Держкордон та реконструкці</w:t>
            </w:r>
            <w:r w:rsidR="0000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27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дільниці Долинська – Миколаїв</w:t>
            </w:r>
          </w:p>
        </w:tc>
      </w:tr>
      <w:tr w:rsidR="002A2890" w:rsidRPr="00B700B2" w:rsidTr="00C55498">
        <w:trPr>
          <w:trHeight w:val="362"/>
        </w:trPr>
        <w:tc>
          <w:tcPr>
            <w:tcW w:w="4957" w:type="dxa"/>
          </w:tcPr>
          <w:p w:rsidR="002A2890" w:rsidRPr="00B700B2" w:rsidRDefault="00871850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A2890" w:rsidRPr="002A2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ількістю </w:t>
            </w:r>
            <w:r w:rsidR="00B64CF3"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</w:t>
            </w:r>
            <w:r w:rsidR="002A2890" w:rsidRPr="002A2890">
              <w:rPr>
                <w:rFonts w:ascii="Times New Roman" w:eastAsia="Times New Roman" w:hAnsi="Times New Roman" w:cs="Times New Roman"/>
                <w:sz w:val="28"/>
                <w:szCs w:val="28"/>
              </w:rPr>
              <w:t>них локомотивів</w:t>
            </w:r>
          </w:p>
        </w:tc>
        <w:tc>
          <w:tcPr>
            <w:tcW w:w="4677" w:type="dxa"/>
          </w:tcPr>
          <w:p w:rsidR="002A2890" w:rsidRPr="00283A78" w:rsidRDefault="00283A78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2A2890" w:rsidRPr="00B700B2" w:rsidTr="002A2890">
        <w:trPr>
          <w:trHeight w:val="951"/>
        </w:trPr>
        <w:tc>
          <w:tcPr>
            <w:tcW w:w="4957" w:type="dxa"/>
          </w:tcPr>
          <w:p w:rsidR="002A2890" w:rsidRPr="00B700B2" w:rsidRDefault="00871850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A2890" w:rsidRPr="002A2890">
              <w:rPr>
                <w:rFonts w:ascii="Times New Roman" w:eastAsia="Times New Roman" w:hAnsi="Times New Roman" w:cs="Times New Roman"/>
                <w:sz w:val="28"/>
                <w:szCs w:val="28"/>
              </w:rPr>
              <w:t>бсяги перевезень вантажів залізничним транспортом у межах України</w:t>
            </w:r>
          </w:p>
        </w:tc>
        <w:tc>
          <w:tcPr>
            <w:tcW w:w="4677" w:type="dxa"/>
          </w:tcPr>
          <w:p w:rsidR="002A2890" w:rsidRPr="00B700B2" w:rsidRDefault="00871850" w:rsidP="00DF1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="0019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ановий вантажообіг 174,065 млрд</w:t>
            </w:r>
            <w:r w:rsidR="0035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т-км</w:t>
            </w:r>
          </w:p>
        </w:tc>
      </w:tr>
    </w:tbl>
    <w:p w:rsidR="00B64CF3" w:rsidRPr="0017563E" w:rsidRDefault="00B64CF3" w:rsidP="00DA08C4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</w:t>
      </w:r>
      <w:r w:rsidR="00692DA5"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7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 результативності дії вказаного регуляторного акта буде здійснюватися після набрання чинності актом, але не пізніше дня, з якого починається проведення повторного відстеження результативності дії акта.</w:t>
      </w: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оцінки ступеня досягнення регуляторним актом визначених цілей повторне відстеження результативності дії регуляторного акта буде проводитися через рік після набрання ним чинності, але не пізніше ніж через два роки з дня набрання чинності цим актом.</w:t>
      </w: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Періодичні відстеження результативності дії регуляторного акта будуть здійснюватися раз на кожні три роки, починаючи з дня закінчення заходів з повторного відстеження результативності дії цього акта.</w:t>
      </w:r>
      <w:r w:rsidRPr="00B700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даних, які використовуватимуться для відстеження</w:t>
      </w:r>
      <w:r w:rsidR="00ED2439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статистичні дані за основними показниками результативності дії регуляторного акта та дані, отримані шляхом дослідження показників.</w:t>
      </w:r>
    </w:p>
    <w:p w:rsidR="00BC5B49" w:rsidRPr="00B700B2" w:rsidRDefault="00BC5B49" w:rsidP="00DA08C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 заходів – Міністерство інфраструктури України</w:t>
      </w:r>
      <w:r w:rsidR="000C70EC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26E" w:rsidRPr="00B700B2" w:rsidRDefault="0085026E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801" w:rsidRPr="00B700B2" w:rsidRDefault="0085026E" w:rsidP="001756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 інфраструктури України</w:t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О</w:t>
      </w:r>
      <w:r w:rsidR="0033700C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МЕЛЯН</w:t>
      </w:r>
    </w:p>
    <w:p w:rsidR="00E13D13" w:rsidRPr="00B700B2" w:rsidRDefault="00E13D13" w:rsidP="00DA08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B2" w:rsidRPr="00B700B2" w:rsidRDefault="004E4DAA" w:rsidP="0017563E">
      <w:pPr>
        <w:jc w:val="both"/>
        <w:rPr>
          <w:rFonts w:ascii="Times New Roman" w:hAnsi="Times New Roman" w:cs="Times New Roman"/>
        </w:rPr>
      </w:pPr>
      <w:r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85026E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 201</w:t>
      </w:r>
      <w:r w:rsidR="00CF1F83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026E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5C7BE6" w:rsidRPr="00B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700B2" w:rsidRPr="00B700B2" w:rsidSect="00DA08C4">
      <w:headerReference w:type="even" r:id="rId13"/>
      <w:headerReference w:type="default" r:id="rId14"/>
      <w:footerReference w:type="even" r:id="rId15"/>
      <w:pgSz w:w="11906" w:h="16838"/>
      <w:pgMar w:top="1134" w:right="567" w:bottom="1134" w:left="1701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AD" w:rsidRDefault="004C5FAD">
      <w:r>
        <w:separator/>
      </w:r>
    </w:p>
  </w:endnote>
  <w:endnote w:type="continuationSeparator" w:id="0">
    <w:p w:rsidR="004C5FAD" w:rsidRDefault="004C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96" w:rsidRDefault="00563796" w:rsidP="003A70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563796" w:rsidRDefault="00563796" w:rsidP="003A70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AD" w:rsidRDefault="004C5FAD">
      <w:r>
        <w:separator/>
      </w:r>
    </w:p>
  </w:footnote>
  <w:footnote w:type="continuationSeparator" w:id="0">
    <w:p w:rsidR="004C5FAD" w:rsidRDefault="004C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96" w:rsidRDefault="00563796" w:rsidP="003A70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563796" w:rsidRDefault="005637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96" w:rsidRPr="00F10ED9" w:rsidRDefault="00563796" w:rsidP="003A70A8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F10ED9">
      <w:rPr>
        <w:rStyle w:val="a7"/>
        <w:sz w:val="28"/>
        <w:szCs w:val="28"/>
      </w:rPr>
      <w:fldChar w:fldCharType="begin"/>
    </w:r>
    <w:r w:rsidRPr="00F10ED9">
      <w:rPr>
        <w:rStyle w:val="a7"/>
        <w:sz w:val="28"/>
        <w:szCs w:val="28"/>
      </w:rPr>
      <w:instrText xml:space="preserve">PAGE  </w:instrText>
    </w:r>
    <w:r w:rsidRPr="00F10ED9">
      <w:rPr>
        <w:rStyle w:val="a7"/>
        <w:sz w:val="28"/>
        <w:szCs w:val="28"/>
      </w:rPr>
      <w:fldChar w:fldCharType="separate"/>
    </w:r>
    <w:r w:rsidR="00E65CF3">
      <w:rPr>
        <w:rStyle w:val="a7"/>
        <w:noProof/>
        <w:sz w:val="28"/>
        <w:szCs w:val="28"/>
      </w:rPr>
      <w:t>22</w:t>
    </w:r>
    <w:r w:rsidRPr="00F10ED9">
      <w:rPr>
        <w:rStyle w:val="a7"/>
        <w:sz w:val="28"/>
        <w:szCs w:val="28"/>
      </w:rPr>
      <w:fldChar w:fldCharType="end"/>
    </w:r>
  </w:p>
  <w:p w:rsidR="00563796" w:rsidRPr="00CA0C40" w:rsidRDefault="00563796" w:rsidP="003A70A8">
    <w:pPr>
      <w:pStyle w:val="a3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6F4"/>
    <w:multiLevelType w:val="hybridMultilevel"/>
    <w:tmpl w:val="EB42C09C"/>
    <w:lvl w:ilvl="0" w:tplc="3294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A6407"/>
    <w:multiLevelType w:val="hybridMultilevel"/>
    <w:tmpl w:val="D722C2C2"/>
    <w:lvl w:ilvl="0" w:tplc="18A6E4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0D5018"/>
    <w:multiLevelType w:val="hybridMultilevel"/>
    <w:tmpl w:val="09C4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FF5"/>
    <w:multiLevelType w:val="hybridMultilevel"/>
    <w:tmpl w:val="3BEAF764"/>
    <w:lvl w:ilvl="0" w:tplc="0D62A9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A80720"/>
    <w:multiLevelType w:val="hybridMultilevel"/>
    <w:tmpl w:val="1E5AE040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D6212"/>
    <w:multiLevelType w:val="hybridMultilevel"/>
    <w:tmpl w:val="F68C1A6A"/>
    <w:lvl w:ilvl="0" w:tplc="8EACD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E5901"/>
    <w:multiLevelType w:val="hybridMultilevel"/>
    <w:tmpl w:val="843EBA72"/>
    <w:lvl w:ilvl="0" w:tplc="62941D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765569"/>
    <w:multiLevelType w:val="hybridMultilevel"/>
    <w:tmpl w:val="2F4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C7699"/>
    <w:multiLevelType w:val="hybridMultilevel"/>
    <w:tmpl w:val="B672D3F2"/>
    <w:lvl w:ilvl="0" w:tplc="ADDE9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D91CAF"/>
    <w:multiLevelType w:val="hybridMultilevel"/>
    <w:tmpl w:val="A3243D8C"/>
    <w:lvl w:ilvl="0" w:tplc="F192029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4011681"/>
    <w:multiLevelType w:val="hybridMultilevel"/>
    <w:tmpl w:val="60C25390"/>
    <w:lvl w:ilvl="0" w:tplc="3D8EF7EA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E250F"/>
    <w:multiLevelType w:val="hybridMultilevel"/>
    <w:tmpl w:val="F1A6FD22"/>
    <w:lvl w:ilvl="0" w:tplc="026E8990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6E"/>
    <w:rsid w:val="00001589"/>
    <w:rsid w:val="00002342"/>
    <w:rsid w:val="00006487"/>
    <w:rsid w:val="00006633"/>
    <w:rsid w:val="00006FA5"/>
    <w:rsid w:val="00007873"/>
    <w:rsid w:val="00010F30"/>
    <w:rsid w:val="0001297D"/>
    <w:rsid w:val="00014FF4"/>
    <w:rsid w:val="000176E0"/>
    <w:rsid w:val="00020E86"/>
    <w:rsid w:val="00022F98"/>
    <w:rsid w:val="00024866"/>
    <w:rsid w:val="00024904"/>
    <w:rsid w:val="00024F74"/>
    <w:rsid w:val="00026079"/>
    <w:rsid w:val="00026EC9"/>
    <w:rsid w:val="00027022"/>
    <w:rsid w:val="00030A57"/>
    <w:rsid w:val="000322C6"/>
    <w:rsid w:val="00032898"/>
    <w:rsid w:val="00033DB6"/>
    <w:rsid w:val="0003552B"/>
    <w:rsid w:val="00035F0D"/>
    <w:rsid w:val="00036C88"/>
    <w:rsid w:val="0004035F"/>
    <w:rsid w:val="000412E9"/>
    <w:rsid w:val="00044531"/>
    <w:rsid w:val="00044C18"/>
    <w:rsid w:val="00051736"/>
    <w:rsid w:val="0005305C"/>
    <w:rsid w:val="00054443"/>
    <w:rsid w:val="00054E3E"/>
    <w:rsid w:val="000608E2"/>
    <w:rsid w:val="00062EC2"/>
    <w:rsid w:val="00063428"/>
    <w:rsid w:val="000650ED"/>
    <w:rsid w:val="000652C5"/>
    <w:rsid w:val="0007770C"/>
    <w:rsid w:val="00081D60"/>
    <w:rsid w:val="00082469"/>
    <w:rsid w:val="000844B1"/>
    <w:rsid w:val="000844F5"/>
    <w:rsid w:val="00091D5C"/>
    <w:rsid w:val="00091FD6"/>
    <w:rsid w:val="00092271"/>
    <w:rsid w:val="00092AE4"/>
    <w:rsid w:val="00095930"/>
    <w:rsid w:val="00097F7D"/>
    <w:rsid w:val="000A0978"/>
    <w:rsid w:val="000A4E4A"/>
    <w:rsid w:val="000A68F8"/>
    <w:rsid w:val="000B005E"/>
    <w:rsid w:val="000B121A"/>
    <w:rsid w:val="000B1496"/>
    <w:rsid w:val="000B2551"/>
    <w:rsid w:val="000B6B24"/>
    <w:rsid w:val="000B7DFD"/>
    <w:rsid w:val="000C2B74"/>
    <w:rsid w:val="000C2D4B"/>
    <w:rsid w:val="000C5388"/>
    <w:rsid w:val="000C5B5E"/>
    <w:rsid w:val="000C6C01"/>
    <w:rsid w:val="000C70EC"/>
    <w:rsid w:val="000C7EC1"/>
    <w:rsid w:val="000D04B8"/>
    <w:rsid w:val="000D0D73"/>
    <w:rsid w:val="000D4497"/>
    <w:rsid w:val="000D5F04"/>
    <w:rsid w:val="000D6233"/>
    <w:rsid w:val="000D688C"/>
    <w:rsid w:val="000D6B8C"/>
    <w:rsid w:val="000E00FE"/>
    <w:rsid w:val="000E010F"/>
    <w:rsid w:val="000E1145"/>
    <w:rsid w:val="000E639F"/>
    <w:rsid w:val="000E6D24"/>
    <w:rsid w:val="000F4456"/>
    <w:rsid w:val="000F5764"/>
    <w:rsid w:val="000F58EB"/>
    <w:rsid w:val="001009D3"/>
    <w:rsid w:val="00101662"/>
    <w:rsid w:val="00101C57"/>
    <w:rsid w:val="00102BB7"/>
    <w:rsid w:val="0010759F"/>
    <w:rsid w:val="00110FFA"/>
    <w:rsid w:val="00111566"/>
    <w:rsid w:val="001138A8"/>
    <w:rsid w:val="001147FD"/>
    <w:rsid w:val="00116F49"/>
    <w:rsid w:val="00117575"/>
    <w:rsid w:val="001240DC"/>
    <w:rsid w:val="00125438"/>
    <w:rsid w:val="0012588B"/>
    <w:rsid w:val="00127562"/>
    <w:rsid w:val="00127932"/>
    <w:rsid w:val="0013158E"/>
    <w:rsid w:val="00131949"/>
    <w:rsid w:val="00134101"/>
    <w:rsid w:val="00135F76"/>
    <w:rsid w:val="001403EB"/>
    <w:rsid w:val="0014103F"/>
    <w:rsid w:val="00141C12"/>
    <w:rsid w:val="00141CBC"/>
    <w:rsid w:val="00142134"/>
    <w:rsid w:val="00142B89"/>
    <w:rsid w:val="001445A4"/>
    <w:rsid w:val="00144F96"/>
    <w:rsid w:val="00150833"/>
    <w:rsid w:val="001528BC"/>
    <w:rsid w:val="001529DF"/>
    <w:rsid w:val="001549B5"/>
    <w:rsid w:val="00155A1F"/>
    <w:rsid w:val="001563AB"/>
    <w:rsid w:val="00157EE4"/>
    <w:rsid w:val="00161866"/>
    <w:rsid w:val="001619D4"/>
    <w:rsid w:val="00163D5A"/>
    <w:rsid w:val="00164739"/>
    <w:rsid w:val="00164D56"/>
    <w:rsid w:val="00166E53"/>
    <w:rsid w:val="00170E71"/>
    <w:rsid w:val="001718C4"/>
    <w:rsid w:val="0017563E"/>
    <w:rsid w:val="00176FAC"/>
    <w:rsid w:val="00177008"/>
    <w:rsid w:val="00177053"/>
    <w:rsid w:val="001815DD"/>
    <w:rsid w:val="001829A8"/>
    <w:rsid w:val="001854B5"/>
    <w:rsid w:val="00185E3D"/>
    <w:rsid w:val="00191230"/>
    <w:rsid w:val="00193335"/>
    <w:rsid w:val="0019343C"/>
    <w:rsid w:val="00194112"/>
    <w:rsid w:val="001949AA"/>
    <w:rsid w:val="00195095"/>
    <w:rsid w:val="00196753"/>
    <w:rsid w:val="00196DB7"/>
    <w:rsid w:val="00197BCA"/>
    <w:rsid w:val="001A1804"/>
    <w:rsid w:val="001A1EDF"/>
    <w:rsid w:val="001A2DEA"/>
    <w:rsid w:val="001A5D85"/>
    <w:rsid w:val="001A63FA"/>
    <w:rsid w:val="001B2938"/>
    <w:rsid w:val="001B3DA4"/>
    <w:rsid w:val="001B54DF"/>
    <w:rsid w:val="001B651F"/>
    <w:rsid w:val="001C1219"/>
    <w:rsid w:val="001C2893"/>
    <w:rsid w:val="001C4714"/>
    <w:rsid w:val="001C76FE"/>
    <w:rsid w:val="001C79A7"/>
    <w:rsid w:val="001D2B83"/>
    <w:rsid w:val="001D3A46"/>
    <w:rsid w:val="001D4A42"/>
    <w:rsid w:val="001D5932"/>
    <w:rsid w:val="001D5E4F"/>
    <w:rsid w:val="001D5FBC"/>
    <w:rsid w:val="001D6583"/>
    <w:rsid w:val="001D69CC"/>
    <w:rsid w:val="001D7040"/>
    <w:rsid w:val="001E0C69"/>
    <w:rsid w:val="001E14B4"/>
    <w:rsid w:val="001E4CE8"/>
    <w:rsid w:val="001E532E"/>
    <w:rsid w:val="001E74B3"/>
    <w:rsid w:val="001E79DB"/>
    <w:rsid w:val="001E7AA6"/>
    <w:rsid w:val="001F0AB8"/>
    <w:rsid w:val="001F1A8E"/>
    <w:rsid w:val="001F2A76"/>
    <w:rsid w:val="001F3A30"/>
    <w:rsid w:val="001F3BA3"/>
    <w:rsid w:val="001F6CE9"/>
    <w:rsid w:val="001F7457"/>
    <w:rsid w:val="001F7F20"/>
    <w:rsid w:val="0020179A"/>
    <w:rsid w:val="00202AB0"/>
    <w:rsid w:val="002032FB"/>
    <w:rsid w:val="002038C1"/>
    <w:rsid w:val="00204297"/>
    <w:rsid w:val="00204B2F"/>
    <w:rsid w:val="00212166"/>
    <w:rsid w:val="002137F8"/>
    <w:rsid w:val="00213BDE"/>
    <w:rsid w:val="0021612C"/>
    <w:rsid w:val="002166CB"/>
    <w:rsid w:val="0021671E"/>
    <w:rsid w:val="00217768"/>
    <w:rsid w:val="00222FAC"/>
    <w:rsid w:val="0022502D"/>
    <w:rsid w:val="00226FFB"/>
    <w:rsid w:val="00230937"/>
    <w:rsid w:val="00230A57"/>
    <w:rsid w:val="00233A30"/>
    <w:rsid w:val="00235901"/>
    <w:rsid w:val="00236CF1"/>
    <w:rsid w:val="00241490"/>
    <w:rsid w:val="00241704"/>
    <w:rsid w:val="0024193C"/>
    <w:rsid w:val="00241BAA"/>
    <w:rsid w:val="002438E3"/>
    <w:rsid w:val="00243DE4"/>
    <w:rsid w:val="002451FF"/>
    <w:rsid w:val="002454DB"/>
    <w:rsid w:val="00245740"/>
    <w:rsid w:val="002466B9"/>
    <w:rsid w:val="00247FAF"/>
    <w:rsid w:val="00250F6E"/>
    <w:rsid w:val="00251C37"/>
    <w:rsid w:val="002529E3"/>
    <w:rsid w:val="00255A86"/>
    <w:rsid w:val="00256173"/>
    <w:rsid w:val="00257174"/>
    <w:rsid w:val="00260354"/>
    <w:rsid w:val="00262849"/>
    <w:rsid w:val="0026673A"/>
    <w:rsid w:val="00272D34"/>
    <w:rsid w:val="00273A68"/>
    <w:rsid w:val="00273E8A"/>
    <w:rsid w:val="002741C5"/>
    <w:rsid w:val="002750DD"/>
    <w:rsid w:val="002753FE"/>
    <w:rsid w:val="00276FCD"/>
    <w:rsid w:val="00277F56"/>
    <w:rsid w:val="002813F9"/>
    <w:rsid w:val="00281F0A"/>
    <w:rsid w:val="0028309C"/>
    <w:rsid w:val="00283A78"/>
    <w:rsid w:val="002845B1"/>
    <w:rsid w:val="00287592"/>
    <w:rsid w:val="0029197B"/>
    <w:rsid w:val="00293899"/>
    <w:rsid w:val="002944C9"/>
    <w:rsid w:val="0029530C"/>
    <w:rsid w:val="00295BC0"/>
    <w:rsid w:val="00295F12"/>
    <w:rsid w:val="002A0ADF"/>
    <w:rsid w:val="002A2890"/>
    <w:rsid w:val="002A4883"/>
    <w:rsid w:val="002A6A26"/>
    <w:rsid w:val="002A758E"/>
    <w:rsid w:val="002C0328"/>
    <w:rsid w:val="002D2736"/>
    <w:rsid w:val="002D447D"/>
    <w:rsid w:val="002D7D74"/>
    <w:rsid w:val="002E03DE"/>
    <w:rsid w:val="002E15F9"/>
    <w:rsid w:val="002E1A8E"/>
    <w:rsid w:val="002E51C0"/>
    <w:rsid w:val="002E55C5"/>
    <w:rsid w:val="002E6523"/>
    <w:rsid w:val="002E6DC2"/>
    <w:rsid w:val="002F1580"/>
    <w:rsid w:val="002F1E2C"/>
    <w:rsid w:val="002F5C3E"/>
    <w:rsid w:val="002F5E20"/>
    <w:rsid w:val="002F65E6"/>
    <w:rsid w:val="002F6652"/>
    <w:rsid w:val="002F6C13"/>
    <w:rsid w:val="0030198D"/>
    <w:rsid w:val="0030794A"/>
    <w:rsid w:val="00307C81"/>
    <w:rsid w:val="003102A9"/>
    <w:rsid w:val="0031367C"/>
    <w:rsid w:val="00313D93"/>
    <w:rsid w:val="00315C9C"/>
    <w:rsid w:val="00315D64"/>
    <w:rsid w:val="0031680A"/>
    <w:rsid w:val="003170BE"/>
    <w:rsid w:val="00320442"/>
    <w:rsid w:val="00323D6A"/>
    <w:rsid w:val="00324A80"/>
    <w:rsid w:val="00330066"/>
    <w:rsid w:val="00333021"/>
    <w:rsid w:val="00333C6C"/>
    <w:rsid w:val="0033700C"/>
    <w:rsid w:val="003374B6"/>
    <w:rsid w:val="00340529"/>
    <w:rsid w:val="00342EDC"/>
    <w:rsid w:val="00352ECE"/>
    <w:rsid w:val="00352FBB"/>
    <w:rsid w:val="00353C16"/>
    <w:rsid w:val="00353D50"/>
    <w:rsid w:val="00354506"/>
    <w:rsid w:val="00354691"/>
    <w:rsid w:val="00360BA9"/>
    <w:rsid w:val="00363F41"/>
    <w:rsid w:val="0036412B"/>
    <w:rsid w:val="00364F38"/>
    <w:rsid w:val="0036700B"/>
    <w:rsid w:val="00370AFB"/>
    <w:rsid w:val="00371AD6"/>
    <w:rsid w:val="00371FEA"/>
    <w:rsid w:val="00372ED0"/>
    <w:rsid w:val="0037513F"/>
    <w:rsid w:val="00381BC4"/>
    <w:rsid w:val="00382A35"/>
    <w:rsid w:val="003906A0"/>
    <w:rsid w:val="0039203F"/>
    <w:rsid w:val="0039321A"/>
    <w:rsid w:val="003975E2"/>
    <w:rsid w:val="003A0A1A"/>
    <w:rsid w:val="003A2261"/>
    <w:rsid w:val="003A2A29"/>
    <w:rsid w:val="003A2D32"/>
    <w:rsid w:val="003A3101"/>
    <w:rsid w:val="003A5D1E"/>
    <w:rsid w:val="003A70A8"/>
    <w:rsid w:val="003A7563"/>
    <w:rsid w:val="003A7B5D"/>
    <w:rsid w:val="003B265A"/>
    <w:rsid w:val="003B3213"/>
    <w:rsid w:val="003B4740"/>
    <w:rsid w:val="003B4A48"/>
    <w:rsid w:val="003B5D88"/>
    <w:rsid w:val="003C387C"/>
    <w:rsid w:val="003D00F8"/>
    <w:rsid w:val="003D337D"/>
    <w:rsid w:val="003D3682"/>
    <w:rsid w:val="003D3DF0"/>
    <w:rsid w:val="003D52F9"/>
    <w:rsid w:val="003E066B"/>
    <w:rsid w:val="003E1A41"/>
    <w:rsid w:val="003E1FF6"/>
    <w:rsid w:val="003E4D47"/>
    <w:rsid w:val="003E55E8"/>
    <w:rsid w:val="003E6CAC"/>
    <w:rsid w:val="003E7437"/>
    <w:rsid w:val="003F11C9"/>
    <w:rsid w:val="003F16FA"/>
    <w:rsid w:val="003F2F3F"/>
    <w:rsid w:val="003F355D"/>
    <w:rsid w:val="003F5533"/>
    <w:rsid w:val="003F5ACC"/>
    <w:rsid w:val="003F606B"/>
    <w:rsid w:val="003F6D19"/>
    <w:rsid w:val="003F73F7"/>
    <w:rsid w:val="003F7A48"/>
    <w:rsid w:val="0040044C"/>
    <w:rsid w:val="004016F9"/>
    <w:rsid w:val="00407094"/>
    <w:rsid w:val="00407E43"/>
    <w:rsid w:val="00410B85"/>
    <w:rsid w:val="00410D19"/>
    <w:rsid w:val="00412276"/>
    <w:rsid w:val="004157EE"/>
    <w:rsid w:val="004238DA"/>
    <w:rsid w:val="004241FB"/>
    <w:rsid w:val="00425AB4"/>
    <w:rsid w:val="004264CF"/>
    <w:rsid w:val="004308A5"/>
    <w:rsid w:val="004324FE"/>
    <w:rsid w:val="00432AF8"/>
    <w:rsid w:val="004339D0"/>
    <w:rsid w:val="00435496"/>
    <w:rsid w:val="00437B9D"/>
    <w:rsid w:val="00440476"/>
    <w:rsid w:val="004429BE"/>
    <w:rsid w:val="00450F4C"/>
    <w:rsid w:val="00452531"/>
    <w:rsid w:val="00452795"/>
    <w:rsid w:val="00456431"/>
    <w:rsid w:val="004602DC"/>
    <w:rsid w:val="00462557"/>
    <w:rsid w:val="00462A74"/>
    <w:rsid w:val="00465071"/>
    <w:rsid w:val="004718AF"/>
    <w:rsid w:val="004728EF"/>
    <w:rsid w:val="00472B97"/>
    <w:rsid w:val="00473EC8"/>
    <w:rsid w:val="00473FE3"/>
    <w:rsid w:val="00476C8B"/>
    <w:rsid w:val="00480D76"/>
    <w:rsid w:val="00485E24"/>
    <w:rsid w:val="004875CE"/>
    <w:rsid w:val="00487FE7"/>
    <w:rsid w:val="00492590"/>
    <w:rsid w:val="0049295D"/>
    <w:rsid w:val="00496A0C"/>
    <w:rsid w:val="004972E2"/>
    <w:rsid w:val="004A0387"/>
    <w:rsid w:val="004A0F6F"/>
    <w:rsid w:val="004A2C54"/>
    <w:rsid w:val="004A2C85"/>
    <w:rsid w:val="004A3F19"/>
    <w:rsid w:val="004A4CAF"/>
    <w:rsid w:val="004A6145"/>
    <w:rsid w:val="004A614D"/>
    <w:rsid w:val="004A6276"/>
    <w:rsid w:val="004A7234"/>
    <w:rsid w:val="004B33D8"/>
    <w:rsid w:val="004B3AF7"/>
    <w:rsid w:val="004B4210"/>
    <w:rsid w:val="004B5FBB"/>
    <w:rsid w:val="004C061C"/>
    <w:rsid w:val="004C0715"/>
    <w:rsid w:val="004C5736"/>
    <w:rsid w:val="004C5FAD"/>
    <w:rsid w:val="004C6383"/>
    <w:rsid w:val="004C6D17"/>
    <w:rsid w:val="004D0717"/>
    <w:rsid w:val="004D10A2"/>
    <w:rsid w:val="004D1C71"/>
    <w:rsid w:val="004D7211"/>
    <w:rsid w:val="004E23FA"/>
    <w:rsid w:val="004E322A"/>
    <w:rsid w:val="004E4DAA"/>
    <w:rsid w:val="004E5DA4"/>
    <w:rsid w:val="004E5FFB"/>
    <w:rsid w:val="004F07BA"/>
    <w:rsid w:val="004F1A50"/>
    <w:rsid w:val="004F256D"/>
    <w:rsid w:val="004F2DB7"/>
    <w:rsid w:val="004F34CB"/>
    <w:rsid w:val="004F48BA"/>
    <w:rsid w:val="004F4F6C"/>
    <w:rsid w:val="004F4FEA"/>
    <w:rsid w:val="004F647B"/>
    <w:rsid w:val="004F659F"/>
    <w:rsid w:val="004F670D"/>
    <w:rsid w:val="004F74B6"/>
    <w:rsid w:val="00501456"/>
    <w:rsid w:val="00501631"/>
    <w:rsid w:val="0050223E"/>
    <w:rsid w:val="00503483"/>
    <w:rsid w:val="005034A9"/>
    <w:rsid w:val="005049A4"/>
    <w:rsid w:val="00505404"/>
    <w:rsid w:val="005069A8"/>
    <w:rsid w:val="0050713C"/>
    <w:rsid w:val="005116CE"/>
    <w:rsid w:val="005138C6"/>
    <w:rsid w:val="00517A00"/>
    <w:rsid w:val="005219F9"/>
    <w:rsid w:val="00521EC2"/>
    <w:rsid w:val="0052760E"/>
    <w:rsid w:val="00530DFE"/>
    <w:rsid w:val="00530E1A"/>
    <w:rsid w:val="00532417"/>
    <w:rsid w:val="005325B5"/>
    <w:rsid w:val="005369A9"/>
    <w:rsid w:val="0054227F"/>
    <w:rsid w:val="00542EE0"/>
    <w:rsid w:val="00543095"/>
    <w:rsid w:val="005431BE"/>
    <w:rsid w:val="00543E2A"/>
    <w:rsid w:val="00545FDA"/>
    <w:rsid w:val="005466D1"/>
    <w:rsid w:val="00547082"/>
    <w:rsid w:val="005507FC"/>
    <w:rsid w:val="00550DC4"/>
    <w:rsid w:val="0055148D"/>
    <w:rsid w:val="0055633D"/>
    <w:rsid w:val="005571EC"/>
    <w:rsid w:val="00563796"/>
    <w:rsid w:val="00563A01"/>
    <w:rsid w:val="00565182"/>
    <w:rsid w:val="00565574"/>
    <w:rsid w:val="005663D7"/>
    <w:rsid w:val="00566901"/>
    <w:rsid w:val="00566AB7"/>
    <w:rsid w:val="00567A01"/>
    <w:rsid w:val="005715EB"/>
    <w:rsid w:val="00573DB3"/>
    <w:rsid w:val="00580328"/>
    <w:rsid w:val="00581A14"/>
    <w:rsid w:val="00583A8E"/>
    <w:rsid w:val="00584944"/>
    <w:rsid w:val="00585E53"/>
    <w:rsid w:val="005860EB"/>
    <w:rsid w:val="00586304"/>
    <w:rsid w:val="0058658F"/>
    <w:rsid w:val="00587FFB"/>
    <w:rsid w:val="00590049"/>
    <w:rsid w:val="00591081"/>
    <w:rsid w:val="00591D6D"/>
    <w:rsid w:val="00593272"/>
    <w:rsid w:val="005936FB"/>
    <w:rsid w:val="005A4897"/>
    <w:rsid w:val="005A4F34"/>
    <w:rsid w:val="005A5C35"/>
    <w:rsid w:val="005A5DA0"/>
    <w:rsid w:val="005B1BF3"/>
    <w:rsid w:val="005B2C0E"/>
    <w:rsid w:val="005B2D27"/>
    <w:rsid w:val="005B4758"/>
    <w:rsid w:val="005C2725"/>
    <w:rsid w:val="005C31A2"/>
    <w:rsid w:val="005C36C4"/>
    <w:rsid w:val="005C3B0A"/>
    <w:rsid w:val="005C5469"/>
    <w:rsid w:val="005C5788"/>
    <w:rsid w:val="005C5E3A"/>
    <w:rsid w:val="005C6834"/>
    <w:rsid w:val="005C7A19"/>
    <w:rsid w:val="005C7BE6"/>
    <w:rsid w:val="005D0E25"/>
    <w:rsid w:val="005D16E6"/>
    <w:rsid w:val="005D4778"/>
    <w:rsid w:val="005D4C69"/>
    <w:rsid w:val="005D6522"/>
    <w:rsid w:val="005D7557"/>
    <w:rsid w:val="005E0756"/>
    <w:rsid w:val="005E087F"/>
    <w:rsid w:val="005E150A"/>
    <w:rsid w:val="005E1ABC"/>
    <w:rsid w:val="005E46D5"/>
    <w:rsid w:val="005E6A59"/>
    <w:rsid w:val="005F0C4C"/>
    <w:rsid w:val="005F2466"/>
    <w:rsid w:val="005F3591"/>
    <w:rsid w:val="005F38A7"/>
    <w:rsid w:val="005F73FE"/>
    <w:rsid w:val="00600165"/>
    <w:rsid w:val="00601BA4"/>
    <w:rsid w:val="00604687"/>
    <w:rsid w:val="00604880"/>
    <w:rsid w:val="00605915"/>
    <w:rsid w:val="006066D8"/>
    <w:rsid w:val="00607CBF"/>
    <w:rsid w:val="00612DD6"/>
    <w:rsid w:val="00615221"/>
    <w:rsid w:val="00620734"/>
    <w:rsid w:val="006221A5"/>
    <w:rsid w:val="00624B2F"/>
    <w:rsid w:val="00627D1E"/>
    <w:rsid w:val="00630B80"/>
    <w:rsid w:val="00640CC0"/>
    <w:rsid w:val="006411AA"/>
    <w:rsid w:val="00641432"/>
    <w:rsid w:val="0064145E"/>
    <w:rsid w:val="0064243A"/>
    <w:rsid w:val="0064249E"/>
    <w:rsid w:val="006433A7"/>
    <w:rsid w:val="006461FA"/>
    <w:rsid w:val="006463FF"/>
    <w:rsid w:val="006464FD"/>
    <w:rsid w:val="006469AD"/>
    <w:rsid w:val="00646ADB"/>
    <w:rsid w:val="00657409"/>
    <w:rsid w:val="00661B99"/>
    <w:rsid w:val="00662EC0"/>
    <w:rsid w:val="00662FE1"/>
    <w:rsid w:val="006645E4"/>
    <w:rsid w:val="00664687"/>
    <w:rsid w:val="00666494"/>
    <w:rsid w:val="0067093E"/>
    <w:rsid w:val="00671353"/>
    <w:rsid w:val="00675BD1"/>
    <w:rsid w:val="00676F79"/>
    <w:rsid w:val="00677D40"/>
    <w:rsid w:val="0068022A"/>
    <w:rsid w:val="0068167C"/>
    <w:rsid w:val="006832EE"/>
    <w:rsid w:val="006859CA"/>
    <w:rsid w:val="00687336"/>
    <w:rsid w:val="0069070D"/>
    <w:rsid w:val="0069164F"/>
    <w:rsid w:val="00692DA5"/>
    <w:rsid w:val="00694C02"/>
    <w:rsid w:val="00695A10"/>
    <w:rsid w:val="00695D72"/>
    <w:rsid w:val="006A1398"/>
    <w:rsid w:val="006A2139"/>
    <w:rsid w:val="006A2FD3"/>
    <w:rsid w:val="006A3A17"/>
    <w:rsid w:val="006A7921"/>
    <w:rsid w:val="006A7B31"/>
    <w:rsid w:val="006B0B9A"/>
    <w:rsid w:val="006B254D"/>
    <w:rsid w:val="006B6070"/>
    <w:rsid w:val="006C0656"/>
    <w:rsid w:val="006C13ED"/>
    <w:rsid w:val="006C2489"/>
    <w:rsid w:val="006C43CB"/>
    <w:rsid w:val="006C4B7E"/>
    <w:rsid w:val="006C530D"/>
    <w:rsid w:val="006C68D0"/>
    <w:rsid w:val="006C7B36"/>
    <w:rsid w:val="006C7D70"/>
    <w:rsid w:val="006D04EA"/>
    <w:rsid w:val="006D0760"/>
    <w:rsid w:val="006D2C44"/>
    <w:rsid w:val="006D362B"/>
    <w:rsid w:val="006D3D23"/>
    <w:rsid w:val="006D5E39"/>
    <w:rsid w:val="006E30E3"/>
    <w:rsid w:val="006E3128"/>
    <w:rsid w:val="006E38EB"/>
    <w:rsid w:val="006E4317"/>
    <w:rsid w:val="006E5DC1"/>
    <w:rsid w:val="006E5DDD"/>
    <w:rsid w:val="006F1D0C"/>
    <w:rsid w:val="006F1DFB"/>
    <w:rsid w:val="006F6CF8"/>
    <w:rsid w:val="006F6F0D"/>
    <w:rsid w:val="007037DC"/>
    <w:rsid w:val="00703F48"/>
    <w:rsid w:val="007041D9"/>
    <w:rsid w:val="0070471D"/>
    <w:rsid w:val="00706769"/>
    <w:rsid w:val="007067C9"/>
    <w:rsid w:val="00706897"/>
    <w:rsid w:val="0070726D"/>
    <w:rsid w:val="00711E6C"/>
    <w:rsid w:val="00712A15"/>
    <w:rsid w:val="00713335"/>
    <w:rsid w:val="00713E32"/>
    <w:rsid w:val="00714BA9"/>
    <w:rsid w:val="00715E50"/>
    <w:rsid w:val="00715EDA"/>
    <w:rsid w:val="00721020"/>
    <w:rsid w:val="007211E9"/>
    <w:rsid w:val="00722A1A"/>
    <w:rsid w:val="0072378D"/>
    <w:rsid w:val="00724AA4"/>
    <w:rsid w:val="00724E49"/>
    <w:rsid w:val="00727C8E"/>
    <w:rsid w:val="00727D39"/>
    <w:rsid w:val="007316C0"/>
    <w:rsid w:val="00734B5D"/>
    <w:rsid w:val="00737DAD"/>
    <w:rsid w:val="007403AB"/>
    <w:rsid w:val="007448E5"/>
    <w:rsid w:val="00745C7A"/>
    <w:rsid w:val="00746A6B"/>
    <w:rsid w:val="00747A3F"/>
    <w:rsid w:val="007520A3"/>
    <w:rsid w:val="0075260E"/>
    <w:rsid w:val="00753E33"/>
    <w:rsid w:val="0075598F"/>
    <w:rsid w:val="00756A19"/>
    <w:rsid w:val="007623EF"/>
    <w:rsid w:val="007629E6"/>
    <w:rsid w:val="00762E46"/>
    <w:rsid w:val="00763CE3"/>
    <w:rsid w:val="00767BA7"/>
    <w:rsid w:val="00767D76"/>
    <w:rsid w:val="0077001E"/>
    <w:rsid w:val="007701F2"/>
    <w:rsid w:val="00774AAA"/>
    <w:rsid w:val="00774AB6"/>
    <w:rsid w:val="00781EB8"/>
    <w:rsid w:val="00786D8D"/>
    <w:rsid w:val="007871E9"/>
    <w:rsid w:val="00787CDE"/>
    <w:rsid w:val="00791513"/>
    <w:rsid w:val="0079230B"/>
    <w:rsid w:val="0079293F"/>
    <w:rsid w:val="007935EB"/>
    <w:rsid w:val="00794943"/>
    <w:rsid w:val="00795BDF"/>
    <w:rsid w:val="007969F7"/>
    <w:rsid w:val="0079728B"/>
    <w:rsid w:val="007A1974"/>
    <w:rsid w:val="007A53EB"/>
    <w:rsid w:val="007A559F"/>
    <w:rsid w:val="007B1DF2"/>
    <w:rsid w:val="007B39FC"/>
    <w:rsid w:val="007B3B88"/>
    <w:rsid w:val="007B467C"/>
    <w:rsid w:val="007B46A2"/>
    <w:rsid w:val="007B52DF"/>
    <w:rsid w:val="007B6F27"/>
    <w:rsid w:val="007C2FC0"/>
    <w:rsid w:val="007C5A9D"/>
    <w:rsid w:val="007C5F05"/>
    <w:rsid w:val="007C6C1D"/>
    <w:rsid w:val="007C71A9"/>
    <w:rsid w:val="007D2856"/>
    <w:rsid w:val="007D7961"/>
    <w:rsid w:val="007E013E"/>
    <w:rsid w:val="007E09BA"/>
    <w:rsid w:val="007E13A9"/>
    <w:rsid w:val="007E2170"/>
    <w:rsid w:val="007E4201"/>
    <w:rsid w:val="007E5BAB"/>
    <w:rsid w:val="007F10C1"/>
    <w:rsid w:val="007F16FA"/>
    <w:rsid w:val="007F3E6B"/>
    <w:rsid w:val="007F42DB"/>
    <w:rsid w:val="007F4DF4"/>
    <w:rsid w:val="007F4E3A"/>
    <w:rsid w:val="00802E27"/>
    <w:rsid w:val="00805757"/>
    <w:rsid w:val="00806152"/>
    <w:rsid w:val="00815039"/>
    <w:rsid w:val="00816597"/>
    <w:rsid w:val="00820045"/>
    <w:rsid w:val="008258C5"/>
    <w:rsid w:val="00826EA0"/>
    <w:rsid w:val="0083060D"/>
    <w:rsid w:val="008306D4"/>
    <w:rsid w:val="00831A69"/>
    <w:rsid w:val="00834858"/>
    <w:rsid w:val="0083590A"/>
    <w:rsid w:val="00836BE0"/>
    <w:rsid w:val="00837727"/>
    <w:rsid w:val="00837F55"/>
    <w:rsid w:val="00840F88"/>
    <w:rsid w:val="00844BE6"/>
    <w:rsid w:val="0084519C"/>
    <w:rsid w:val="00845C6F"/>
    <w:rsid w:val="00847736"/>
    <w:rsid w:val="0085026E"/>
    <w:rsid w:val="00850BDB"/>
    <w:rsid w:val="00860D21"/>
    <w:rsid w:val="00861395"/>
    <w:rsid w:val="008639ED"/>
    <w:rsid w:val="00863C80"/>
    <w:rsid w:val="00864188"/>
    <w:rsid w:val="008651EB"/>
    <w:rsid w:val="00865446"/>
    <w:rsid w:val="00871850"/>
    <w:rsid w:val="0087216B"/>
    <w:rsid w:val="00873C8F"/>
    <w:rsid w:val="00873DDF"/>
    <w:rsid w:val="00874D8C"/>
    <w:rsid w:val="008754BE"/>
    <w:rsid w:val="008754C6"/>
    <w:rsid w:val="008769F2"/>
    <w:rsid w:val="008776F7"/>
    <w:rsid w:val="008804C4"/>
    <w:rsid w:val="008813A8"/>
    <w:rsid w:val="008A24C6"/>
    <w:rsid w:val="008A2B2C"/>
    <w:rsid w:val="008A3715"/>
    <w:rsid w:val="008A5302"/>
    <w:rsid w:val="008A593D"/>
    <w:rsid w:val="008A6126"/>
    <w:rsid w:val="008A6F71"/>
    <w:rsid w:val="008B3EBD"/>
    <w:rsid w:val="008B53E6"/>
    <w:rsid w:val="008B5640"/>
    <w:rsid w:val="008B5929"/>
    <w:rsid w:val="008B6651"/>
    <w:rsid w:val="008C22C7"/>
    <w:rsid w:val="008C4E53"/>
    <w:rsid w:val="008C5C94"/>
    <w:rsid w:val="008D071B"/>
    <w:rsid w:val="008D206B"/>
    <w:rsid w:val="008D2596"/>
    <w:rsid w:val="008D4C45"/>
    <w:rsid w:val="008D50A3"/>
    <w:rsid w:val="008D550C"/>
    <w:rsid w:val="008D6DA4"/>
    <w:rsid w:val="008D6FAF"/>
    <w:rsid w:val="008D7DA2"/>
    <w:rsid w:val="008E0EE0"/>
    <w:rsid w:val="008E1C11"/>
    <w:rsid w:val="008E2C34"/>
    <w:rsid w:val="008E51F3"/>
    <w:rsid w:val="008E5A73"/>
    <w:rsid w:val="008E7248"/>
    <w:rsid w:val="008F14A2"/>
    <w:rsid w:val="008F29C7"/>
    <w:rsid w:val="008F333C"/>
    <w:rsid w:val="008F3629"/>
    <w:rsid w:val="008F3FBE"/>
    <w:rsid w:val="008F45D8"/>
    <w:rsid w:val="008F4AE8"/>
    <w:rsid w:val="008F63A5"/>
    <w:rsid w:val="008F6872"/>
    <w:rsid w:val="008F7905"/>
    <w:rsid w:val="00900092"/>
    <w:rsid w:val="00900F51"/>
    <w:rsid w:val="009019F4"/>
    <w:rsid w:val="00901EB2"/>
    <w:rsid w:val="00902753"/>
    <w:rsid w:val="00902A22"/>
    <w:rsid w:val="00904907"/>
    <w:rsid w:val="009053AA"/>
    <w:rsid w:val="00906C39"/>
    <w:rsid w:val="00911151"/>
    <w:rsid w:val="00913435"/>
    <w:rsid w:val="00913A0C"/>
    <w:rsid w:val="00913B0E"/>
    <w:rsid w:val="009142DA"/>
    <w:rsid w:val="009170AE"/>
    <w:rsid w:val="00917AFD"/>
    <w:rsid w:val="0092074B"/>
    <w:rsid w:val="0092194E"/>
    <w:rsid w:val="0092245D"/>
    <w:rsid w:val="0092402B"/>
    <w:rsid w:val="00925A6F"/>
    <w:rsid w:val="00926A99"/>
    <w:rsid w:val="00927C4F"/>
    <w:rsid w:val="00931331"/>
    <w:rsid w:val="0093721B"/>
    <w:rsid w:val="00942999"/>
    <w:rsid w:val="00942BA9"/>
    <w:rsid w:val="0094584D"/>
    <w:rsid w:val="00946BDB"/>
    <w:rsid w:val="009576BE"/>
    <w:rsid w:val="00960ED2"/>
    <w:rsid w:val="009618FE"/>
    <w:rsid w:val="009639E4"/>
    <w:rsid w:val="00965978"/>
    <w:rsid w:val="009660AC"/>
    <w:rsid w:val="009673B3"/>
    <w:rsid w:val="00967B5A"/>
    <w:rsid w:val="00967D27"/>
    <w:rsid w:val="00970412"/>
    <w:rsid w:val="0097116B"/>
    <w:rsid w:val="00971B88"/>
    <w:rsid w:val="00974769"/>
    <w:rsid w:val="0097621C"/>
    <w:rsid w:val="00976C5F"/>
    <w:rsid w:val="0097721C"/>
    <w:rsid w:val="00977371"/>
    <w:rsid w:val="0097749D"/>
    <w:rsid w:val="00977DDC"/>
    <w:rsid w:val="009818CD"/>
    <w:rsid w:val="009836D8"/>
    <w:rsid w:val="00984C36"/>
    <w:rsid w:val="00987A5F"/>
    <w:rsid w:val="009903A1"/>
    <w:rsid w:val="00990F1C"/>
    <w:rsid w:val="00990F68"/>
    <w:rsid w:val="009933EB"/>
    <w:rsid w:val="0099542B"/>
    <w:rsid w:val="00995FB5"/>
    <w:rsid w:val="009A1265"/>
    <w:rsid w:val="009A2289"/>
    <w:rsid w:val="009A2BF8"/>
    <w:rsid w:val="009A5351"/>
    <w:rsid w:val="009B07BD"/>
    <w:rsid w:val="009B130E"/>
    <w:rsid w:val="009B2682"/>
    <w:rsid w:val="009B31D6"/>
    <w:rsid w:val="009B6AFC"/>
    <w:rsid w:val="009B74CD"/>
    <w:rsid w:val="009C031B"/>
    <w:rsid w:val="009C1718"/>
    <w:rsid w:val="009C1D4E"/>
    <w:rsid w:val="009C688D"/>
    <w:rsid w:val="009C70FA"/>
    <w:rsid w:val="009C7EAD"/>
    <w:rsid w:val="009D173E"/>
    <w:rsid w:val="009D24AC"/>
    <w:rsid w:val="009D38ED"/>
    <w:rsid w:val="009D3A7A"/>
    <w:rsid w:val="009D5771"/>
    <w:rsid w:val="009D5912"/>
    <w:rsid w:val="009D5D24"/>
    <w:rsid w:val="009D71C5"/>
    <w:rsid w:val="009E049E"/>
    <w:rsid w:val="009E1CB8"/>
    <w:rsid w:val="009E2920"/>
    <w:rsid w:val="009E45BC"/>
    <w:rsid w:val="009E621F"/>
    <w:rsid w:val="009E73BD"/>
    <w:rsid w:val="009E7802"/>
    <w:rsid w:val="009F04D8"/>
    <w:rsid w:val="009F3BDC"/>
    <w:rsid w:val="009F50F6"/>
    <w:rsid w:val="009F5127"/>
    <w:rsid w:val="00A00285"/>
    <w:rsid w:val="00A0261E"/>
    <w:rsid w:val="00A02A64"/>
    <w:rsid w:val="00A02C41"/>
    <w:rsid w:val="00A03873"/>
    <w:rsid w:val="00A04565"/>
    <w:rsid w:val="00A05920"/>
    <w:rsid w:val="00A059F6"/>
    <w:rsid w:val="00A05CB9"/>
    <w:rsid w:val="00A06269"/>
    <w:rsid w:val="00A118E8"/>
    <w:rsid w:val="00A135EB"/>
    <w:rsid w:val="00A145FC"/>
    <w:rsid w:val="00A14881"/>
    <w:rsid w:val="00A1506D"/>
    <w:rsid w:val="00A21733"/>
    <w:rsid w:val="00A22B47"/>
    <w:rsid w:val="00A26D76"/>
    <w:rsid w:val="00A27645"/>
    <w:rsid w:val="00A30BB2"/>
    <w:rsid w:val="00A316DE"/>
    <w:rsid w:val="00A31793"/>
    <w:rsid w:val="00A34521"/>
    <w:rsid w:val="00A34F3E"/>
    <w:rsid w:val="00A37F89"/>
    <w:rsid w:val="00A40A35"/>
    <w:rsid w:val="00A4689E"/>
    <w:rsid w:val="00A50920"/>
    <w:rsid w:val="00A51B90"/>
    <w:rsid w:val="00A522AB"/>
    <w:rsid w:val="00A5474C"/>
    <w:rsid w:val="00A55590"/>
    <w:rsid w:val="00A56427"/>
    <w:rsid w:val="00A600E9"/>
    <w:rsid w:val="00A60DE9"/>
    <w:rsid w:val="00A70A3A"/>
    <w:rsid w:val="00A73630"/>
    <w:rsid w:val="00A7375F"/>
    <w:rsid w:val="00A7645B"/>
    <w:rsid w:val="00A80542"/>
    <w:rsid w:val="00A808F3"/>
    <w:rsid w:val="00A80BB0"/>
    <w:rsid w:val="00A80C78"/>
    <w:rsid w:val="00A81369"/>
    <w:rsid w:val="00A83DA6"/>
    <w:rsid w:val="00A84771"/>
    <w:rsid w:val="00A86EB2"/>
    <w:rsid w:val="00A9132C"/>
    <w:rsid w:val="00A9136C"/>
    <w:rsid w:val="00A927C1"/>
    <w:rsid w:val="00A930B4"/>
    <w:rsid w:val="00A938BC"/>
    <w:rsid w:val="00A9412B"/>
    <w:rsid w:val="00A94A9C"/>
    <w:rsid w:val="00A95171"/>
    <w:rsid w:val="00A96051"/>
    <w:rsid w:val="00A9647E"/>
    <w:rsid w:val="00A96A77"/>
    <w:rsid w:val="00A97B36"/>
    <w:rsid w:val="00AA262C"/>
    <w:rsid w:val="00AA6722"/>
    <w:rsid w:val="00AA7A3A"/>
    <w:rsid w:val="00AB2E09"/>
    <w:rsid w:val="00AB4F3A"/>
    <w:rsid w:val="00AC099D"/>
    <w:rsid w:val="00AC0F6E"/>
    <w:rsid w:val="00AC1034"/>
    <w:rsid w:val="00AC12EA"/>
    <w:rsid w:val="00AC209A"/>
    <w:rsid w:val="00AC411A"/>
    <w:rsid w:val="00AC60EB"/>
    <w:rsid w:val="00AD08A8"/>
    <w:rsid w:val="00AD48F4"/>
    <w:rsid w:val="00AD73FC"/>
    <w:rsid w:val="00AD77E6"/>
    <w:rsid w:val="00AE198C"/>
    <w:rsid w:val="00AE2749"/>
    <w:rsid w:val="00AE36A2"/>
    <w:rsid w:val="00AE3EC3"/>
    <w:rsid w:val="00AE4361"/>
    <w:rsid w:val="00AE4AF6"/>
    <w:rsid w:val="00AE5E90"/>
    <w:rsid w:val="00AE6D37"/>
    <w:rsid w:val="00AE796B"/>
    <w:rsid w:val="00AF14E4"/>
    <w:rsid w:val="00AF168D"/>
    <w:rsid w:val="00AF2FC2"/>
    <w:rsid w:val="00AF3588"/>
    <w:rsid w:val="00AF4303"/>
    <w:rsid w:val="00AF509C"/>
    <w:rsid w:val="00AF51C0"/>
    <w:rsid w:val="00AF5206"/>
    <w:rsid w:val="00AF56F8"/>
    <w:rsid w:val="00AF719C"/>
    <w:rsid w:val="00B012A0"/>
    <w:rsid w:val="00B03DC4"/>
    <w:rsid w:val="00B0689C"/>
    <w:rsid w:val="00B13F5F"/>
    <w:rsid w:val="00B15BF7"/>
    <w:rsid w:val="00B15CF7"/>
    <w:rsid w:val="00B16A18"/>
    <w:rsid w:val="00B232EA"/>
    <w:rsid w:val="00B25042"/>
    <w:rsid w:val="00B2557E"/>
    <w:rsid w:val="00B27025"/>
    <w:rsid w:val="00B32314"/>
    <w:rsid w:val="00B323E9"/>
    <w:rsid w:val="00B325B9"/>
    <w:rsid w:val="00B33A9A"/>
    <w:rsid w:val="00B34F3F"/>
    <w:rsid w:val="00B3736E"/>
    <w:rsid w:val="00B40C22"/>
    <w:rsid w:val="00B43965"/>
    <w:rsid w:val="00B44E06"/>
    <w:rsid w:val="00B462A8"/>
    <w:rsid w:val="00B462F6"/>
    <w:rsid w:val="00B465C6"/>
    <w:rsid w:val="00B47DAB"/>
    <w:rsid w:val="00B50A0A"/>
    <w:rsid w:val="00B513B7"/>
    <w:rsid w:val="00B51968"/>
    <w:rsid w:val="00B53BE0"/>
    <w:rsid w:val="00B54757"/>
    <w:rsid w:val="00B61A12"/>
    <w:rsid w:val="00B61E64"/>
    <w:rsid w:val="00B62258"/>
    <w:rsid w:val="00B6245C"/>
    <w:rsid w:val="00B64CF3"/>
    <w:rsid w:val="00B6554D"/>
    <w:rsid w:val="00B65E66"/>
    <w:rsid w:val="00B67E80"/>
    <w:rsid w:val="00B700B2"/>
    <w:rsid w:val="00B70AEB"/>
    <w:rsid w:val="00B73C56"/>
    <w:rsid w:val="00B7581D"/>
    <w:rsid w:val="00B761C2"/>
    <w:rsid w:val="00B76C6C"/>
    <w:rsid w:val="00B77BCE"/>
    <w:rsid w:val="00B807F6"/>
    <w:rsid w:val="00B820E7"/>
    <w:rsid w:val="00B83579"/>
    <w:rsid w:val="00B8502D"/>
    <w:rsid w:val="00B85AE1"/>
    <w:rsid w:val="00B87868"/>
    <w:rsid w:val="00B91422"/>
    <w:rsid w:val="00B91B80"/>
    <w:rsid w:val="00B91BC0"/>
    <w:rsid w:val="00B92AEE"/>
    <w:rsid w:val="00B936FF"/>
    <w:rsid w:val="00B94A59"/>
    <w:rsid w:val="00B97665"/>
    <w:rsid w:val="00B97AC0"/>
    <w:rsid w:val="00BA0AC5"/>
    <w:rsid w:val="00BA1731"/>
    <w:rsid w:val="00BA2DE6"/>
    <w:rsid w:val="00BA35E3"/>
    <w:rsid w:val="00BA360A"/>
    <w:rsid w:val="00BA613C"/>
    <w:rsid w:val="00BA7B79"/>
    <w:rsid w:val="00BB0225"/>
    <w:rsid w:val="00BB065B"/>
    <w:rsid w:val="00BB0C58"/>
    <w:rsid w:val="00BB2F5A"/>
    <w:rsid w:val="00BB76B7"/>
    <w:rsid w:val="00BC0492"/>
    <w:rsid w:val="00BC0AF8"/>
    <w:rsid w:val="00BC2679"/>
    <w:rsid w:val="00BC32CA"/>
    <w:rsid w:val="00BC491A"/>
    <w:rsid w:val="00BC5036"/>
    <w:rsid w:val="00BC59EE"/>
    <w:rsid w:val="00BC5B49"/>
    <w:rsid w:val="00BC72D0"/>
    <w:rsid w:val="00BC7A12"/>
    <w:rsid w:val="00BC7E87"/>
    <w:rsid w:val="00BD6800"/>
    <w:rsid w:val="00BD68B4"/>
    <w:rsid w:val="00BE02B1"/>
    <w:rsid w:val="00BE1C17"/>
    <w:rsid w:val="00BE3A7C"/>
    <w:rsid w:val="00BE6D85"/>
    <w:rsid w:val="00BF2262"/>
    <w:rsid w:val="00BF37F1"/>
    <w:rsid w:val="00BF5505"/>
    <w:rsid w:val="00BF78E5"/>
    <w:rsid w:val="00C00497"/>
    <w:rsid w:val="00C00805"/>
    <w:rsid w:val="00C00D43"/>
    <w:rsid w:val="00C02380"/>
    <w:rsid w:val="00C0341D"/>
    <w:rsid w:val="00C11BF3"/>
    <w:rsid w:val="00C121C0"/>
    <w:rsid w:val="00C16835"/>
    <w:rsid w:val="00C1717B"/>
    <w:rsid w:val="00C17865"/>
    <w:rsid w:val="00C22923"/>
    <w:rsid w:val="00C251BD"/>
    <w:rsid w:val="00C27350"/>
    <w:rsid w:val="00C3114A"/>
    <w:rsid w:val="00C322B7"/>
    <w:rsid w:val="00C358E8"/>
    <w:rsid w:val="00C36375"/>
    <w:rsid w:val="00C369EE"/>
    <w:rsid w:val="00C36A44"/>
    <w:rsid w:val="00C370C4"/>
    <w:rsid w:val="00C40DE2"/>
    <w:rsid w:val="00C41278"/>
    <w:rsid w:val="00C41552"/>
    <w:rsid w:val="00C4156D"/>
    <w:rsid w:val="00C421FB"/>
    <w:rsid w:val="00C45A4F"/>
    <w:rsid w:val="00C46241"/>
    <w:rsid w:val="00C462DD"/>
    <w:rsid w:val="00C46AC6"/>
    <w:rsid w:val="00C523F9"/>
    <w:rsid w:val="00C55498"/>
    <w:rsid w:val="00C5728A"/>
    <w:rsid w:val="00C572C1"/>
    <w:rsid w:val="00C574D1"/>
    <w:rsid w:val="00C60401"/>
    <w:rsid w:val="00C6108B"/>
    <w:rsid w:val="00C614FE"/>
    <w:rsid w:val="00C61834"/>
    <w:rsid w:val="00C66F35"/>
    <w:rsid w:val="00C674FA"/>
    <w:rsid w:val="00C80F83"/>
    <w:rsid w:val="00C824A3"/>
    <w:rsid w:val="00C82830"/>
    <w:rsid w:val="00C82A8F"/>
    <w:rsid w:val="00C82D04"/>
    <w:rsid w:val="00C831A3"/>
    <w:rsid w:val="00C84597"/>
    <w:rsid w:val="00C85B6D"/>
    <w:rsid w:val="00C8697B"/>
    <w:rsid w:val="00C91F47"/>
    <w:rsid w:val="00C95969"/>
    <w:rsid w:val="00C95F81"/>
    <w:rsid w:val="00C97845"/>
    <w:rsid w:val="00CA2074"/>
    <w:rsid w:val="00CA4E05"/>
    <w:rsid w:val="00CA7DEB"/>
    <w:rsid w:val="00CB00B6"/>
    <w:rsid w:val="00CB05DF"/>
    <w:rsid w:val="00CB14F0"/>
    <w:rsid w:val="00CB4597"/>
    <w:rsid w:val="00CB5456"/>
    <w:rsid w:val="00CB6B36"/>
    <w:rsid w:val="00CC0AD9"/>
    <w:rsid w:val="00CC72ED"/>
    <w:rsid w:val="00CC7313"/>
    <w:rsid w:val="00CD1806"/>
    <w:rsid w:val="00CD2B37"/>
    <w:rsid w:val="00CD56AD"/>
    <w:rsid w:val="00CD5CD8"/>
    <w:rsid w:val="00CD6C30"/>
    <w:rsid w:val="00CE0E2B"/>
    <w:rsid w:val="00CE32A0"/>
    <w:rsid w:val="00CE4579"/>
    <w:rsid w:val="00CE75A5"/>
    <w:rsid w:val="00CF1F83"/>
    <w:rsid w:val="00CF22A7"/>
    <w:rsid w:val="00CF5A61"/>
    <w:rsid w:val="00CF5C0A"/>
    <w:rsid w:val="00CF7FBF"/>
    <w:rsid w:val="00D00292"/>
    <w:rsid w:val="00D00895"/>
    <w:rsid w:val="00D015F8"/>
    <w:rsid w:val="00D02878"/>
    <w:rsid w:val="00D05F24"/>
    <w:rsid w:val="00D06E66"/>
    <w:rsid w:val="00D1048A"/>
    <w:rsid w:val="00D11801"/>
    <w:rsid w:val="00D127F3"/>
    <w:rsid w:val="00D13217"/>
    <w:rsid w:val="00D13975"/>
    <w:rsid w:val="00D16D0D"/>
    <w:rsid w:val="00D16DD7"/>
    <w:rsid w:val="00D170B2"/>
    <w:rsid w:val="00D209A7"/>
    <w:rsid w:val="00D21769"/>
    <w:rsid w:val="00D229E9"/>
    <w:rsid w:val="00D24833"/>
    <w:rsid w:val="00D24AE8"/>
    <w:rsid w:val="00D24B4D"/>
    <w:rsid w:val="00D26250"/>
    <w:rsid w:val="00D27CC1"/>
    <w:rsid w:val="00D30142"/>
    <w:rsid w:val="00D308A2"/>
    <w:rsid w:val="00D313C6"/>
    <w:rsid w:val="00D3196F"/>
    <w:rsid w:val="00D33183"/>
    <w:rsid w:val="00D33934"/>
    <w:rsid w:val="00D33C0C"/>
    <w:rsid w:val="00D349FE"/>
    <w:rsid w:val="00D424A7"/>
    <w:rsid w:val="00D4257B"/>
    <w:rsid w:val="00D454BE"/>
    <w:rsid w:val="00D45B69"/>
    <w:rsid w:val="00D466BD"/>
    <w:rsid w:val="00D46B71"/>
    <w:rsid w:val="00D47A7B"/>
    <w:rsid w:val="00D50A84"/>
    <w:rsid w:val="00D5256F"/>
    <w:rsid w:val="00D52E4F"/>
    <w:rsid w:val="00D53360"/>
    <w:rsid w:val="00D546C8"/>
    <w:rsid w:val="00D57001"/>
    <w:rsid w:val="00D60325"/>
    <w:rsid w:val="00D6273A"/>
    <w:rsid w:val="00D64B32"/>
    <w:rsid w:val="00D67972"/>
    <w:rsid w:val="00D67BD4"/>
    <w:rsid w:val="00D70C5E"/>
    <w:rsid w:val="00D7129E"/>
    <w:rsid w:val="00D7162E"/>
    <w:rsid w:val="00D72A76"/>
    <w:rsid w:val="00D730F0"/>
    <w:rsid w:val="00D73E2B"/>
    <w:rsid w:val="00D74BB1"/>
    <w:rsid w:val="00D77344"/>
    <w:rsid w:val="00D8449E"/>
    <w:rsid w:val="00D85849"/>
    <w:rsid w:val="00D87F90"/>
    <w:rsid w:val="00D941BA"/>
    <w:rsid w:val="00D942BA"/>
    <w:rsid w:val="00DA08C4"/>
    <w:rsid w:val="00DA2A42"/>
    <w:rsid w:val="00DA2A63"/>
    <w:rsid w:val="00DA31AC"/>
    <w:rsid w:val="00DA3B00"/>
    <w:rsid w:val="00DA51D4"/>
    <w:rsid w:val="00DA5A8B"/>
    <w:rsid w:val="00DB1EF1"/>
    <w:rsid w:val="00DB5927"/>
    <w:rsid w:val="00DB5EBF"/>
    <w:rsid w:val="00DB760A"/>
    <w:rsid w:val="00DC050A"/>
    <w:rsid w:val="00DC0757"/>
    <w:rsid w:val="00DC1ACB"/>
    <w:rsid w:val="00DC2EE5"/>
    <w:rsid w:val="00DC5D77"/>
    <w:rsid w:val="00DC65D4"/>
    <w:rsid w:val="00DC66F9"/>
    <w:rsid w:val="00DD078B"/>
    <w:rsid w:val="00DD1354"/>
    <w:rsid w:val="00DD5107"/>
    <w:rsid w:val="00DD5E1A"/>
    <w:rsid w:val="00DD63F8"/>
    <w:rsid w:val="00DD7399"/>
    <w:rsid w:val="00DD782A"/>
    <w:rsid w:val="00DE13F0"/>
    <w:rsid w:val="00DE207C"/>
    <w:rsid w:val="00DE56D0"/>
    <w:rsid w:val="00DE586B"/>
    <w:rsid w:val="00DE6E17"/>
    <w:rsid w:val="00DE72BD"/>
    <w:rsid w:val="00DF198A"/>
    <w:rsid w:val="00DF5C5D"/>
    <w:rsid w:val="00DF7908"/>
    <w:rsid w:val="00E0097A"/>
    <w:rsid w:val="00E0122D"/>
    <w:rsid w:val="00E02BF2"/>
    <w:rsid w:val="00E02CE8"/>
    <w:rsid w:val="00E032A5"/>
    <w:rsid w:val="00E036C7"/>
    <w:rsid w:val="00E036D0"/>
    <w:rsid w:val="00E036D6"/>
    <w:rsid w:val="00E04100"/>
    <w:rsid w:val="00E043B4"/>
    <w:rsid w:val="00E054EF"/>
    <w:rsid w:val="00E079B3"/>
    <w:rsid w:val="00E13BD4"/>
    <w:rsid w:val="00E13D13"/>
    <w:rsid w:val="00E1498A"/>
    <w:rsid w:val="00E2067B"/>
    <w:rsid w:val="00E2094F"/>
    <w:rsid w:val="00E20E63"/>
    <w:rsid w:val="00E218BD"/>
    <w:rsid w:val="00E257E0"/>
    <w:rsid w:val="00E25BEB"/>
    <w:rsid w:val="00E2783C"/>
    <w:rsid w:val="00E3085C"/>
    <w:rsid w:val="00E3243B"/>
    <w:rsid w:val="00E32963"/>
    <w:rsid w:val="00E32B91"/>
    <w:rsid w:val="00E33562"/>
    <w:rsid w:val="00E3697F"/>
    <w:rsid w:val="00E37512"/>
    <w:rsid w:val="00E426B2"/>
    <w:rsid w:val="00E43F3A"/>
    <w:rsid w:val="00E503FD"/>
    <w:rsid w:val="00E504ED"/>
    <w:rsid w:val="00E50EBD"/>
    <w:rsid w:val="00E51545"/>
    <w:rsid w:val="00E53DA6"/>
    <w:rsid w:val="00E55469"/>
    <w:rsid w:val="00E562A9"/>
    <w:rsid w:val="00E5636C"/>
    <w:rsid w:val="00E56821"/>
    <w:rsid w:val="00E56A56"/>
    <w:rsid w:val="00E57696"/>
    <w:rsid w:val="00E600BC"/>
    <w:rsid w:val="00E614F8"/>
    <w:rsid w:val="00E617A1"/>
    <w:rsid w:val="00E62D7A"/>
    <w:rsid w:val="00E630A4"/>
    <w:rsid w:val="00E63874"/>
    <w:rsid w:val="00E65CF3"/>
    <w:rsid w:val="00E66F33"/>
    <w:rsid w:val="00E7291B"/>
    <w:rsid w:val="00E72C0A"/>
    <w:rsid w:val="00E74F5B"/>
    <w:rsid w:val="00E756DA"/>
    <w:rsid w:val="00E75914"/>
    <w:rsid w:val="00E80E0E"/>
    <w:rsid w:val="00E85455"/>
    <w:rsid w:val="00E85E2C"/>
    <w:rsid w:val="00E86FE7"/>
    <w:rsid w:val="00E872E2"/>
    <w:rsid w:val="00E87C18"/>
    <w:rsid w:val="00E87EF5"/>
    <w:rsid w:val="00E90CE2"/>
    <w:rsid w:val="00E91198"/>
    <w:rsid w:val="00E920B8"/>
    <w:rsid w:val="00E93663"/>
    <w:rsid w:val="00E94FD2"/>
    <w:rsid w:val="00E955BC"/>
    <w:rsid w:val="00E961A3"/>
    <w:rsid w:val="00E96D43"/>
    <w:rsid w:val="00E96FDF"/>
    <w:rsid w:val="00E97D6A"/>
    <w:rsid w:val="00EA3D1C"/>
    <w:rsid w:val="00EA4167"/>
    <w:rsid w:val="00EA4690"/>
    <w:rsid w:val="00EA5720"/>
    <w:rsid w:val="00EA7114"/>
    <w:rsid w:val="00EB07E5"/>
    <w:rsid w:val="00EB0CFE"/>
    <w:rsid w:val="00EB143B"/>
    <w:rsid w:val="00EB28B7"/>
    <w:rsid w:val="00EB2B95"/>
    <w:rsid w:val="00EB3133"/>
    <w:rsid w:val="00EB5F5A"/>
    <w:rsid w:val="00EB6499"/>
    <w:rsid w:val="00EB6961"/>
    <w:rsid w:val="00EC058A"/>
    <w:rsid w:val="00EC668F"/>
    <w:rsid w:val="00EC66AA"/>
    <w:rsid w:val="00EC7B10"/>
    <w:rsid w:val="00ED0B43"/>
    <w:rsid w:val="00ED194B"/>
    <w:rsid w:val="00ED2439"/>
    <w:rsid w:val="00ED53E2"/>
    <w:rsid w:val="00ED6238"/>
    <w:rsid w:val="00EE0DCB"/>
    <w:rsid w:val="00EE15B4"/>
    <w:rsid w:val="00EE3D83"/>
    <w:rsid w:val="00EE3E41"/>
    <w:rsid w:val="00EE5489"/>
    <w:rsid w:val="00EE6BA5"/>
    <w:rsid w:val="00EF120B"/>
    <w:rsid w:val="00EF1265"/>
    <w:rsid w:val="00EF24F0"/>
    <w:rsid w:val="00EF37BF"/>
    <w:rsid w:val="00EF6215"/>
    <w:rsid w:val="00EF6CD7"/>
    <w:rsid w:val="00F007D1"/>
    <w:rsid w:val="00F0140E"/>
    <w:rsid w:val="00F02B9F"/>
    <w:rsid w:val="00F042B9"/>
    <w:rsid w:val="00F05032"/>
    <w:rsid w:val="00F053C6"/>
    <w:rsid w:val="00F0617E"/>
    <w:rsid w:val="00F077B7"/>
    <w:rsid w:val="00F07B0A"/>
    <w:rsid w:val="00F10933"/>
    <w:rsid w:val="00F13A86"/>
    <w:rsid w:val="00F14716"/>
    <w:rsid w:val="00F150E9"/>
    <w:rsid w:val="00F15EFB"/>
    <w:rsid w:val="00F20203"/>
    <w:rsid w:val="00F20DDF"/>
    <w:rsid w:val="00F212B7"/>
    <w:rsid w:val="00F2203C"/>
    <w:rsid w:val="00F224A3"/>
    <w:rsid w:val="00F2283E"/>
    <w:rsid w:val="00F2336E"/>
    <w:rsid w:val="00F23C90"/>
    <w:rsid w:val="00F304C4"/>
    <w:rsid w:val="00F30FFA"/>
    <w:rsid w:val="00F340B8"/>
    <w:rsid w:val="00F34FC9"/>
    <w:rsid w:val="00F36551"/>
    <w:rsid w:val="00F36609"/>
    <w:rsid w:val="00F41AC3"/>
    <w:rsid w:val="00F45F88"/>
    <w:rsid w:val="00F531B7"/>
    <w:rsid w:val="00F536F2"/>
    <w:rsid w:val="00F5516F"/>
    <w:rsid w:val="00F6077B"/>
    <w:rsid w:val="00F60A45"/>
    <w:rsid w:val="00F615E8"/>
    <w:rsid w:val="00F61F43"/>
    <w:rsid w:val="00F6249D"/>
    <w:rsid w:val="00F62BFB"/>
    <w:rsid w:val="00F64232"/>
    <w:rsid w:val="00F65EE1"/>
    <w:rsid w:val="00F66B5A"/>
    <w:rsid w:val="00F70CA2"/>
    <w:rsid w:val="00F73262"/>
    <w:rsid w:val="00F7598C"/>
    <w:rsid w:val="00F774A2"/>
    <w:rsid w:val="00F8010C"/>
    <w:rsid w:val="00F807B5"/>
    <w:rsid w:val="00F80DEA"/>
    <w:rsid w:val="00F8102C"/>
    <w:rsid w:val="00F81734"/>
    <w:rsid w:val="00F82870"/>
    <w:rsid w:val="00F83100"/>
    <w:rsid w:val="00F83142"/>
    <w:rsid w:val="00F846CE"/>
    <w:rsid w:val="00F8618C"/>
    <w:rsid w:val="00F8642F"/>
    <w:rsid w:val="00F90728"/>
    <w:rsid w:val="00F9075A"/>
    <w:rsid w:val="00F92A24"/>
    <w:rsid w:val="00F93D31"/>
    <w:rsid w:val="00F94153"/>
    <w:rsid w:val="00F946D4"/>
    <w:rsid w:val="00F95A7F"/>
    <w:rsid w:val="00F9661D"/>
    <w:rsid w:val="00F96DE6"/>
    <w:rsid w:val="00F97655"/>
    <w:rsid w:val="00F978D8"/>
    <w:rsid w:val="00FA003D"/>
    <w:rsid w:val="00FA07D0"/>
    <w:rsid w:val="00FA0AD0"/>
    <w:rsid w:val="00FA1255"/>
    <w:rsid w:val="00FA388D"/>
    <w:rsid w:val="00FA5301"/>
    <w:rsid w:val="00FA7770"/>
    <w:rsid w:val="00FB1ED0"/>
    <w:rsid w:val="00FB21BF"/>
    <w:rsid w:val="00FB283F"/>
    <w:rsid w:val="00FB4ADF"/>
    <w:rsid w:val="00FB4C57"/>
    <w:rsid w:val="00FB67C5"/>
    <w:rsid w:val="00FC57EA"/>
    <w:rsid w:val="00FC685F"/>
    <w:rsid w:val="00FD2437"/>
    <w:rsid w:val="00FD2AA4"/>
    <w:rsid w:val="00FD498E"/>
    <w:rsid w:val="00FE0319"/>
    <w:rsid w:val="00FE0F16"/>
    <w:rsid w:val="00FE2FDE"/>
    <w:rsid w:val="00FE4188"/>
    <w:rsid w:val="00FE4A11"/>
    <w:rsid w:val="00FE5047"/>
    <w:rsid w:val="00FE7984"/>
    <w:rsid w:val="00FE7D73"/>
    <w:rsid w:val="00FF06F2"/>
    <w:rsid w:val="00FF07C0"/>
    <w:rsid w:val="00FF382D"/>
    <w:rsid w:val="00FF4065"/>
    <w:rsid w:val="00FF6365"/>
    <w:rsid w:val="00FF6440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8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026E"/>
  </w:style>
  <w:style w:type="character" w:styleId="a8">
    <w:name w:val="Strong"/>
    <w:basedOn w:val="a0"/>
    <w:uiPriority w:val="22"/>
    <w:qFormat/>
    <w:rsid w:val="008769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4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2B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rsid w:val="00C8697B"/>
  </w:style>
  <w:style w:type="table" w:styleId="ab">
    <w:name w:val="Table Grid"/>
    <w:basedOn w:val="a1"/>
    <w:uiPriority w:val="39"/>
    <w:rsid w:val="0083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37727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377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7727"/>
    <w:rPr>
      <w:vertAlign w:val="superscript"/>
    </w:rPr>
  </w:style>
  <w:style w:type="paragraph" w:styleId="af">
    <w:name w:val="List Paragraph"/>
    <w:basedOn w:val="a"/>
    <w:uiPriority w:val="34"/>
    <w:qFormat/>
    <w:rsid w:val="00D308A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4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uiPriority w:val="1"/>
    <w:qFormat/>
    <w:rsid w:val="006832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Plain Text"/>
    <w:basedOn w:val="a"/>
    <w:link w:val="af3"/>
    <w:uiPriority w:val="99"/>
    <w:rsid w:val="00D27CC1"/>
    <w:pPr>
      <w:autoSpaceDE w:val="0"/>
      <w:autoSpaceDN w:val="0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3">
    <w:name w:val="Текст Знак"/>
    <w:basedOn w:val="a0"/>
    <w:link w:val="af2"/>
    <w:uiPriority w:val="99"/>
    <w:rsid w:val="00D27CC1"/>
    <w:rPr>
      <w:rFonts w:ascii="Courier New" w:eastAsiaTheme="minorEastAsia" w:hAnsi="Courier New" w:cs="Courier New"/>
      <w:sz w:val="20"/>
      <w:szCs w:val="20"/>
    </w:rPr>
  </w:style>
  <w:style w:type="paragraph" w:customStyle="1" w:styleId="rvps2">
    <w:name w:val="rvps2"/>
    <w:basedOn w:val="a"/>
    <w:rsid w:val="00AE436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b"/>
    <w:uiPriority w:val="39"/>
    <w:rsid w:val="00DD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8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5026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850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026E"/>
  </w:style>
  <w:style w:type="character" w:styleId="a8">
    <w:name w:val="Strong"/>
    <w:basedOn w:val="a0"/>
    <w:uiPriority w:val="22"/>
    <w:qFormat/>
    <w:rsid w:val="008769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4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2B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rsid w:val="00C8697B"/>
  </w:style>
  <w:style w:type="table" w:styleId="ab">
    <w:name w:val="Table Grid"/>
    <w:basedOn w:val="a1"/>
    <w:uiPriority w:val="39"/>
    <w:rsid w:val="0083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37727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377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7727"/>
    <w:rPr>
      <w:vertAlign w:val="superscript"/>
    </w:rPr>
  </w:style>
  <w:style w:type="paragraph" w:styleId="af">
    <w:name w:val="List Paragraph"/>
    <w:basedOn w:val="a"/>
    <w:uiPriority w:val="34"/>
    <w:qFormat/>
    <w:rsid w:val="00D308A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4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uiPriority w:val="1"/>
    <w:qFormat/>
    <w:rsid w:val="006832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Plain Text"/>
    <w:basedOn w:val="a"/>
    <w:link w:val="af3"/>
    <w:uiPriority w:val="99"/>
    <w:rsid w:val="00D27CC1"/>
    <w:pPr>
      <w:autoSpaceDE w:val="0"/>
      <w:autoSpaceDN w:val="0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3">
    <w:name w:val="Текст Знак"/>
    <w:basedOn w:val="a0"/>
    <w:link w:val="af2"/>
    <w:uiPriority w:val="99"/>
    <w:rsid w:val="00D27CC1"/>
    <w:rPr>
      <w:rFonts w:ascii="Courier New" w:eastAsiaTheme="minorEastAsia" w:hAnsi="Courier New" w:cs="Courier New"/>
      <w:sz w:val="20"/>
      <w:szCs w:val="20"/>
    </w:rPr>
  </w:style>
  <w:style w:type="paragraph" w:customStyle="1" w:styleId="rvps2">
    <w:name w:val="rvps2"/>
    <w:basedOn w:val="a"/>
    <w:rsid w:val="00AE436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b"/>
    <w:uiPriority w:val="39"/>
    <w:rsid w:val="00DD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yvaga\AppData\Local\Temp\notesEA312D\&#1042;&#1087;&#1083;&#1080;&#1074;%20&#1087;&#1088;&#1086;&#1084;&#1080;&#1089;&#1083;&#1086;&#1074;&#1110;&#1089;&#1090;&#1100;%2014,2%25%202019&#1103;&#1085;&#107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7793039028016239E-2"/>
          <c:y val="6.290827740492172E-2"/>
          <c:w val="0.9565859530716555"/>
          <c:h val="0.8437029599487984"/>
        </c:manualLayout>
      </c:layout>
      <c:lineChart>
        <c:grouping val="standard"/>
        <c:varyColors val="0"/>
        <c:ser>
          <c:idx val="0"/>
          <c:order val="0"/>
          <c:tx>
            <c:strRef>
              <c:f>граф!$A$4</c:f>
              <c:strCache>
                <c:ptCount val="1"/>
                <c:pt idx="0">
                  <c:v>Індекс цін виробників промислової продукції (до грудня 2008 року) за даними Держстату</c:v>
                </c:pt>
              </c:strCache>
            </c:strRef>
          </c:tx>
          <c:spPr>
            <a:ln w="28575" cap="rnd">
              <a:solidFill>
                <a:schemeClr val="tx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4436156006814938E-2"/>
                  <c:y val="-9.46314596581478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0B0-469E-B50A-F272C50E1F0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119531111242674E-2"/>
                  <c:y val="-2.13945404475447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0B0-469E-B50A-F272C50E1F0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132062439563475E-2"/>
                  <c:y val="-9.463145965814675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0B0-469E-B50A-F272C50E1F0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119531111242674E-2"/>
                  <c:y val="-9.46314596581478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0B0-469E-B50A-F272C50E1F0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119531111242736E-2"/>
                  <c:y val="-2.43773890679772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33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0B0-469E-B50A-F272C50E1F0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33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граф!$B$3:$M$3</c:f>
              <c:strCache>
                <c:ptCount val="12"/>
                <c:pt idx="0">
                  <c:v>2008 рік</c:v>
                </c:pt>
                <c:pt idx="1">
                  <c:v>2009 рік</c:v>
                </c:pt>
                <c:pt idx="2">
                  <c:v>2010 рік </c:v>
                </c:pt>
                <c:pt idx="3">
                  <c:v>2011 рік </c:v>
                </c:pt>
                <c:pt idx="4">
                  <c:v>2012 рік</c:v>
                </c:pt>
                <c:pt idx="5">
                  <c:v>2013 рік </c:v>
                </c:pt>
                <c:pt idx="6">
                  <c:v>2014 рік</c:v>
                </c:pt>
                <c:pt idx="7">
                  <c:v>2015 рік</c:v>
                </c:pt>
                <c:pt idx="8">
                  <c:v>2016 рік</c:v>
                </c:pt>
                <c:pt idx="9">
                  <c:v>2017 рік  </c:v>
                </c:pt>
                <c:pt idx="10">
                  <c:v>2018 рік  </c:v>
                </c:pt>
                <c:pt idx="11">
                  <c:v>2019 рік  (прогноз)</c:v>
                </c:pt>
              </c:strCache>
            </c:strRef>
          </c:cat>
          <c:val>
            <c:numRef>
              <c:f>граф!$B$4:$M$4</c:f>
              <c:numCache>
                <c:formatCode>0.0</c:formatCode>
                <c:ptCount val="12"/>
                <c:pt idx="0">
                  <c:v>100</c:v>
                </c:pt>
                <c:pt idx="1">
                  <c:v>114.3</c:v>
                </c:pt>
                <c:pt idx="2">
                  <c:v>135.69999999999999</c:v>
                </c:pt>
                <c:pt idx="3">
                  <c:v>155</c:v>
                </c:pt>
                <c:pt idx="4">
                  <c:v>155.5</c:v>
                </c:pt>
                <c:pt idx="5">
                  <c:v>158.1</c:v>
                </c:pt>
                <c:pt idx="6">
                  <c:v>208.4</c:v>
                </c:pt>
                <c:pt idx="7">
                  <c:v>261.3</c:v>
                </c:pt>
                <c:pt idx="8">
                  <c:v>354.6</c:v>
                </c:pt>
                <c:pt idx="9">
                  <c:v>413.1</c:v>
                </c:pt>
                <c:pt idx="10">
                  <c:v>471.7602</c:v>
                </c:pt>
                <c:pt idx="11">
                  <c:v>519.4079802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B0-469E-B50A-F272C50E1F07}"/>
            </c:ext>
          </c:extLst>
        </c:ser>
        <c:ser>
          <c:idx val="1"/>
          <c:order val="1"/>
          <c:tx>
            <c:strRef>
              <c:f>граф!$A$5</c:f>
              <c:strCache>
                <c:ptCount val="1"/>
                <c:pt idx="0">
                  <c:v>Індекс тарифів на перевезення вантажів залізничним транспортом (IV квартал до IV кварталу 2008 року) за даними Держстату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1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FF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граф!$B$3:$M$3</c:f>
              <c:strCache>
                <c:ptCount val="12"/>
                <c:pt idx="0">
                  <c:v>2008 рік</c:v>
                </c:pt>
                <c:pt idx="1">
                  <c:v>2009 рік</c:v>
                </c:pt>
                <c:pt idx="2">
                  <c:v>2010 рік </c:v>
                </c:pt>
                <c:pt idx="3">
                  <c:v>2011 рік </c:v>
                </c:pt>
                <c:pt idx="4">
                  <c:v>2012 рік</c:v>
                </c:pt>
                <c:pt idx="5">
                  <c:v>2013 рік </c:v>
                </c:pt>
                <c:pt idx="6">
                  <c:v>2014 рік</c:v>
                </c:pt>
                <c:pt idx="7">
                  <c:v>2015 рік</c:v>
                </c:pt>
                <c:pt idx="8">
                  <c:v>2016 рік</c:v>
                </c:pt>
                <c:pt idx="9">
                  <c:v>2017 рік  </c:v>
                </c:pt>
                <c:pt idx="10">
                  <c:v>2018 рік  </c:v>
                </c:pt>
                <c:pt idx="11">
                  <c:v>2019 рік  (прогноз)</c:v>
                </c:pt>
              </c:strCache>
            </c:strRef>
          </c:cat>
          <c:val>
            <c:numRef>
              <c:f>граф!$B$5:$M$5</c:f>
              <c:numCache>
                <c:formatCode>General</c:formatCode>
                <c:ptCount val="12"/>
                <c:pt idx="0">
                  <c:v>100</c:v>
                </c:pt>
                <c:pt idx="1">
                  <c:v>101.4</c:v>
                </c:pt>
                <c:pt idx="2">
                  <c:v>103.5</c:v>
                </c:pt>
                <c:pt idx="3">
                  <c:v>128.1</c:v>
                </c:pt>
                <c:pt idx="4">
                  <c:v>128.1</c:v>
                </c:pt>
                <c:pt idx="5">
                  <c:v>141.69999999999999</c:v>
                </c:pt>
                <c:pt idx="6">
                  <c:v>160.69999999999999</c:v>
                </c:pt>
                <c:pt idx="7">
                  <c:v>209.7</c:v>
                </c:pt>
                <c:pt idx="8">
                  <c:v>241.2</c:v>
                </c:pt>
                <c:pt idx="9">
                  <c:v>277.39999999999998</c:v>
                </c:pt>
                <c:pt idx="10">
                  <c:v>273.8</c:v>
                </c:pt>
                <c:pt idx="11" formatCode="0.0">
                  <c:v>312.67959999999999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B0-469E-B50A-F272C50E1F07}"/>
            </c:ext>
          </c:extLst>
        </c:ser>
        <c:ser>
          <c:idx val="2"/>
          <c:order val="2"/>
          <c:tx>
            <c:strRef>
              <c:f>граф!$A$6</c:f>
              <c:strCache>
                <c:ptCount val="1"/>
                <c:pt idx="0">
                  <c:v>Зміна тарифів на вантажні залізничні перевезення, яка закладена у кількісні припущення прогнозу економічного і соціального розвитку України за даними Мінекономрозвитку</c:v>
                </c:pt>
              </c:strCache>
            </c:strRef>
          </c:tx>
          <c:spPr>
            <a:ln>
              <a:solidFill>
                <a:srgbClr val="00B050"/>
              </a:solidFill>
            </a:ln>
            <a:effectLst/>
          </c:spPr>
          <c:marker>
            <c:symbol val="none"/>
          </c:marker>
          <c:dLbls>
            <c:dLbl>
              <c:idx val="0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339966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3399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граф!$B$3:$M$3</c:f>
              <c:strCache>
                <c:ptCount val="12"/>
                <c:pt idx="0">
                  <c:v>2008 рік</c:v>
                </c:pt>
                <c:pt idx="1">
                  <c:v>2009 рік</c:v>
                </c:pt>
                <c:pt idx="2">
                  <c:v>2010 рік </c:v>
                </c:pt>
                <c:pt idx="3">
                  <c:v>2011 рік </c:v>
                </c:pt>
                <c:pt idx="4">
                  <c:v>2012 рік</c:v>
                </c:pt>
                <c:pt idx="5">
                  <c:v>2013 рік </c:v>
                </c:pt>
                <c:pt idx="6">
                  <c:v>2014 рік</c:v>
                </c:pt>
                <c:pt idx="7">
                  <c:v>2015 рік</c:v>
                </c:pt>
                <c:pt idx="8">
                  <c:v>2016 рік</c:v>
                </c:pt>
                <c:pt idx="9">
                  <c:v>2017 рік  </c:v>
                </c:pt>
                <c:pt idx="10">
                  <c:v>2018 рік  </c:v>
                </c:pt>
                <c:pt idx="11">
                  <c:v>2019 рік  (прогноз)</c:v>
                </c:pt>
              </c:strCache>
            </c:strRef>
          </c:cat>
          <c:val>
            <c:numRef>
              <c:f>граф!$B$6:$M$6</c:f>
              <c:numCache>
                <c:formatCode>General</c:formatCode>
                <c:ptCount val="12"/>
                <c:pt idx="0">
                  <c:v>143.5</c:v>
                </c:pt>
                <c:pt idx="1">
                  <c:v>162.8725</c:v>
                </c:pt>
                <c:pt idx="2" formatCode="0.0">
                  <c:v>166.78144</c:v>
                </c:pt>
                <c:pt idx="3" formatCode="0.0">
                  <c:v>208.4768</c:v>
                </c:pt>
                <c:pt idx="4" formatCode="0.0">
                  <c:v>250.17215999999996</c:v>
                </c:pt>
                <c:pt idx="5" formatCode="0.0">
                  <c:v>295.20314879999995</c:v>
                </c:pt>
                <c:pt idx="6" formatCode="0.0">
                  <c:v>351.29174707199991</c:v>
                </c:pt>
                <c:pt idx="7" formatCode="0.0">
                  <c:v>421.55009648639987</c:v>
                </c:pt>
                <c:pt idx="8" formatCode="0.0">
                  <c:v>569.09263025663984</c:v>
                </c:pt>
                <c:pt idx="9" formatCode="0.0">
                  <c:v>768.27505084646384</c:v>
                </c:pt>
                <c:pt idx="10" formatCode="0.0">
                  <c:v>960.34381355807989</c:v>
                </c:pt>
                <c:pt idx="11" formatCode="0.00">
                  <c:v>1200.4297669475998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60B0-469E-B50A-F272C50E1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557376"/>
        <c:axId val="103571456"/>
      </c:lineChart>
      <c:catAx>
        <c:axId val="10355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03571456"/>
        <c:crosses val="autoZero"/>
        <c:auto val="1"/>
        <c:lblAlgn val="ctr"/>
        <c:lblOffset val="100"/>
        <c:noMultiLvlLbl val="0"/>
      </c:catAx>
      <c:valAx>
        <c:axId val="103571456"/>
        <c:scaling>
          <c:orientation val="minMax"/>
          <c:max val="13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103557376"/>
        <c:crosses val="autoZero"/>
        <c:crossBetween val="between"/>
      </c:valAx>
      <c:spPr>
        <a:gradFill flip="none" rotWithShape="1">
          <a:gsLst>
            <a:gs pos="0">
              <a:schemeClr val="accent4">
                <a:lumMod val="60000"/>
                <a:lumOff val="4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  <a:tileRect/>
        </a:gradFill>
        <a:ln w="25400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c:spPr>
    </c:plotArea>
    <c:legend>
      <c:legendPos val="b"/>
      <c:layout>
        <c:manualLayout>
          <c:xMode val="edge"/>
          <c:yMode val="edge"/>
          <c:x val="4.8132779023060075E-2"/>
          <c:y val="7.1960166053068875E-2"/>
          <c:w val="0.57395400033479582"/>
          <c:h val="0.4328869629551339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Зміна основних показників з 01.11.2017 по 31.12.2019, %%</a:t>
            </a:r>
          </a:p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2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5804597701149427E-2"/>
          <c:y val="0.18639009446639923"/>
          <c:w val="0.9683908045977011"/>
          <c:h val="0.6509107571247971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29-40C6-92CD-9E265B9CE55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29-40C6-92CD-9E265B9CE55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29-40C6-92CD-9E265B9CE55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129-40C6-92CD-9E265B9CE55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129-40C6-92CD-9E265B9CE55A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129-40C6-92CD-9E265B9CE5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Лист2!$A$1:$A$7</c:f>
              <c:strCache>
                <c:ptCount val="7"/>
                <c:pt idx="0">
                  <c:v>індекс тарифів без індексації  </c:v>
                </c:pt>
                <c:pt idx="1">
                  <c:v>індекс тарифів з індексацією  </c:v>
                </c:pt>
                <c:pt idx="2">
                  <c:v>індекс цін виробників промислової продукції</c:v>
                </c:pt>
                <c:pt idx="3">
                  <c:v>індекс 
споживчих цін </c:v>
                </c:pt>
                <c:pt idx="4">
                  <c:v>ціни на дизельне паливо</c:v>
                </c:pt>
                <c:pt idx="5">
                  <c:v>ціни
 на електроенергію </c:v>
                </c:pt>
                <c:pt idx="6">
                  <c:v>курс 
до долл.США</c:v>
                </c:pt>
              </c:strCache>
            </c:strRef>
          </c:cat>
          <c:val>
            <c:numRef>
              <c:f>Лист2!$B$1:$B$7</c:f>
              <c:numCache>
                <c:formatCode>General</c:formatCode>
                <c:ptCount val="7"/>
                <c:pt idx="0">
                  <c:v>98.7</c:v>
                </c:pt>
                <c:pt idx="1">
                  <c:v>112.7</c:v>
                </c:pt>
                <c:pt idx="2">
                  <c:v>130.1</c:v>
                </c:pt>
                <c:pt idx="3">
                  <c:v>120.2</c:v>
                </c:pt>
                <c:pt idx="4">
                  <c:v>169.6</c:v>
                </c:pt>
                <c:pt idx="5">
                  <c:v>130.1</c:v>
                </c:pt>
                <c:pt idx="6" formatCode="_-* #\ ##0.0\ _₽_-;\-* #\ ##0.0\ _₽_-;_-* &quot;-&quot;??\ _₽_-;_-@_-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129-40C6-92CD-9E265B9CE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916672"/>
        <c:axId val="103918208"/>
      </c:barChart>
      <c:catAx>
        <c:axId val="10391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03918208"/>
        <c:crosses val="autoZero"/>
        <c:auto val="1"/>
        <c:lblAlgn val="ctr"/>
        <c:lblOffset val="100"/>
        <c:noMultiLvlLbl val="0"/>
      </c:catAx>
      <c:valAx>
        <c:axId val="1039182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391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Рівень рентабельності, %%</a:t>
            </a:r>
          </a:p>
        </c:rich>
      </c:tx>
      <c:layout>
        <c:manualLayout>
          <c:xMode val="edge"/>
          <c:yMode val="edge"/>
          <c:x val="0.13733068413177324"/>
          <c:y val="5.73951434878587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9607840385161425E-2"/>
          <c:y val="0.15938189845474612"/>
          <c:w val="0.67104542352022911"/>
          <c:h val="0.792052980132450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0E-4CDA-AE6A-68F30A4D68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0E-4CDA-AE6A-68F30A4D68C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10E-4CDA-AE6A-68F30A4D68C0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10E-4CDA-AE6A-68F30A4D68C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0,16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10E-4CDA-AE6A-68F30A4D68C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40,9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10E-4CDA-AE6A-68F30A4D68C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'рент Уз і промис'!$A$3:$A$8</c:f>
              <c:strCache>
                <c:ptCount val="6"/>
                <c:pt idx="0">
                  <c:v>2018 АТ "Укрзалізниця"
(очік.)</c:v>
                </c:pt>
                <c:pt idx="1">
                  <c:v>2019 АТ "Укрзалізниця"
( без індексації)</c:v>
                </c:pt>
                <c:pt idx="2">
                  <c:v>2019 АТ "Укрзалізниця"
( з індексацією тарифів)</c:v>
                </c:pt>
                <c:pt idx="3">
                  <c:v>Промисловість 
(за 9 місяців 2018 року)</c:v>
                </c:pt>
                <c:pt idx="4">
                  <c:v>Добувна промисловість і розроблення кар'єрів</c:v>
                </c:pt>
                <c:pt idx="5">
                  <c:v>металургійне виробництво, виробництво готових металевих виробів, крім машин і устатковання</c:v>
                </c:pt>
              </c:strCache>
            </c:strRef>
          </c:cat>
          <c:val>
            <c:numRef>
              <c:f>'рент Уз і промис'!$B$3:$B$8</c:f>
              <c:numCache>
                <c:formatCode>General</c:formatCode>
                <c:ptCount val="6"/>
                <c:pt idx="0">
                  <c:v>0.8</c:v>
                </c:pt>
                <c:pt idx="1">
                  <c:v>-3.14</c:v>
                </c:pt>
                <c:pt idx="2">
                  <c:v>3.04</c:v>
                </c:pt>
                <c:pt idx="3">
                  <c:v>7</c:v>
                </c:pt>
                <c:pt idx="4">
                  <c:v>27.266666666666666</c:v>
                </c:pt>
                <c:pt idx="5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10E-4CDA-AE6A-68F30A4D6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489920"/>
        <c:axId val="151491712"/>
      </c:barChart>
      <c:catAx>
        <c:axId val="1514899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491712"/>
        <c:crosses val="autoZero"/>
        <c:auto val="1"/>
        <c:lblAlgn val="ctr"/>
        <c:lblOffset val="100"/>
        <c:noMultiLvlLbl val="0"/>
      </c:catAx>
      <c:valAx>
        <c:axId val="1514917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51489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847863643212827"/>
          <c:y val="7.4215640263510102E-2"/>
          <c:w val="0.28082629858183616"/>
          <c:h val="0.91382037510211889"/>
        </c:manualLayout>
      </c:layout>
      <c:overlay val="0"/>
      <c:spPr>
        <a:noFill/>
        <a:ln>
          <a:noFill/>
        </a:ln>
        <a:effectLst>
          <a:softEdge rad="0"/>
        </a:effectLst>
      </c:spPr>
      <c:txPr>
        <a:bodyPr rot="0" spcFirstLastPara="1" vertOverflow="ellipsis" vert="horz" wrap="square" anchor="t" anchorCtr="0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F63B-CBD9-42B1-AE57-216207C3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22163</Words>
  <Characters>12633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Живага Ірина Василівна</dc:creator>
  <cp:lastModifiedBy>Катерина Ярмоленко</cp:lastModifiedBy>
  <cp:revision>26</cp:revision>
  <cp:lastPrinted>2019-02-11T12:29:00Z</cp:lastPrinted>
  <dcterms:created xsi:type="dcterms:W3CDTF">2019-02-13T10:57:00Z</dcterms:created>
  <dcterms:modified xsi:type="dcterms:W3CDTF">2019-02-15T17:06:00Z</dcterms:modified>
</cp:coreProperties>
</file>