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47" w:rsidRDefault="00734EFD" w:rsidP="00734EFD">
      <w:pPr>
        <w:tabs>
          <w:tab w:val="left" w:pos="5730"/>
        </w:tabs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</w:p>
    <w:p w:rsidR="00734EFD" w:rsidRDefault="00734EFD" w:rsidP="00734EFD">
      <w:pPr>
        <w:tabs>
          <w:tab w:val="left" w:pos="5730"/>
        </w:tabs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34EFD" w:rsidRDefault="00734EFD" w:rsidP="001F0A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5026E" w:rsidRPr="00B65E66" w:rsidRDefault="0085026E" w:rsidP="00734EFD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РЕГУЛЯТОРНОГО ВПЛИВУ</w:t>
      </w:r>
    </w:p>
    <w:p w:rsidR="0085026E" w:rsidRPr="00B65E66" w:rsidRDefault="0085026E" w:rsidP="00734EFD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наказу Міністерства інфраструктури України</w:t>
      </w:r>
    </w:p>
    <w:p w:rsidR="000F31C2" w:rsidRPr="00227CE8" w:rsidRDefault="000F31C2" w:rsidP="00734EFD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E8">
        <w:rPr>
          <w:rFonts w:ascii="Times New Roman" w:hAnsi="Times New Roman" w:cs="Times New Roman"/>
          <w:b/>
          <w:sz w:val="28"/>
          <w:szCs w:val="28"/>
        </w:rPr>
        <w:t>«Про внесення зміни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послуги, щодо уніфікації тарифної політики на перевезення порожніх вагонів»</w:t>
      </w:r>
    </w:p>
    <w:p w:rsidR="0085026E" w:rsidRPr="00B65E66" w:rsidRDefault="005C1025" w:rsidP="005C1025">
      <w:pPr>
        <w:tabs>
          <w:tab w:val="left" w:pos="576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85026E" w:rsidRPr="00BC341C" w:rsidRDefault="00692DA5" w:rsidP="005C102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="0085026E" w:rsidRPr="0069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gramEnd"/>
      <w:r w:rsidR="0085026E" w:rsidRPr="0069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проблеми</w:t>
      </w:r>
    </w:p>
    <w:p w:rsidR="00734EFD" w:rsidRPr="00BC341C" w:rsidRDefault="00734EFD" w:rsidP="005C102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0D" w:rsidRDefault="00D16D0D" w:rsidP="005C1025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739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</w:t>
      </w:r>
      <w:r w:rsidR="00F07B0A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D739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від 25</w:t>
      </w:r>
      <w:r w:rsidR="003A7B5D" w:rsidRPr="003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</w:t>
      </w:r>
      <w:r w:rsidR="00DD739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DD739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7B0A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739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1548 «Про встановлення повноважень органів виконавчої влади та виконавчих органів міських рад щодо регулювання цін (тарифів)»</w:t>
      </w:r>
      <w:r w:rsidR="00581A1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інфраструктури України затверджує тарифи на перевезення вантажів залізничним транспортом.</w:t>
      </w:r>
    </w:p>
    <w:p w:rsidR="00BA032F" w:rsidRDefault="00BA032F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Тарифи на перевезення порожніх вагонів визначаються із використанням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Коефіцієнтів, що застосовуються до тарифів Збірника тарифів на </w:t>
      </w:r>
      <w:r w:rsidR="008B0D33" w:rsidRPr="008B0D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 вантажів залізничним транспортом у межах України та пов’язані з ними послуги, затверджених наказом Міністерства транспорту та зв’язк</w:t>
      </w:r>
      <w:r w:rsidR="0010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України від</w:t>
      </w:r>
      <w:r w:rsidR="00100A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317, зареєстрованих у Міністерстві юстиції України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квітня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="00100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0A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65E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341/16357 (у редакції наказу </w:t>
      </w:r>
      <w:r w:rsidR="008B0D33" w:rsidRPr="008B0D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інфраструктури України </w:t>
      </w:r>
      <w:r w:rsidRPr="002A14B3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2A14B3">
        <w:rPr>
          <w:rFonts w:ascii="Times New Roman" w:hAnsi="Times New Roman" w:cs="Times New Roman"/>
          <w:sz w:val="28"/>
          <w:szCs w:val="28"/>
        </w:rPr>
        <w:t xml:space="preserve"> 2017 року № </w:t>
      </w:r>
      <w:r>
        <w:rPr>
          <w:rFonts w:ascii="Times New Roman" w:hAnsi="Times New Roman" w:cs="Times New Roman"/>
          <w:sz w:val="28"/>
          <w:szCs w:val="28"/>
        </w:rPr>
        <w:t>357 (зі змінами)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32F" w:rsidRPr="008B0D33" w:rsidRDefault="00BA032F" w:rsidP="008B0D33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перевезення порожніх вагонів встановлено розподіл тарифів на три класи залежно</w:t>
      </w:r>
      <w:r w:rsidR="007F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з-під вивантаження якого вантажу порожній вагон слідує під завантаження, в ремонт, </w:t>
      </w:r>
      <w:r w:rsidRP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промивання, пропарку, дезінсекцію </w:t>
      </w:r>
      <w:r w:rsidR="008B0D33" w:rsidRPr="0042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дезінфекцію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тощо. При цьому виконання цих перевезень </w:t>
      </w:r>
      <w:r w:rsidR="008B0D33" w:rsidRPr="008B0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залізничним транспортом не має технічних або технологічних </w:t>
      </w:r>
      <w:r w:rsidR="008B0D33" w:rsidRPr="008B0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відмінностей, здійснюється за однаковими витратами і вимагає застосування єдиного тарифу.</w:t>
      </w:r>
    </w:p>
    <w:p w:rsidR="00BA032F" w:rsidRDefault="00BA032F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 всі п</w:t>
      </w:r>
      <w:r w:rsidRPr="00006F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еревезення порожніх вагонів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(крім перевезень </w:t>
      </w:r>
      <w:r w:rsidRP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з-під вивантаження вантажів 3-го тарифного класу під наступне навантаження </w:t>
      </w:r>
      <w:r w:rsidR="008B0D33" w:rsidRPr="008B0D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під накопичення вагонів для наступного навантаження та з </w:t>
      </w:r>
      <w:r w:rsidR="008B0D33" w:rsidRPr="008B0D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 вагонів з-під вивантаження цих вантажів під наступне навантаження; з провідниками; в (із) ремонт(у); пересилка після вивантаження на промивання, пропарку, дезінсекцію та дезінфекцію; в інших випадках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займають лише 10,7%)</w:t>
      </w:r>
      <w:r w:rsidRPr="000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збитковими і здійснюються </w:t>
      </w:r>
      <w:r w:rsidRPr="000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від’ємною рентабельністю (-38% у середньому). </w:t>
      </w:r>
    </w:p>
    <w:p w:rsidR="009F3C9B" w:rsidRDefault="009F3C9B" w:rsidP="00BA03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4EFD" w:rsidRDefault="00734EFD" w:rsidP="00BA03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4EFD" w:rsidRPr="00734EFD" w:rsidRDefault="00734EFD" w:rsidP="00734EF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273"/>
        <w:gridCol w:w="1048"/>
        <w:gridCol w:w="1206"/>
        <w:gridCol w:w="1033"/>
        <w:gridCol w:w="1276"/>
        <w:gridCol w:w="1162"/>
        <w:gridCol w:w="1128"/>
      </w:tblGrid>
      <w:tr w:rsidR="007F6FD8" w:rsidRPr="0039422E" w:rsidTr="00462D7C">
        <w:trPr>
          <w:trHeight w:val="722"/>
        </w:trPr>
        <w:tc>
          <w:tcPr>
            <w:tcW w:w="1502" w:type="dxa"/>
            <w:vMerge w:val="restart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Переве</w:t>
            </w:r>
            <w:r w:rsidRPr="00CA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зення</w:t>
            </w:r>
            <w:proofErr w:type="spellEnd"/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відстань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зення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  <w:t xml:space="preserve"> км</w:t>
            </w:r>
          </w:p>
        </w:tc>
        <w:tc>
          <w:tcPr>
            <w:tcW w:w="2254" w:type="dxa"/>
            <w:gridSpan w:val="2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Тариф, 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  <w:t>грн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/вагон</w:t>
            </w:r>
          </w:p>
        </w:tc>
        <w:tc>
          <w:tcPr>
            <w:tcW w:w="1033" w:type="dxa"/>
            <w:vMerge w:val="restart"/>
            <w:shd w:val="clear" w:color="000000" w:fill="FFFFFF"/>
            <w:vAlign w:val="center"/>
            <w:hideMark/>
          </w:tcPr>
          <w:p w:rsidR="007F6FD8" w:rsidRPr="00CA5AB6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Відхи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лення</w:t>
            </w:r>
            <w:proofErr w:type="spellEnd"/>
            <w:proofErr w:type="gram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  <w:t xml:space="preserve">(+/-) </w:t>
            </w:r>
            <w:proofErr w:type="gramEnd"/>
          </w:p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Собівар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тість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br/>
              <w:t>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proofErr w:type="gram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CA5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гон</w:t>
            </w:r>
            <w:proofErr w:type="gramEnd"/>
          </w:p>
        </w:tc>
        <w:tc>
          <w:tcPr>
            <w:tcW w:w="2290" w:type="dxa"/>
            <w:gridSpan w:val="2"/>
            <w:vMerge w:val="restart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Рентабельність</w:t>
            </w:r>
            <w:proofErr w:type="spellEnd"/>
          </w:p>
        </w:tc>
      </w:tr>
      <w:tr w:rsidR="007F6FD8" w:rsidRPr="0039422E" w:rsidTr="00462D7C">
        <w:trPr>
          <w:trHeight w:val="340"/>
        </w:trPr>
        <w:tc>
          <w:tcPr>
            <w:tcW w:w="1502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48" w:type="dxa"/>
            <w:vMerge w:val="restart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діючий</w:t>
            </w:r>
            <w:proofErr w:type="spellEnd"/>
          </w:p>
        </w:tc>
        <w:tc>
          <w:tcPr>
            <w:tcW w:w="1206" w:type="dxa"/>
            <w:vMerge w:val="restart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 дня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офіцій</w:t>
            </w:r>
            <w:r w:rsidRPr="00CA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ного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опублі</w:t>
            </w:r>
            <w:r w:rsidR="007332FC" w:rsidRPr="0073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кування</w:t>
            </w:r>
            <w:proofErr w:type="spellEnd"/>
          </w:p>
        </w:tc>
        <w:tc>
          <w:tcPr>
            <w:tcW w:w="1033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90" w:type="dxa"/>
            <w:gridSpan w:val="2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F6FD8" w:rsidRPr="0039422E" w:rsidTr="00462D7C">
        <w:trPr>
          <w:trHeight w:val="1117"/>
        </w:trPr>
        <w:tc>
          <w:tcPr>
            <w:tcW w:w="1502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3" w:type="dxa"/>
            <w:vMerge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діючому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тарифі</w:t>
            </w:r>
            <w:proofErr w:type="spellEnd"/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єдиному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коефі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цієнті</w:t>
            </w:r>
            <w:proofErr w:type="spellEnd"/>
          </w:p>
        </w:tc>
      </w:tr>
      <w:tr w:rsidR="007F6FD8" w:rsidRPr="0039422E" w:rsidTr="00462D7C">
        <w:trPr>
          <w:trHeight w:val="913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з-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низьковар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тісних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вантажів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1-го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408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1189,4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2315,4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-56,9%</w:t>
            </w:r>
          </w:p>
        </w:tc>
        <w:tc>
          <w:tcPr>
            <w:tcW w:w="1128" w:type="dxa"/>
            <w:shd w:val="clear" w:color="000000" w:fill="FFFFFF"/>
            <w:noWrap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-16,2%</w:t>
            </w:r>
          </w:p>
        </w:tc>
      </w:tr>
      <w:tr w:rsidR="007F6FD8" w:rsidRPr="0039422E" w:rsidTr="00462D7C">
        <w:trPr>
          <w:trHeight w:val="681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з-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вантажів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2-го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</w:tc>
        <w:tc>
          <w:tcPr>
            <w:tcW w:w="1273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1804,9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2315,4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-34,7%</w:t>
            </w:r>
          </w:p>
        </w:tc>
        <w:tc>
          <w:tcPr>
            <w:tcW w:w="1128" w:type="dxa"/>
            <w:shd w:val="clear" w:color="000000" w:fill="FFFFFF"/>
            <w:noWrap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-16,2%</w:t>
            </w:r>
          </w:p>
        </w:tc>
      </w:tr>
      <w:tr w:rsidR="007F6FD8" w:rsidRPr="0039422E" w:rsidTr="00462D7C">
        <w:trPr>
          <w:trHeight w:val="681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з-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вантажів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3-го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</w:tc>
        <w:tc>
          <w:tcPr>
            <w:tcW w:w="1273" w:type="dxa"/>
            <w:vMerge/>
            <w:vAlign w:val="center"/>
            <w:hideMark/>
          </w:tcPr>
          <w:p w:rsidR="007F6FD8" w:rsidRPr="0039422E" w:rsidRDefault="007F6FD8" w:rsidP="00FA4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2893,7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2315,4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-578,3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4,8%</w:t>
            </w:r>
          </w:p>
        </w:tc>
        <w:tc>
          <w:tcPr>
            <w:tcW w:w="1128" w:type="dxa"/>
            <w:shd w:val="clear" w:color="000000" w:fill="FFFFFF"/>
            <w:noWrap/>
            <w:vAlign w:val="center"/>
            <w:hideMark/>
          </w:tcPr>
          <w:p w:rsidR="007F6FD8" w:rsidRPr="0039422E" w:rsidRDefault="007F6FD8" w:rsidP="00FA4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-16,2%</w:t>
            </w:r>
          </w:p>
        </w:tc>
      </w:tr>
    </w:tbl>
    <w:p w:rsidR="007F6FD8" w:rsidRDefault="007F6FD8" w:rsidP="00BA03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E8" w:rsidRDefault="00227CE8" w:rsidP="00BA03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2F" w:rsidRDefault="007F6FD8" w:rsidP="00BA03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2089BB94" wp14:editId="5EEDEC7D">
            <wp:extent cx="6120130" cy="3821430"/>
            <wp:effectExtent l="0" t="0" r="1397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032F" w:rsidRDefault="00BA032F" w:rsidP="00BA03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2F" w:rsidRDefault="00BA032F" w:rsidP="00BA03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2F" w:rsidRDefault="00BA032F" w:rsidP="005C1025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перевезення порожніх вагонів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пропонується здійснити шляхом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єдиного коефіцієнт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тарифів Збірника тарифів на перевезення вантажів залізничним транспортом у межах України та пов’язані з ними послуги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тариф</w:t>
      </w:r>
      <w:r w:rsidR="007F6F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Збірника тарифів)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рівні, встановленому для вантажів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2-го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тарифного класу.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авіть після уніфікації тарифів на перевезення порожніх вагонів тарифи залишатимуться збитковими.</w:t>
      </w:r>
    </w:p>
    <w:p w:rsidR="007F6FD8" w:rsidRDefault="00BA032F" w:rsidP="00227CE8">
      <w:pPr>
        <w:widowControl w:val="0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Використання к</w:t>
      </w:r>
      <w:r w:rsidRPr="00717791">
        <w:rPr>
          <w:rFonts w:ascii="Times New Roman" w:hAnsi="Times New Roman" w:cs="Times New Roman"/>
          <w:sz w:val="28"/>
          <w:szCs w:val="28"/>
        </w:rPr>
        <w:t>ошт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17791">
        <w:rPr>
          <w:rFonts w:ascii="Times New Roman" w:hAnsi="Times New Roman" w:cs="Times New Roman"/>
          <w:sz w:val="28"/>
          <w:szCs w:val="28"/>
        </w:rPr>
        <w:t>, отриман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1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уніфікації тарифів</w:t>
      </w:r>
      <w:r w:rsidR="007F6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зближення </w:t>
      </w:r>
      <w:r w:rsidRPr="00717791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17791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227CE8">
        <w:rPr>
          <w:rFonts w:ascii="Times New Roman" w:hAnsi="Times New Roman" w:cs="Times New Roman"/>
          <w:sz w:val="28"/>
          <w:szCs w:val="28"/>
        </w:rPr>
        <w:t>ів</w:t>
      </w: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2127"/>
        <w:gridCol w:w="2721"/>
      </w:tblGrid>
      <w:tr w:rsidR="007F6FD8" w:rsidRPr="00745BD9" w:rsidTr="00FA4FE0">
        <w:tc>
          <w:tcPr>
            <w:tcW w:w="4752" w:type="dxa"/>
            <w:shd w:val="clear" w:color="auto" w:fill="auto"/>
          </w:tcPr>
          <w:p w:rsidR="007F6FD8" w:rsidRPr="00745BD9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45BD9">
              <w:rPr>
                <w:rFonts w:ascii="Times New Roman" w:hAnsi="Times New Roman" w:cs="Times New Roman"/>
                <w:b/>
                <w:sz w:val="28"/>
                <w:szCs w:val="28"/>
              </w:rPr>
              <w:t>апрям</w:t>
            </w:r>
          </w:p>
        </w:tc>
        <w:tc>
          <w:tcPr>
            <w:tcW w:w="2127" w:type="dxa"/>
            <w:shd w:val="clear" w:color="auto" w:fill="auto"/>
          </w:tcPr>
          <w:p w:rsidR="007F6FD8" w:rsidRPr="00745BD9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45BD9">
              <w:rPr>
                <w:rFonts w:ascii="Times New Roman" w:hAnsi="Times New Roman" w:cs="Times New Roman"/>
                <w:b/>
                <w:sz w:val="28"/>
                <w:szCs w:val="28"/>
              </w:rPr>
              <w:t>ількість</w:t>
            </w:r>
          </w:p>
        </w:tc>
        <w:tc>
          <w:tcPr>
            <w:tcW w:w="2721" w:type="dxa"/>
            <w:shd w:val="clear" w:color="auto" w:fill="auto"/>
          </w:tcPr>
          <w:p w:rsidR="007F6FD8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45BD9">
              <w:rPr>
                <w:rFonts w:ascii="Times New Roman" w:hAnsi="Times New Roman" w:cs="Times New Roman"/>
                <w:b/>
                <w:sz w:val="28"/>
                <w:szCs w:val="28"/>
              </w:rPr>
              <w:t>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F6FD8" w:rsidRPr="00A54A4E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4E">
              <w:rPr>
                <w:rFonts w:ascii="Times New Roman" w:hAnsi="Times New Roman" w:cs="Times New Roman"/>
                <w:sz w:val="28"/>
                <w:szCs w:val="28"/>
              </w:rPr>
              <w:t>млн. грн.</w:t>
            </w:r>
          </w:p>
        </w:tc>
      </w:tr>
      <w:tr w:rsidR="007F6FD8" w:rsidRPr="00745BD9" w:rsidTr="00FA4FE0">
        <w:tc>
          <w:tcPr>
            <w:tcW w:w="4752" w:type="dxa"/>
            <w:shd w:val="clear" w:color="auto" w:fill="auto"/>
          </w:tcPr>
          <w:p w:rsidR="007F6FD8" w:rsidRPr="007332FC" w:rsidRDefault="007F6FD8" w:rsidP="00FA4FE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>Виготовлення вантажних вагонів, од</w:t>
            </w:r>
            <w:r w:rsidR="00733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F6FD8" w:rsidRPr="00745BD9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721" w:type="dxa"/>
            <w:shd w:val="clear" w:color="auto" w:fill="auto"/>
          </w:tcPr>
          <w:p w:rsidR="007F6FD8" w:rsidRPr="00A54A4E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A5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446</w:t>
            </w:r>
          </w:p>
        </w:tc>
      </w:tr>
      <w:tr w:rsidR="007F6FD8" w:rsidRPr="00745BD9" w:rsidTr="00FA4FE0">
        <w:tc>
          <w:tcPr>
            <w:tcW w:w="4752" w:type="dxa"/>
            <w:shd w:val="clear" w:color="auto" w:fill="auto"/>
          </w:tcPr>
          <w:p w:rsidR="007F6FD8" w:rsidRPr="00745BD9" w:rsidRDefault="007F6FD8" w:rsidP="00FA4FE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>Модернізаці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 xml:space="preserve"> вантажних вагонів, од.</w:t>
            </w:r>
          </w:p>
        </w:tc>
        <w:tc>
          <w:tcPr>
            <w:tcW w:w="2127" w:type="dxa"/>
            <w:shd w:val="clear" w:color="auto" w:fill="auto"/>
          </w:tcPr>
          <w:p w:rsidR="007F6FD8" w:rsidRPr="00A54A4E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2707</w:t>
            </w:r>
          </w:p>
        </w:tc>
        <w:tc>
          <w:tcPr>
            <w:tcW w:w="2721" w:type="dxa"/>
            <w:shd w:val="clear" w:color="auto" w:fill="auto"/>
          </w:tcPr>
          <w:p w:rsidR="007F6FD8" w:rsidRPr="00A54A4E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371 290</w:t>
            </w:r>
          </w:p>
        </w:tc>
      </w:tr>
      <w:tr w:rsidR="007F6FD8" w:rsidRPr="00745BD9" w:rsidTr="00FA4FE0">
        <w:tc>
          <w:tcPr>
            <w:tcW w:w="4752" w:type="dxa"/>
            <w:shd w:val="clear" w:color="auto" w:fill="auto"/>
          </w:tcPr>
          <w:p w:rsidR="007F6FD8" w:rsidRPr="00745BD9" w:rsidRDefault="007F6FD8" w:rsidP="00FA4FE0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D9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127" w:type="dxa"/>
            <w:shd w:val="clear" w:color="auto" w:fill="auto"/>
          </w:tcPr>
          <w:p w:rsidR="007F6FD8" w:rsidRPr="00745BD9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7F6FD8" w:rsidRPr="00A54A4E" w:rsidRDefault="007F6FD8" w:rsidP="00FA4FE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971 736</w:t>
            </w:r>
          </w:p>
        </w:tc>
      </w:tr>
    </w:tbl>
    <w:p w:rsidR="00BA032F" w:rsidRDefault="00BA032F" w:rsidP="00BA032F">
      <w:pPr>
        <w:widowControl w:val="0"/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32F" w:rsidRPr="00BA2AC7" w:rsidRDefault="00BA032F" w:rsidP="005C102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Оновлення і модернізація рухомого складу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покращуватиме якість послуг з 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 продук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 українських виробників, що сприятиме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енню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обсяг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продажів і надходжень у національній валюті на внутрішньому ринку, так і валютн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надходжен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рахунок експорту.</w:t>
      </w:r>
    </w:p>
    <w:p w:rsidR="00BA032F" w:rsidRDefault="00BA032F" w:rsidP="005C1025">
      <w:pPr>
        <w:tabs>
          <w:tab w:val="left" w:pos="-3686"/>
        </w:tabs>
        <w:ind w:right="45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єдиного коефіцієнта до тарифів Збірника тарифів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 вирішити тільки шляхо</w:t>
      </w:r>
      <w:r w:rsidR="007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прийняття відповідного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Мінінфраструктури. </w:t>
      </w:r>
      <w:r w:rsidR="00734EFD">
        <w:rPr>
          <w:rFonts w:ascii="Times New Roman" w:hAnsi="Times New Roman" w:cs="Times New Roman"/>
          <w:iCs/>
          <w:sz w:val="28"/>
          <w:szCs w:val="28"/>
        </w:rPr>
        <w:t>Прийняття цього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наказу</w:t>
      </w:r>
      <w:r w:rsidRPr="002E01D2">
        <w:rPr>
          <w:rFonts w:ascii="Times New Roman" w:hAnsi="Times New Roman" w:cs="Times New Roman"/>
          <w:iCs/>
          <w:sz w:val="28"/>
          <w:szCs w:val="28"/>
        </w:rPr>
        <w:t xml:space="preserve"> дозволить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BA032F" w:rsidRDefault="00BA032F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 зменшити збитковість перевезень порожніх вагонів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скоротити перехресне субсидування між вантажами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32F" w:rsidRDefault="00BA032F" w:rsidP="005C102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66">
        <w:rPr>
          <w:rFonts w:ascii="Times New Roman" w:eastAsia="Calibri" w:hAnsi="Times New Roman" w:cs="Times New Roman"/>
          <w:sz w:val="28"/>
          <w:szCs w:val="28"/>
        </w:rPr>
        <w:t>уніфікувати тарифи для порожнього пробігу вагонів;</w:t>
      </w:r>
    </w:p>
    <w:p w:rsidR="00BA032F" w:rsidRDefault="00BA032F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одержати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доходи ПАТ «Укрзалізниця» від перевезень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кінця поточного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розмірі 0,972</w:t>
      </w:r>
      <w:r w:rsidRPr="00B65E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грн.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складає майже 3% доходних надходжень від перевезень вантажів у межах України;</w:t>
      </w:r>
    </w:p>
    <w:p w:rsidR="00BA032F" w:rsidRDefault="00BA032F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Pr="001E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грн.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C90" w:rsidRDefault="00BA032F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модернізацію 2707 од. вантажни</w:t>
      </w:r>
      <w:r w:rsidR="003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вагонів та 557 од. виготовити;</w:t>
      </w:r>
    </w:p>
    <w:p w:rsidR="00BA032F" w:rsidRDefault="00314C90" w:rsidP="00874D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одержати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доходи ПАТ «Укрзалізниця» від перевезень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кінця поточного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розмірі 0,972</w:t>
      </w:r>
      <w:r w:rsidRPr="00B65E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грн.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складає майже 3% доходних надходжень від пере</w:t>
      </w:r>
      <w:r w:rsidR="0087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везень вантажів у межах України.</w:t>
      </w:r>
    </w:p>
    <w:p w:rsidR="00BA032F" w:rsidRPr="00B57EAE" w:rsidRDefault="00BA032F" w:rsidP="005C10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5E66">
        <w:rPr>
          <w:rFonts w:ascii="Times New Roman" w:hAnsi="Times New Roman" w:cs="Times New Roman"/>
          <w:sz w:val="28"/>
          <w:szCs w:val="28"/>
        </w:rPr>
        <w:t xml:space="preserve"> поточному році змінилися умови, що не залежать від господарської діяльності, </w:t>
      </w:r>
      <w:r w:rsidRPr="00B57EAE">
        <w:rPr>
          <w:rFonts w:ascii="Times New Roman" w:hAnsi="Times New Roman" w:cs="Times New Roman"/>
          <w:sz w:val="28"/>
          <w:szCs w:val="28"/>
        </w:rPr>
        <w:t>зокрема:</w:t>
      </w:r>
    </w:p>
    <w:p w:rsidR="00BA032F" w:rsidRPr="00B57EAE" w:rsidRDefault="00BA032F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7EA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8 Закону України «Про Державний бюджет України на 2018 рік» встановлено розмір мінімальної заробітної плати на 2018 рік у сумі 3723 грн., що на 16,3% перевищує рівень 2017 року (3200 грн.);</w:t>
      </w:r>
    </w:p>
    <w:p w:rsidR="00BA032F" w:rsidRPr="00B57EAE" w:rsidRDefault="00BA032F" w:rsidP="005C10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AE">
        <w:rPr>
          <w:rFonts w:ascii="Times New Roman" w:hAnsi="Times New Roman" w:cs="Times New Roman"/>
          <w:sz w:val="28"/>
          <w:szCs w:val="28"/>
        </w:rPr>
        <w:t xml:space="preserve">зростання цін – прогнозний (за 1-м сценарієм)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індекс цін виробників промислової продукції (далі – ІЦВ)</w:t>
      </w:r>
      <w:r w:rsidRPr="00B57EAE">
        <w:rPr>
          <w:rFonts w:ascii="Times New Roman" w:hAnsi="Times New Roman" w:cs="Times New Roman"/>
          <w:sz w:val="28"/>
          <w:szCs w:val="28"/>
        </w:rPr>
        <w:t xml:space="preserve"> – 110,3%; </w:t>
      </w:r>
    </w:p>
    <w:p w:rsidR="00BA032F" w:rsidRPr="00B57EAE" w:rsidRDefault="00BA032F" w:rsidP="005C10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AE">
        <w:rPr>
          <w:rFonts w:ascii="Times New Roman" w:hAnsi="Times New Roman" w:cs="Times New Roman"/>
          <w:sz w:val="28"/>
          <w:szCs w:val="28"/>
        </w:rPr>
        <w:t>збільшення цін</w:t>
      </w:r>
      <w:r w:rsidR="007332FC">
        <w:rPr>
          <w:rFonts w:ascii="Times New Roman" w:hAnsi="Times New Roman" w:cs="Times New Roman"/>
          <w:sz w:val="28"/>
          <w:szCs w:val="28"/>
        </w:rPr>
        <w:t>:</w:t>
      </w:r>
      <w:r w:rsidRPr="00B57EAE">
        <w:rPr>
          <w:rFonts w:ascii="Times New Roman" w:hAnsi="Times New Roman" w:cs="Times New Roman"/>
          <w:sz w:val="28"/>
          <w:szCs w:val="28"/>
        </w:rPr>
        <w:t xml:space="preserve"> на дизельне паливо – на 10,3% та на електроенергію – на 9,3%;</w:t>
      </w:r>
    </w:p>
    <w:p w:rsidR="00BA032F" w:rsidRPr="00B57EAE" w:rsidRDefault="00BA032F" w:rsidP="005C10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AE">
        <w:rPr>
          <w:rFonts w:ascii="Times New Roman" w:hAnsi="Times New Roman" w:cs="Times New Roman"/>
          <w:sz w:val="28"/>
          <w:szCs w:val="28"/>
        </w:rPr>
        <w:t>збільшення на 10,2% прогнозного курсу гривні до долара</w:t>
      </w:r>
      <w:r w:rsidRPr="00B57EA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57EAE">
        <w:rPr>
          <w:rFonts w:ascii="Times New Roman" w:hAnsi="Times New Roman" w:cs="Times New Roman"/>
          <w:sz w:val="28"/>
          <w:szCs w:val="28"/>
        </w:rPr>
        <w:t xml:space="preserve">США в </w:t>
      </w:r>
      <w:r w:rsidR="00462D7C">
        <w:rPr>
          <w:rFonts w:ascii="Times New Roman" w:hAnsi="Times New Roman" w:cs="Times New Roman"/>
          <w:sz w:val="28"/>
          <w:szCs w:val="28"/>
        </w:rPr>
        <w:br/>
      </w:r>
      <w:r w:rsidRPr="00B57EAE">
        <w:rPr>
          <w:rFonts w:ascii="Times New Roman" w:hAnsi="Times New Roman" w:cs="Times New Roman"/>
          <w:sz w:val="28"/>
          <w:szCs w:val="28"/>
        </w:rPr>
        <w:t>2018 році до середньорічного курсу за 2017 рік.</w:t>
      </w:r>
    </w:p>
    <w:p w:rsidR="00BA032F" w:rsidRDefault="00BA032F" w:rsidP="004D5142">
      <w:pPr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A7" w:rsidRPr="00B65E66" w:rsidRDefault="006433A7" w:rsidP="005C1025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основних груп (підгруп), на які проблема справляє вплив:</w:t>
      </w:r>
    </w:p>
    <w:p w:rsidR="006433A7" w:rsidRDefault="006433A7" w:rsidP="001F0AB8">
      <w:pPr>
        <w:ind w:firstLine="709"/>
        <w:jc w:val="both"/>
        <w:outlineLvl w:val="2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174"/>
        <w:gridCol w:w="3164"/>
      </w:tblGrid>
      <w:tr w:rsidR="00B65E66" w:rsidRPr="00B65E66" w:rsidTr="00CD56AD">
        <w:trPr>
          <w:trHeight w:val="439"/>
        </w:trPr>
        <w:tc>
          <w:tcPr>
            <w:tcW w:w="3290" w:type="dxa"/>
          </w:tcPr>
          <w:p w:rsidR="006433A7" w:rsidRPr="00B65E66" w:rsidRDefault="006433A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174" w:type="dxa"/>
          </w:tcPr>
          <w:p w:rsidR="006433A7" w:rsidRPr="00B65E66" w:rsidRDefault="006433A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3164" w:type="dxa"/>
          </w:tcPr>
          <w:p w:rsidR="006433A7" w:rsidRPr="00B65E66" w:rsidRDefault="006433A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65E66" w:rsidRPr="00B65E66" w:rsidTr="00CD56AD">
        <w:trPr>
          <w:trHeight w:val="423"/>
        </w:trPr>
        <w:tc>
          <w:tcPr>
            <w:tcW w:w="3290" w:type="dxa"/>
          </w:tcPr>
          <w:p w:rsidR="006433A7" w:rsidRPr="00B65E66" w:rsidRDefault="006433A7" w:rsidP="001F0A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3174" w:type="dxa"/>
          </w:tcPr>
          <w:p w:rsidR="006433A7" w:rsidRPr="00B65E66" w:rsidRDefault="006433A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64" w:type="dxa"/>
          </w:tcPr>
          <w:p w:rsidR="006433A7" w:rsidRPr="00B65E66" w:rsidRDefault="006433A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B65E66" w:rsidRPr="00B65E66" w:rsidTr="00CD56AD">
        <w:trPr>
          <w:trHeight w:val="439"/>
        </w:trPr>
        <w:tc>
          <w:tcPr>
            <w:tcW w:w="3290" w:type="dxa"/>
          </w:tcPr>
          <w:p w:rsidR="006433A7" w:rsidRPr="00B65E66" w:rsidRDefault="006433A7" w:rsidP="001F0A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174" w:type="dxa"/>
          </w:tcPr>
          <w:p w:rsidR="006433A7" w:rsidRPr="00B65E66" w:rsidRDefault="006433A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164" w:type="dxa"/>
          </w:tcPr>
          <w:p w:rsidR="006433A7" w:rsidRPr="00B65E66" w:rsidRDefault="006433A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6433A7" w:rsidRPr="00B65E66" w:rsidTr="00CD56AD">
        <w:trPr>
          <w:trHeight w:val="687"/>
        </w:trPr>
        <w:tc>
          <w:tcPr>
            <w:tcW w:w="3290" w:type="dxa"/>
          </w:tcPr>
          <w:p w:rsidR="006433A7" w:rsidRPr="00543D66" w:rsidRDefault="006433A7" w:rsidP="00BC341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Суб’єкти господарювання</w:t>
            </w:r>
            <w:r w:rsidR="00BC3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</w:p>
        </w:tc>
        <w:tc>
          <w:tcPr>
            <w:tcW w:w="3174" w:type="dxa"/>
          </w:tcPr>
          <w:p w:rsidR="0098308E" w:rsidRDefault="0098308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6433A7" w:rsidRPr="00B65E66" w:rsidRDefault="006433A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164" w:type="dxa"/>
          </w:tcPr>
          <w:p w:rsidR="006433A7" w:rsidRDefault="006433A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98308E" w:rsidRPr="00B65E66" w:rsidRDefault="0098308E" w:rsidP="009830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98308E" w:rsidRPr="00B65E66" w:rsidTr="00CD56AD">
        <w:trPr>
          <w:trHeight w:val="687"/>
        </w:trPr>
        <w:tc>
          <w:tcPr>
            <w:tcW w:w="3290" w:type="dxa"/>
          </w:tcPr>
          <w:p w:rsidR="0098308E" w:rsidRPr="00B65E66" w:rsidRDefault="0098308E" w:rsidP="001F0A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тому числі суб’єкти малого підприємництва</w:t>
            </w:r>
            <w:r w:rsidR="00BC341C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3174" w:type="dxa"/>
          </w:tcPr>
          <w:p w:rsidR="00EF0CE7" w:rsidRPr="00BC341C" w:rsidRDefault="00EF0CE7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</w:p>
          <w:p w:rsidR="0098308E" w:rsidRPr="00EF0CE7" w:rsidRDefault="00EF0CE7" w:rsidP="00EF0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3164" w:type="dxa"/>
          </w:tcPr>
          <w:p w:rsidR="0098308E" w:rsidRDefault="0098308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98308E" w:rsidRPr="00EF0CE7" w:rsidRDefault="0098308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</w:tbl>
    <w:p w:rsidR="00F042B9" w:rsidRPr="00F67A8B" w:rsidRDefault="006433A7" w:rsidP="00F67A8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*Кількість суб’єктів господарювання </w:t>
      </w:r>
      <w:r w:rsidR="001C12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2017 рік – </w:t>
      </w:r>
      <w:r w:rsidR="001C1219" w:rsidRPr="001C12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5331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BA03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436</w:t>
      </w:r>
      <w:r w:rsidR="005331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BA03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D2794">
        <w:rPr>
          <w:rFonts w:ascii="Times New Roman" w:hAnsi="Times New Roman" w:cs="Times New Roman"/>
          <w:sz w:val="28"/>
          <w:szCs w:val="28"/>
        </w:rPr>
        <w:t>у тому числі</w:t>
      </w:r>
      <w:r w:rsidR="0053314D">
        <w:rPr>
          <w:rFonts w:ascii="Times New Roman" w:hAnsi="Times New Roman" w:cs="Times New Roman"/>
          <w:sz w:val="28"/>
          <w:szCs w:val="28"/>
        </w:rPr>
        <w:t xml:space="preserve"> 333 власник</w:t>
      </w:r>
      <w:r w:rsidR="007F6FD8">
        <w:rPr>
          <w:rFonts w:ascii="Times New Roman" w:hAnsi="Times New Roman" w:cs="Times New Roman"/>
          <w:sz w:val="28"/>
          <w:szCs w:val="28"/>
        </w:rPr>
        <w:t>и</w:t>
      </w:r>
      <w:r w:rsidR="0053314D">
        <w:rPr>
          <w:rFonts w:ascii="Times New Roman" w:hAnsi="Times New Roman" w:cs="Times New Roman"/>
          <w:sz w:val="28"/>
          <w:szCs w:val="28"/>
        </w:rPr>
        <w:t xml:space="preserve"> вагонів та 43 оператор</w:t>
      </w:r>
      <w:r w:rsidR="007F6FD8">
        <w:rPr>
          <w:rFonts w:ascii="Times New Roman" w:hAnsi="Times New Roman" w:cs="Times New Roman"/>
          <w:sz w:val="28"/>
          <w:szCs w:val="28"/>
        </w:rPr>
        <w:t>и</w:t>
      </w:r>
      <w:r w:rsidR="0053314D" w:rsidRPr="001C12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C12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(кількість потенційних учасників перевізного процесу періодично змінюється).</w:t>
      </w:r>
    </w:p>
    <w:p w:rsidR="00F67A8B" w:rsidRDefault="00F67A8B" w:rsidP="005C10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3A7" w:rsidRPr="00B65E66" w:rsidRDefault="006433A7" w:rsidP="005C10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E66">
        <w:rPr>
          <w:rFonts w:ascii="Times New Roman" w:hAnsi="Times New Roman" w:cs="Times New Roman"/>
          <w:sz w:val="28"/>
          <w:szCs w:val="28"/>
        </w:rPr>
        <w:t>Суб’єкти господарювання на ринку залізничних вантажних перевезень:</w:t>
      </w:r>
    </w:p>
    <w:p w:rsidR="006433A7" w:rsidRPr="00B65E66" w:rsidRDefault="006433A7" w:rsidP="005C102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E66">
        <w:rPr>
          <w:rFonts w:ascii="Times New Roman" w:hAnsi="Times New Roman" w:cs="Times New Roman"/>
          <w:sz w:val="28"/>
          <w:szCs w:val="28"/>
        </w:rPr>
        <w:t>перевізник;</w:t>
      </w:r>
    </w:p>
    <w:p w:rsidR="00BA032F" w:rsidRDefault="006433A7" w:rsidP="005C102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E66">
        <w:rPr>
          <w:rFonts w:ascii="Times New Roman" w:hAnsi="Times New Roman" w:cs="Times New Roman"/>
          <w:sz w:val="28"/>
          <w:szCs w:val="28"/>
        </w:rPr>
        <w:t>вантажов</w:t>
      </w:r>
      <w:r w:rsidR="001C1219">
        <w:rPr>
          <w:rFonts w:ascii="Times New Roman" w:hAnsi="Times New Roman" w:cs="Times New Roman"/>
          <w:sz w:val="28"/>
          <w:szCs w:val="28"/>
        </w:rPr>
        <w:t>ідправники, вантажоодержувачі (далі – вантажов</w:t>
      </w:r>
      <w:r w:rsidRPr="00B65E66">
        <w:rPr>
          <w:rFonts w:ascii="Times New Roman" w:hAnsi="Times New Roman" w:cs="Times New Roman"/>
          <w:sz w:val="28"/>
          <w:szCs w:val="28"/>
        </w:rPr>
        <w:t>ласники</w:t>
      </w:r>
      <w:r w:rsidR="001C1219">
        <w:rPr>
          <w:rFonts w:ascii="Times New Roman" w:hAnsi="Times New Roman" w:cs="Times New Roman"/>
          <w:sz w:val="28"/>
          <w:szCs w:val="28"/>
        </w:rPr>
        <w:t>)</w:t>
      </w:r>
      <w:r w:rsidR="00A21733">
        <w:rPr>
          <w:rFonts w:ascii="Times New Roman" w:hAnsi="Times New Roman" w:cs="Times New Roman"/>
          <w:sz w:val="28"/>
          <w:szCs w:val="28"/>
        </w:rPr>
        <w:t xml:space="preserve">, які </w:t>
      </w:r>
      <w:r w:rsidR="00CD2B37" w:rsidRPr="00CD2B37">
        <w:rPr>
          <w:rFonts w:ascii="Times New Roman" w:hAnsi="Times New Roman" w:cs="Times New Roman"/>
          <w:sz w:val="28"/>
          <w:szCs w:val="28"/>
        </w:rPr>
        <w:t xml:space="preserve">є учасниками процесу перевезення залізничним транспортом </w:t>
      </w:r>
      <w:r w:rsidR="00BA032F">
        <w:rPr>
          <w:rFonts w:ascii="Times New Roman" w:hAnsi="Times New Roman" w:cs="Times New Roman"/>
          <w:sz w:val="28"/>
          <w:szCs w:val="28"/>
        </w:rPr>
        <w:t>порожніх вагонів;</w:t>
      </w:r>
    </w:p>
    <w:p w:rsidR="00BA032F" w:rsidRDefault="00BA032F" w:rsidP="005C102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власники вагонів;</w:t>
      </w:r>
    </w:p>
    <w:p w:rsidR="00BA032F" w:rsidRDefault="00BA032F" w:rsidP="005C102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оператори.</w:t>
      </w:r>
    </w:p>
    <w:p w:rsidR="00DA2B23" w:rsidRDefault="002F5C3E" w:rsidP="005C1025">
      <w:pPr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не справлятиме значного впливу на суб’єктів великого, середнього та малого підприємництва, оскільки запропонован</w:t>
      </w:r>
      <w:r w:rsidR="00DA2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уніфікація </w:t>
      </w:r>
      <w:r w:rsidR="00DA2B23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тарифів на перевезення </w:t>
      </w:r>
      <w:r w:rsidR="00DA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порожніх вагонів з</w:t>
      </w:r>
      <w:r w:rsidR="00DA2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мінить середній рівень діючих державно регульованих тарифів на перевезення зазначених вантажів у середньорічному розрахунку на 17,8%, що не перевищує розмірів (34%), запланованих у </w:t>
      </w:r>
      <w:r w:rsidR="00DA2B23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кількісних припущеннях прогнозу основних </w:t>
      </w:r>
      <w:proofErr w:type="spellStart"/>
      <w:r w:rsidR="00DA2B23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макропоказників</w:t>
      </w:r>
      <w:proofErr w:type="spellEnd"/>
      <w:r w:rsidR="00DA2B23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економічного і соціального розвитку України на 2018</w:t>
      </w:r>
      <w:r w:rsidR="00DA2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рік, схвалених п</w:t>
      </w:r>
      <w:r w:rsidR="00DA2B23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</w:t>
      </w:r>
      <w:r w:rsidR="00DA2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</w:t>
      </w:r>
      <w:r w:rsidR="00DA2B23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DA2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абінету Міністрів України від 01 грудня 2</w:t>
      </w:r>
      <w:r w:rsidR="00DA2B23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017</w:t>
      </w:r>
      <w:r w:rsidR="00DA2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«Про внесення змін у додатки 1 і 2 до постанови </w:t>
      </w:r>
      <w:r w:rsidR="00DA2B23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A2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абінету Міністрів України від 31 травня 2</w:t>
      </w:r>
      <w:r w:rsidR="00DA2B23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017</w:t>
      </w:r>
      <w:r w:rsidR="00DA2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411» та врахованих у ІЦВ. </w:t>
      </w:r>
    </w:p>
    <w:p w:rsidR="00DA2B23" w:rsidRPr="001E50CA" w:rsidRDefault="00DA2B23" w:rsidP="005C1025">
      <w:pPr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1-м сценарієм розвитку ІЦВ за 2018 рік повинен складати 110,3%, за даними Державної служби статистик</w:t>
      </w:r>
      <w:r w:rsidR="0046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України лише за 5 місяців цього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його розмір уже становить 106,8%. </w:t>
      </w:r>
    </w:p>
    <w:p w:rsidR="00DA2B23" w:rsidRDefault="00DA2B23" w:rsidP="001F0AB8">
      <w:pPr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873" w:rsidRPr="00B65E66" w:rsidRDefault="00007873" w:rsidP="005C102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</w:t>
      </w:r>
      <w:r w:rsidR="0069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Цілі державного регулювання</w:t>
      </w:r>
    </w:p>
    <w:p w:rsidR="00F042B9" w:rsidRDefault="00A05920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</w:t>
      </w:r>
      <w:r w:rsidR="00C1717B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</w:t>
      </w:r>
      <w:r w:rsidR="00AE198C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717B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регулювання </w:t>
      </w:r>
      <w:r w:rsidR="00C421FB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7F6F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21FB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досконалення тарифної політики на залізничному транспорті</w:t>
      </w:r>
      <w:r w:rsidR="00DA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встановлення єдиного коефіцієнт</w:t>
      </w:r>
      <w:r w:rsidR="007F6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тарифів на перевезення порожніх вагонів незалежно від виду перевезення</w:t>
      </w:r>
      <w:r w:rsidR="00D92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вирішується тільки шляхом прийняття </w:t>
      </w:r>
      <w:r w:rsidR="00CB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r w:rsidR="00F042B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Мінінфраструктури</w:t>
      </w:r>
      <w:r w:rsidR="00F0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яким будуть внесені зміни до </w:t>
      </w:r>
      <w:r w:rsidR="00F042B9" w:rsidRPr="00FA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</w:t>
      </w:r>
      <w:r w:rsidR="00F04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2B9" w:rsidRDefault="00F042B9" w:rsidP="007F6F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</w:t>
      </w:r>
      <w:r w:rsidR="0069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та оцінка альтернативних способів досягнення цілей</w:t>
      </w:r>
    </w:p>
    <w:p w:rsidR="00DE586B" w:rsidRDefault="00DE586B" w:rsidP="007F6FD8">
      <w:pPr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026E" w:rsidRDefault="00692DA5" w:rsidP="007F6FD8">
      <w:pPr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1.  </w:t>
      </w:r>
      <w:r w:rsidR="0085026E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альтернативних способів.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128"/>
      </w:tblGrid>
      <w:tr w:rsidR="00B65E66" w:rsidRPr="00B65E66" w:rsidTr="00563A0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B65E66" w:rsidRDefault="0085026E" w:rsidP="00CD2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B65E66" w:rsidRPr="00B65E66" w:rsidTr="00563A0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17" w:rsidRPr="00B65E66" w:rsidRDefault="00007873" w:rsidP="001F0AB8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Збереження </w:t>
            </w:r>
            <w:r w:rsidR="00A118E8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чинного регулювання</w:t>
            </w:r>
            <w:r w:rsidR="0049295D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7727" w:rsidRPr="00B65E66" w:rsidRDefault="00A0261E" w:rsidP="00D92FC7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застос</w:t>
            </w:r>
            <w:r w:rsidR="00E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овується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E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9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зближення тарифних класів, збиткові перевезення, </w:t>
            </w:r>
            <w:r w:rsidR="00D9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різний рівень тарифів на однакові перевезення порожніх вагонів, можливість недобросовісного маніпулювання тарифами.  </w:t>
            </w:r>
          </w:p>
        </w:tc>
      </w:tr>
      <w:tr w:rsidR="00B65E66" w:rsidRPr="00B65E66" w:rsidTr="00563A0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2.</w:t>
            </w:r>
          </w:p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B65E66" w:rsidRDefault="00007873" w:rsidP="001F0AB8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змін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</w:t>
            </w:r>
            <w:r w:rsidR="0049295D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4579" w:rsidRPr="00B65E66" w:rsidRDefault="008E7248" w:rsidP="001F0AB8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регуляторного </w:t>
            </w:r>
            <w:proofErr w:type="spellStart"/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="00CE4579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дозволить:</w:t>
            </w:r>
          </w:p>
          <w:p w:rsidR="00D92FC7" w:rsidRDefault="00D92FC7" w:rsidP="001F0AB8">
            <w:pPr>
              <w:tabs>
                <w:tab w:val="left" w:pos="-3686"/>
              </w:tabs>
              <w:ind w:right="45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уніфікувати тарифи на перевезення порожніх вагонів;</w:t>
            </w:r>
          </w:p>
          <w:p w:rsidR="00D92FC7" w:rsidRDefault="00D92FC7" w:rsidP="001F0AB8">
            <w:pPr>
              <w:tabs>
                <w:tab w:val="left" w:pos="-3686"/>
              </w:tabs>
              <w:ind w:right="45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встановити єдиний коефіцієнт незалежно від виду перевезень;</w:t>
            </w:r>
          </w:p>
          <w:p w:rsidR="001C1219" w:rsidRDefault="001C1219" w:rsidP="001F0AB8">
            <w:pPr>
              <w:tabs>
                <w:tab w:val="left" w:pos="-3686"/>
              </w:tabs>
              <w:ind w:right="45" w:firstLine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зити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тарифів на перевезення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C1219" w:rsidRDefault="001C1219" w:rsidP="001F0AB8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частково </w:t>
            </w:r>
            <w:r w:rsidR="00D9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зменшити збитковість перевезень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порожніх вагонів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скоротити перехресне субсидування між вантажами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увати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недоотриман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переведення хімічних вантажів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тарифного класу до вантажів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тарифного класу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1219" w:rsidRDefault="001C1219" w:rsidP="001F0AB8">
            <w:pPr>
              <w:ind w:firstLine="3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eastAsia="Calibri" w:hAnsi="Times New Roman" w:cs="Times New Roman"/>
                <w:sz w:val="28"/>
                <w:szCs w:val="28"/>
              </w:rPr>
              <w:t>уніфікувати тарифи для порожнього пробігу вагонів;</w:t>
            </w:r>
          </w:p>
          <w:p w:rsidR="001C1219" w:rsidRDefault="001C1219" w:rsidP="001F0AB8">
            <w:pPr>
              <w:tabs>
                <w:tab w:val="left" w:pos="-3686"/>
              </w:tabs>
              <w:ind w:right="45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одержати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доходи </w:t>
            </w:r>
            <w:r w:rsidR="00CD2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 перевезень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51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вересня </w:t>
            </w:r>
            <w:r w:rsidRPr="0051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р</w:t>
            </w:r>
            <w:r w:rsidR="00CD2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  <w:r w:rsidRPr="0051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кінця поточного року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розмірі </w:t>
            </w:r>
            <w:r w:rsidR="00D9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0,972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млрд. грн.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що складає майже </w:t>
            </w:r>
            <w:r w:rsidR="00D9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доходних надходжень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перевезень вантажів у межах України;</w:t>
            </w:r>
          </w:p>
          <w:p w:rsidR="001C1219" w:rsidRDefault="001C1219" w:rsidP="00CD2B37">
            <w:pPr>
              <w:tabs>
                <w:tab w:val="left" w:pos="-3686"/>
              </w:tabs>
              <w:ind w:right="45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збільшити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надходжен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сумі </w:t>
            </w:r>
            <w:r w:rsidR="00D9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  <w:r w:rsidRPr="001E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грн.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5A6F" w:rsidRPr="00B65E66" w:rsidRDefault="0053314D" w:rsidP="00CD2B37">
            <w:pPr>
              <w:tabs>
                <w:tab w:val="left" w:pos="-3686"/>
              </w:tabs>
              <w:ind w:right="45" w:firstLine="34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здійснити модернізацію 2707 од. вантажних вагонів та 557 од. виготовити.</w:t>
            </w:r>
          </w:p>
        </w:tc>
      </w:tr>
    </w:tbl>
    <w:p w:rsidR="00DE586B" w:rsidRDefault="00DE586B" w:rsidP="001F0AB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6E" w:rsidRPr="00B65E66" w:rsidRDefault="00B47DAB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способи, що не передбач</w:t>
      </w:r>
      <w:r w:rsidR="00CB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ають розроблення та прийняття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</w:t>
      </w:r>
      <w:proofErr w:type="spellStart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неприйнятними, оскільки вирішення проблеми лежить передусім у правовій площині, тому що розподіл </w:t>
      </w:r>
      <w:r w:rsidR="0053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класів тарифів </w:t>
      </w:r>
      <w:r w:rsidR="004C6D17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визначається рівнем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послуги, затверджених наказом Міністерства транспорту та зв’язку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України від 26</w:t>
      </w:r>
      <w:r w:rsidR="0035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35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35EB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317, зареєстрованих у Міністерстві юстиції України 15</w:t>
      </w:r>
      <w:r w:rsidR="0035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квітня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35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</w:t>
      </w:r>
      <w:r w:rsidR="009818CD" w:rsidRPr="00B65E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341/16357 (у редакції наказу Міністерства інфраструктури України </w:t>
      </w:r>
      <w:r w:rsidR="00241490" w:rsidRPr="002A14B3">
        <w:rPr>
          <w:rFonts w:ascii="Times New Roman" w:hAnsi="Times New Roman" w:cs="Times New Roman"/>
          <w:sz w:val="28"/>
          <w:szCs w:val="28"/>
        </w:rPr>
        <w:t xml:space="preserve">від </w:t>
      </w:r>
      <w:r w:rsidR="00241490">
        <w:rPr>
          <w:rFonts w:ascii="Times New Roman" w:hAnsi="Times New Roman" w:cs="Times New Roman"/>
          <w:sz w:val="28"/>
          <w:szCs w:val="28"/>
        </w:rPr>
        <w:t>20</w:t>
      </w:r>
      <w:r w:rsidR="00241490" w:rsidRPr="002A14B3">
        <w:rPr>
          <w:rFonts w:ascii="Times New Roman" w:hAnsi="Times New Roman" w:cs="Times New Roman"/>
          <w:sz w:val="28"/>
          <w:szCs w:val="28"/>
        </w:rPr>
        <w:t xml:space="preserve"> </w:t>
      </w:r>
      <w:r w:rsidR="00241490">
        <w:rPr>
          <w:rFonts w:ascii="Times New Roman" w:hAnsi="Times New Roman" w:cs="Times New Roman"/>
          <w:sz w:val="28"/>
          <w:szCs w:val="28"/>
        </w:rPr>
        <w:t>жовтня</w:t>
      </w:r>
      <w:r w:rsidR="00241490" w:rsidRPr="002A14B3">
        <w:rPr>
          <w:rFonts w:ascii="Times New Roman" w:hAnsi="Times New Roman" w:cs="Times New Roman"/>
          <w:sz w:val="28"/>
          <w:szCs w:val="28"/>
        </w:rPr>
        <w:t xml:space="preserve"> 2017 року № </w:t>
      </w:r>
      <w:r w:rsidR="00241490">
        <w:rPr>
          <w:rFonts w:ascii="Times New Roman" w:hAnsi="Times New Roman" w:cs="Times New Roman"/>
          <w:sz w:val="28"/>
          <w:szCs w:val="28"/>
        </w:rPr>
        <w:t>357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EF2" w:rsidRPr="00976E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6E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змінами)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DAB" w:rsidRPr="00B65E66" w:rsidRDefault="00B47DAB" w:rsidP="001F0A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6E" w:rsidRPr="00B65E66" w:rsidRDefault="00692DA5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r w:rsidR="0085026E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вибраних альтернативних способів досягнення цілей.</w:t>
      </w:r>
    </w:p>
    <w:p w:rsidR="0085026E" w:rsidRPr="00B65E66" w:rsidRDefault="0085026E" w:rsidP="001F0AB8">
      <w:pPr>
        <w:ind w:left="10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держави.</w:t>
      </w:r>
    </w:p>
    <w:p w:rsidR="00837727" w:rsidRPr="00B65E66" w:rsidRDefault="00837727" w:rsidP="001F0A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3969"/>
        <w:gridCol w:w="3112"/>
      </w:tblGrid>
      <w:tr w:rsidR="00B65E66" w:rsidRPr="00B65E66" w:rsidTr="001F0AB8">
        <w:tc>
          <w:tcPr>
            <w:tcW w:w="2547" w:type="dxa"/>
          </w:tcPr>
          <w:p w:rsidR="00977371" w:rsidRDefault="00977371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85026E" w:rsidRDefault="0085026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Вид альтернативи</w:t>
            </w:r>
          </w:p>
          <w:p w:rsidR="00977371" w:rsidRPr="00B65E66" w:rsidRDefault="00977371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</w:tcPr>
          <w:p w:rsidR="00977371" w:rsidRDefault="00977371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112" w:type="dxa"/>
          </w:tcPr>
          <w:p w:rsidR="00977371" w:rsidRDefault="00977371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B65E66" w:rsidRPr="00B65E66" w:rsidTr="001F0AB8">
        <w:tc>
          <w:tcPr>
            <w:tcW w:w="2547" w:type="dxa"/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D34" w:rsidRPr="00B65E66" w:rsidRDefault="00272D34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2" w:type="dxa"/>
          </w:tcPr>
          <w:p w:rsidR="00837727" w:rsidRPr="00B65E66" w:rsidRDefault="00B70AEB" w:rsidP="005331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Недоотримання </w:t>
            </w:r>
            <w:r w:rsidR="00CD2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5026E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ержавним бюджетом України додаткових податкових надходжень у сумі </w:t>
            </w:r>
            <w:r w:rsidR="0053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  <w:r w:rsidR="0002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5026E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r w:rsidR="007935EB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026E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</w:t>
            </w:r>
          </w:p>
        </w:tc>
      </w:tr>
      <w:tr w:rsidR="00B65E66" w:rsidRPr="00B65E66" w:rsidTr="001F0AB8">
        <w:tc>
          <w:tcPr>
            <w:tcW w:w="2547" w:type="dxa"/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</w:tcPr>
          <w:p w:rsidR="00AF4303" w:rsidRDefault="00B70AEB" w:rsidP="001F0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Забезпечення</w:t>
            </w:r>
            <w:r w:rsidR="00C67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3E1FF6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виконання вимог законодавства в частині</w:t>
            </w:r>
            <w:r w:rsidR="00AF4303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:</w:t>
            </w:r>
          </w:p>
          <w:p w:rsidR="001C1219" w:rsidRDefault="001C1219" w:rsidP="001F0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 системи з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ження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тарифів на перевезення </w:t>
            </w:r>
            <w:r w:rsidR="0053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порожніх вагонів,  уніфікація тарифів незалежно від виду перевезень,</w:t>
            </w:r>
            <w:r w:rsidR="00DA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3B00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досконалення тарифної політики на залізничному транспорті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314D" w:rsidRDefault="0053314D" w:rsidP="001F0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збитковості перевезень;</w:t>
            </w:r>
          </w:p>
          <w:p w:rsidR="00F41AC3" w:rsidRPr="00B65E66" w:rsidRDefault="0053314D" w:rsidP="0053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ліквідація можливості недобросовісного маніпулювання тарифами.</w:t>
            </w:r>
          </w:p>
        </w:tc>
        <w:tc>
          <w:tcPr>
            <w:tcW w:w="3112" w:type="dxa"/>
          </w:tcPr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</w:tbl>
    <w:p w:rsidR="00837727" w:rsidRPr="00B65E66" w:rsidRDefault="00837727" w:rsidP="001F0A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суб’єктів господарювання.</w:t>
      </w:r>
    </w:p>
    <w:p w:rsidR="00B47DAB" w:rsidRPr="00B65E66" w:rsidRDefault="00B47DAB" w:rsidP="001F0A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205"/>
        <w:gridCol w:w="2134"/>
        <w:gridCol w:w="2581"/>
        <w:gridCol w:w="2224"/>
      </w:tblGrid>
      <w:tr w:rsidR="00B65E66" w:rsidRPr="00B65E66" w:rsidTr="00DA3B00">
        <w:tc>
          <w:tcPr>
            <w:tcW w:w="484" w:type="dxa"/>
            <w:vAlign w:val="center"/>
          </w:tcPr>
          <w:p w:rsidR="00473FE3" w:rsidRPr="00B65E66" w:rsidRDefault="00473FE3" w:rsidP="001F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5" w:type="dxa"/>
            <w:vAlign w:val="center"/>
          </w:tcPr>
          <w:p w:rsidR="00473FE3" w:rsidRPr="00B65E66" w:rsidRDefault="00473FE3" w:rsidP="001F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Група суб’єктів господарювання</w:t>
            </w:r>
          </w:p>
        </w:tc>
        <w:tc>
          <w:tcPr>
            <w:tcW w:w="2134" w:type="dxa"/>
            <w:vAlign w:val="center"/>
          </w:tcPr>
          <w:p w:rsidR="00473FE3" w:rsidRPr="00B65E66" w:rsidRDefault="00473FE3" w:rsidP="001F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</w:t>
            </w:r>
            <w:r w:rsidRPr="00B65E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81" w:type="dxa"/>
          </w:tcPr>
          <w:p w:rsidR="00473FE3" w:rsidRPr="00B65E66" w:rsidRDefault="00473FE3" w:rsidP="001F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3" w:rsidRPr="00B65E66" w:rsidRDefault="00473FE3" w:rsidP="001F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  <w:p w:rsidR="00967B5A" w:rsidRPr="00B65E66" w:rsidRDefault="00967B5A" w:rsidP="001F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3FE3" w:rsidRPr="00B65E66" w:rsidRDefault="00473FE3" w:rsidP="001F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E3" w:rsidRPr="00B65E66" w:rsidRDefault="00473FE3" w:rsidP="001F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B65E66" w:rsidRPr="00B65E66" w:rsidTr="00DA3B00">
        <w:tc>
          <w:tcPr>
            <w:tcW w:w="484" w:type="dxa"/>
          </w:tcPr>
          <w:p w:rsidR="00B47DAB" w:rsidRPr="00B65E66" w:rsidRDefault="00B47DAB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B47DAB" w:rsidRPr="00B65E66" w:rsidRDefault="00B47DAB" w:rsidP="00C8283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Перевізник (ПАТ «</w:t>
            </w:r>
            <w:proofErr w:type="spellStart"/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Укрзаліз</w:t>
            </w:r>
            <w:proofErr w:type="spellEnd"/>
            <w:r w:rsidR="00C828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ниця</w:t>
            </w:r>
            <w:proofErr w:type="spellEnd"/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34" w:type="dxa"/>
          </w:tcPr>
          <w:p w:rsidR="00B47DAB" w:rsidRPr="00B65E66" w:rsidRDefault="00B47DAB" w:rsidP="001F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1240DC" w:rsidRPr="00B65E66" w:rsidRDefault="004F2DB7" w:rsidP="007F6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Направлення </w:t>
            </w:r>
            <w:r w:rsidR="00DF7908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очіку</w:t>
            </w:r>
            <w:r w:rsidR="00711E6C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ваних коштів у розмірі </w:t>
            </w:r>
            <w:r w:rsidR="00533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971,7</w:t>
            </w:r>
            <w:r w:rsidR="00330066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711E6C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="00DF7908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млн.</w:t>
            </w:r>
            <w:r w:rsidR="00711E6C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="00DF7908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160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здійснення запланованої </w:t>
            </w:r>
            <w:r w:rsidR="0053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модернізації 2707 од. та 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виготовлення </w:t>
            </w:r>
            <w:r w:rsidR="0053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3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вантажних вагонів.</w:t>
            </w:r>
          </w:p>
        </w:tc>
        <w:tc>
          <w:tcPr>
            <w:tcW w:w="2224" w:type="dxa"/>
          </w:tcPr>
          <w:p w:rsidR="00B47DAB" w:rsidRPr="00B65E66" w:rsidRDefault="00AF4303" w:rsidP="001F0AB8">
            <w:pPr>
              <w:ind w:firstLine="20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65E66" w:rsidRPr="00B65E66" w:rsidTr="00DA3B00">
        <w:tc>
          <w:tcPr>
            <w:tcW w:w="484" w:type="dxa"/>
          </w:tcPr>
          <w:p w:rsidR="00B47DAB" w:rsidRPr="00B65E66" w:rsidRDefault="00B47DAB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5" w:type="dxa"/>
          </w:tcPr>
          <w:p w:rsidR="00B47DAB" w:rsidRPr="00B65E66" w:rsidRDefault="00B47DAB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Вантажо</w:t>
            </w:r>
            <w:proofErr w:type="spellEnd"/>
            <w:r w:rsidR="00DA3B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 xml:space="preserve">власники </w:t>
            </w:r>
          </w:p>
        </w:tc>
        <w:tc>
          <w:tcPr>
            <w:tcW w:w="2134" w:type="dxa"/>
          </w:tcPr>
          <w:p w:rsidR="00B47DAB" w:rsidRPr="00B65E66" w:rsidRDefault="00B47DAB" w:rsidP="007F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14D">
              <w:rPr>
                <w:rFonts w:ascii="Times New Roman" w:hAnsi="Times New Roman" w:cs="Times New Roman"/>
                <w:sz w:val="28"/>
                <w:szCs w:val="28"/>
              </w:rPr>
              <w:t xml:space="preserve"> 436, у </w:t>
            </w:r>
            <w:proofErr w:type="spellStart"/>
            <w:r w:rsidR="0053314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53314D">
              <w:rPr>
                <w:rFonts w:ascii="Times New Roman" w:hAnsi="Times New Roman" w:cs="Times New Roman"/>
                <w:sz w:val="28"/>
                <w:szCs w:val="28"/>
              </w:rPr>
              <w:t>. 333</w:t>
            </w:r>
            <w:r w:rsidR="00B95B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314D">
              <w:rPr>
                <w:rFonts w:ascii="Times New Roman" w:hAnsi="Times New Roman" w:cs="Times New Roman"/>
                <w:sz w:val="28"/>
                <w:szCs w:val="28"/>
              </w:rPr>
              <w:t>власник</w:t>
            </w:r>
            <w:r w:rsidR="007F6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314D">
              <w:rPr>
                <w:rFonts w:ascii="Times New Roman" w:hAnsi="Times New Roman" w:cs="Times New Roman"/>
                <w:sz w:val="28"/>
                <w:szCs w:val="28"/>
              </w:rPr>
              <w:t xml:space="preserve"> вагонів та 43</w:t>
            </w:r>
            <w:r w:rsidR="00B95B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314D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7F6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81" w:type="dxa"/>
          </w:tcPr>
          <w:p w:rsidR="004F2DB7" w:rsidRDefault="004F2DB7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рівня державно регульованих тарифів у середньорічному розрахунку відбудеться у розмірах</w:t>
            </w:r>
            <w:r w:rsidR="00C82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значно нижчих, ніж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запланован</w:t>
            </w:r>
            <w:r w:rsidR="00C82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r w:rsidRPr="001E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кількісних припущеннях прогнозу основних </w:t>
            </w:r>
            <w:proofErr w:type="spellStart"/>
            <w:r w:rsidRPr="001E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макропоказників</w:t>
            </w:r>
            <w:proofErr w:type="spellEnd"/>
            <w:r w:rsidRPr="001E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економічного і соціального розвитку України на 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рік, схвалених п</w:t>
            </w:r>
            <w:r w:rsidRPr="001E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ою</w:t>
            </w:r>
            <w:r w:rsidRPr="001E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абінету Міністрів України від </w:t>
            </w:r>
            <w:r w:rsidR="00164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грудня 2</w:t>
            </w:r>
            <w:r w:rsidRPr="001E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року «Про внесення змін у додатки 1 і 2 до постанови </w:t>
            </w:r>
            <w:r w:rsidRPr="001E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абінету Міністрів України від </w:t>
            </w:r>
            <w:r w:rsidR="00164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травня 2</w:t>
            </w:r>
            <w:r w:rsidRPr="001E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року № 411».</w:t>
            </w:r>
          </w:p>
          <w:p w:rsidR="001240DC" w:rsidRPr="00B65E66" w:rsidRDefault="00904907" w:rsidP="007F6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Покращення якості послуг</w:t>
            </w:r>
            <w:r w:rsidR="004F2DB7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 </w:t>
            </w:r>
            <w:r w:rsidR="0083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запланованих </w:t>
            </w:r>
            <w:r w:rsidR="00B9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модернізації 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 од. та виготовлення 557 од. вантажних вагонів.</w:t>
            </w:r>
            <w:r w:rsidR="008306D4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224" w:type="dxa"/>
          </w:tcPr>
          <w:p w:rsidR="00DF7908" w:rsidRPr="00B65E66" w:rsidRDefault="00DF7908" w:rsidP="00B95B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</w:t>
            </w:r>
            <w:r w:rsidR="004F2DB7" w:rsidRPr="00B65E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95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D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5B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D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2DB7" w:rsidRPr="00B65E66">
              <w:rPr>
                <w:rFonts w:ascii="Times New Roman" w:hAnsi="Times New Roman" w:cs="Times New Roman"/>
                <w:sz w:val="28"/>
                <w:szCs w:val="28"/>
              </w:rPr>
              <w:t> млрд. грн.</w:t>
            </w:r>
            <w:r w:rsidR="004F2DB7">
              <w:rPr>
                <w:rFonts w:ascii="Times New Roman" w:hAnsi="Times New Roman" w:cs="Times New Roman"/>
                <w:sz w:val="28"/>
                <w:szCs w:val="28"/>
              </w:rPr>
              <w:t xml:space="preserve"> витрат на оплату п</w:t>
            </w: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еревезен</w:t>
            </w:r>
            <w:r w:rsidR="004F2DB7">
              <w:rPr>
                <w:rFonts w:ascii="Times New Roman" w:hAnsi="Times New Roman" w:cs="Times New Roman"/>
                <w:sz w:val="28"/>
                <w:szCs w:val="28"/>
              </w:rPr>
              <w:t>ь залізничним транспортом</w:t>
            </w: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7C">
              <w:rPr>
                <w:rFonts w:ascii="Times New Roman" w:hAnsi="Times New Roman" w:cs="Times New Roman"/>
                <w:sz w:val="28"/>
                <w:szCs w:val="28"/>
              </w:rPr>
              <w:t>порожніх вагонів.</w:t>
            </w:r>
          </w:p>
        </w:tc>
      </w:tr>
    </w:tbl>
    <w:p w:rsidR="00B47DAB" w:rsidRPr="00B65E66" w:rsidRDefault="00B47DAB" w:rsidP="005C102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65E66">
        <w:rPr>
          <w:rStyle w:val="ae"/>
          <w:rFonts w:ascii="Times New Roman" w:hAnsi="Times New Roman" w:cs="Times New Roman"/>
        </w:rPr>
        <w:footnoteRef/>
      </w:r>
      <w:r w:rsidRPr="00B65E66">
        <w:rPr>
          <w:rFonts w:ascii="Times New Roman" w:hAnsi="Times New Roman" w:cs="Times New Roman"/>
        </w:rPr>
        <w:t xml:space="preserve"> Приблизна оціночна кількість суб’єктів господарювання за даними ПАТ</w:t>
      </w:r>
      <w:r w:rsidR="00D8449E" w:rsidRPr="00B65E66">
        <w:rPr>
          <w:rFonts w:ascii="Times New Roman" w:hAnsi="Times New Roman" w:cs="Times New Roman"/>
          <w:lang w:val="ru-RU"/>
        </w:rPr>
        <w:t> </w:t>
      </w:r>
      <w:r w:rsidRPr="00B65E66">
        <w:rPr>
          <w:rFonts w:ascii="Times New Roman" w:hAnsi="Times New Roman" w:cs="Times New Roman"/>
        </w:rPr>
        <w:t>«Укрзалізниця»</w:t>
      </w:r>
      <w:r w:rsidR="00662FE1">
        <w:rPr>
          <w:rFonts w:ascii="Times New Roman" w:hAnsi="Times New Roman" w:cs="Times New Roman"/>
        </w:rPr>
        <w:t>.</w:t>
      </w:r>
    </w:p>
    <w:p w:rsidR="00967B5A" w:rsidRPr="00B65E66" w:rsidRDefault="00967B5A" w:rsidP="007F6FD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25" w:rsidRDefault="00825D25" w:rsidP="00825D25">
      <w:pPr>
        <w:pStyle w:val="a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74CD" w:rsidRPr="00B65E66" w:rsidRDefault="009B74CD" w:rsidP="00825D25">
      <w:pPr>
        <w:pStyle w:val="a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E66">
        <w:rPr>
          <w:rFonts w:ascii="Times New Roman" w:hAnsi="Times New Roman" w:cs="Times New Roman"/>
          <w:sz w:val="28"/>
          <w:szCs w:val="28"/>
        </w:rPr>
        <w:t xml:space="preserve">Оцінка впливу на сферу інтересів суб’єктів господарювання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7"/>
        <w:gridCol w:w="1457"/>
        <w:gridCol w:w="1492"/>
        <w:gridCol w:w="1397"/>
        <w:gridCol w:w="1438"/>
        <w:gridCol w:w="1813"/>
      </w:tblGrid>
      <w:tr w:rsidR="00B65E66" w:rsidRPr="00B65E66" w:rsidTr="003A70A8"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1614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B65E66" w:rsidRPr="00B65E66" w:rsidTr="003A70A8"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суб’єктів господарювання, що підпадають під дію регулювання, одиниць* 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9B74CD" w:rsidRPr="00B65E66" w:rsidRDefault="00B95B7C" w:rsidP="007F6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436, у т.</w:t>
            </w:r>
            <w:r w:rsidR="00C57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333 власник</w:t>
            </w:r>
            <w:r w:rsidR="007F6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вагонів та 43 оператор</w:t>
            </w:r>
            <w:r w:rsidR="007F6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65E66" w:rsidRPr="00B65E66" w:rsidTr="003A70A8"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 xml:space="preserve">Питома вага групи у загальній кількості, відсотків 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9B74CD" w:rsidRPr="00B65E66" w:rsidRDefault="009B74CD" w:rsidP="001F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B74CD" w:rsidRPr="00B65E66" w:rsidRDefault="00746A6B" w:rsidP="005C1025">
      <w:pPr>
        <w:pStyle w:val="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9197B">
        <w:rPr>
          <w:rFonts w:ascii="Times New Roman" w:hAnsi="Times New Roman" w:cs="Times New Roman"/>
          <w:sz w:val="24"/>
          <w:szCs w:val="24"/>
        </w:rPr>
        <w:t>К</w:t>
      </w:r>
      <w:r w:rsidR="009B74CD" w:rsidRPr="00B65E66">
        <w:rPr>
          <w:rFonts w:ascii="Times New Roman" w:hAnsi="Times New Roman" w:cs="Times New Roman"/>
          <w:sz w:val="24"/>
          <w:szCs w:val="24"/>
        </w:rPr>
        <w:t>ількість суб’єктів господарювання, що підпадають під дію регул</w:t>
      </w:r>
      <w:r w:rsidR="0029197B">
        <w:rPr>
          <w:rFonts w:ascii="Times New Roman" w:hAnsi="Times New Roman" w:cs="Times New Roman"/>
          <w:sz w:val="24"/>
          <w:szCs w:val="24"/>
        </w:rPr>
        <w:t>ювання, за групами визначити не</w:t>
      </w:r>
      <w:r w:rsidR="009B74CD" w:rsidRPr="00B65E66">
        <w:rPr>
          <w:rFonts w:ascii="Times New Roman" w:hAnsi="Times New Roman" w:cs="Times New Roman"/>
          <w:sz w:val="24"/>
          <w:szCs w:val="24"/>
        </w:rPr>
        <w:t>можливо, оскільки</w:t>
      </w:r>
      <w:r w:rsidR="0029197B">
        <w:rPr>
          <w:rFonts w:ascii="Times New Roman" w:hAnsi="Times New Roman" w:cs="Times New Roman"/>
          <w:sz w:val="24"/>
          <w:szCs w:val="24"/>
        </w:rPr>
        <w:t>,</w:t>
      </w:r>
      <w:r w:rsidR="009B74CD" w:rsidRPr="00B65E66">
        <w:rPr>
          <w:rFonts w:ascii="Times New Roman" w:hAnsi="Times New Roman" w:cs="Times New Roman"/>
          <w:sz w:val="24"/>
          <w:szCs w:val="24"/>
        </w:rPr>
        <w:t xml:space="preserve"> за інформацією Держстату</w:t>
      </w:r>
      <w:r w:rsidR="0029197B">
        <w:rPr>
          <w:rFonts w:ascii="Times New Roman" w:hAnsi="Times New Roman" w:cs="Times New Roman"/>
          <w:sz w:val="24"/>
          <w:szCs w:val="24"/>
        </w:rPr>
        <w:t>,</w:t>
      </w:r>
      <w:r w:rsidR="009B74CD" w:rsidRPr="00B65E66">
        <w:rPr>
          <w:rFonts w:ascii="Times New Roman" w:hAnsi="Times New Roman" w:cs="Times New Roman"/>
          <w:sz w:val="24"/>
          <w:szCs w:val="24"/>
        </w:rPr>
        <w:t xml:space="preserve"> суб’єкт господарювання може </w:t>
      </w:r>
      <w:r w:rsidR="0029197B">
        <w:rPr>
          <w:rFonts w:ascii="Times New Roman" w:hAnsi="Times New Roman" w:cs="Times New Roman"/>
          <w:sz w:val="24"/>
          <w:szCs w:val="24"/>
        </w:rPr>
        <w:t>належат</w:t>
      </w:r>
      <w:r w:rsidR="007F6FD8">
        <w:rPr>
          <w:rFonts w:ascii="Times New Roman" w:hAnsi="Times New Roman" w:cs="Times New Roman"/>
          <w:sz w:val="24"/>
          <w:szCs w:val="24"/>
        </w:rPr>
        <w:t>и</w:t>
      </w:r>
      <w:r w:rsidR="0029197B">
        <w:rPr>
          <w:rFonts w:ascii="Times New Roman" w:hAnsi="Times New Roman" w:cs="Times New Roman"/>
          <w:sz w:val="24"/>
          <w:szCs w:val="24"/>
        </w:rPr>
        <w:t xml:space="preserve"> </w:t>
      </w:r>
      <w:r w:rsidR="009B74CD" w:rsidRPr="00B65E66">
        <w:rPr>
          <w:rFonts w:ascii="Times New Roman" w:hAnsi="Times New Roman" w:cs="Times New Roman"/>
          <w:sz w:val="24"/>
          <w:szCs w:val="24"/>
        </w:rPr>
        <w:t xml:space="preserve">до групи «Великі», при цьому частка перевезень залізничним транспортом </w:t>
      </w:r>
      <w:r w:rsidR="0029197B">
        <w:rPr>
          <w:rFonts w:ascii="Times New Roman" w:hAnsi="Times New Roman" w:cs="Times New Roman"/>
          <w:sz w:val="24"/>
          <w:szCs w:val="24"/>
        </w:rPr>
        <w:t xml:space="preserve">буде </w:t>
      </w:r>
      <w:r w:rsidR="009B74CD" w:rsidRPr="00B65E66">
        <w:rPr>
          <w:rFonts w:ascii="Times New Roman" w:hAnsi="Times New Roman" w:cs="Times New Roman"/>
          <w:sz w:val="24"/>
          <w:szCs w:val="24"/>
        </w:rPr>
        <w:t>зовсім незначна, та навпаки.</w:t>
      </w:r>
    </w:p>
    <w:p w:rsidR="00B95B7C" w:rsidRDefault="00B95B7C" w:rsidP="001F0AB8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692D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 </w:t>
      </w: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Вибір найбільш оптимального альтернативного способу досягнення цілей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835"/>
      </w:tblGrid>
      <w:tr w:rsidR="00B65E66" w:rsidRPr="00B65E66" w:rsidTr="00712A15">
        <w:tc>
          <w:tcPr>
            <w:tcW w:w="2263" w:type="dxa"/>
            <w:vAlign w:val="center"/>
          </w:tcPr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  <w:vAlign w:val="center"/>
          </w:tcPr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Бал результативності (за </w:t>
            </w:r>
            <w:proofErr w:type="spellStart"/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чотирибаль</w:t>
            </w:r>
            <w:r w:rsidR="008C22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ною</w:t>
            </w:r>
            <w:proofErr w:type="spellEnd"/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системою оцін</w:t>
            </w:r>
            <w:r w:rsidR="00863C80"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ювання</w:t>
            </w: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B65E66" w:rsidRPr="00B65E66" w:rsidTr="00712A15">
        <w:tc>
          <w:tcPr>
            <w:tcW w:w="2263" w:type="dxa"/>
            <w:tcBorders>
              <w:bottom w:val="single" w:sz="4" w:space="0" w:color="auto"/>
            </w:tcBorders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26E" w:rsidRPr="00B65E66" w:rsidRDefault="0085026E" w:rsidP="001F0AB8">
            <w:pPr>
              <w:ind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AF4303" w:rsidRDefault="00AF4303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83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астос</w:t>
            </w:r>
            <w:r w:rsidR="0083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овується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</w:t>
            </w:r>
            <w:r w:rsidR="009B130E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</w:t>
            </w:r>
            <w:r w:rsidR="0083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зближення тарифних класів. </w:t>
            </w:r>
          </w:p>
          <w:p w:rsidR="008306D4" w:rsidRPr="00B65E66" w:rsidRDefault="008306D4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Відсутня можливість виконання запланован</w:t>
            </w:r>
            <w:r w:rsidR="00DD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модернізації 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 од. та виготовлення 557 од. вантажних вагонів.</w:t>
            </w:r>
          </w:p>
          <w:p w:rsidR="00272D34" w:rsidRPr="00B65E66" w:rsidRDefault="0085026E" w:rsidP="007F6F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Недоотримання 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ержавним бюджетом України податкових надходжень</w:t>
            </w:r>
            <w:r w:rsidR="00044C18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розмірі </w:t>
            </w:r>
            <w:r w:rsidR="00B9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  <w:r w:rsidR="00967B5A" w:rsidRPr="00B6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</w:t>
            </w:r>
            <w:r w:rsidR="00967B5A" w:rsidRPr="00B6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 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r w:rsidR="001A2DEA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5E66" w:rsidRPr="00B65E66" w:rsidTr="00712A15">
        <w:tc>
          <w:tcPr>
            <w:tcW w:w="2263" w:type="dxa"/>
            <w:tcBorders>
              <w:bottom w:val="single" w:sz="4" w:space="0" w:color="auto"/>
            </w:tcBorders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26E" w:rsidRPr="00B65E66" w:rsidRDefault="0085026E" w:rsidP="001F0AB8">
            <w:pPr>
              <w:ind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A34521" w:rsidRPr="00B65E66" w:rsidRDefault="00A06269" w:rsidP="001F0AB8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Забезпечується</w:t>
            </w:r>
            <w:r w:rsidR="00A34521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B130E" w:rsidRPr="00B65E66" w:rsidRDefault="009B130E" w:rsidP="001F0AB8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 зближення класів тарифів на перевезення вантажів;</w:t>
            </w:r>
          </w:p>
          <w:p w:rsidR="008306D4" w:rsidRDefault="008306D4" w:rsidP="001F0AB8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запланованих реконструкції, ремонтів та модернізації основних засобів, виготовлення  вантажних вагонів;</w:t>
            </w:r>
          </w:p>
          <w:p w:rsidR="00C82830" w:rsidRDefault="008306D4" w:rsidP="00C564DA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зменш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збитков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ості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перевезень порожніх вагонів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чення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перехресн</w:t>
            </w:r>
            <w:r w:rsidR="00C8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субсидування між вантажами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4DA" w:rsidRDefault="00C564DA" w:rsidP="00C564DA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уніфікація тарифів незалежно від виду перевезень;</w:t>
            </w:r>
          </w:p>
          <w:p w:rsidR="00C564DA" w:rsidRDefault="00C564DA" w:rsidP="00C564DA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збитковості перевезень;</w:t>
            </w:r>
          </w:p>
          <w:p w:rsidR="00C564DA" w:rsidRPr="00B65E66" w:rsidRDefault="00C564DA" w:rsidP="00C564DA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ліквідація можливості недобросовісного маніпулювання тарифами.</w:t>
            </w:r>
          </w:p>
        </w:tc>
      </w:tr>
      <w:tr w:rsidR="00B65E66" w:rsidRPr="00B65E66" w:rsidTr="00712A15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C2" w:rsidRPr="00B65E66" w:rsidRDefault="00AF2FC2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C2" w:rsidRPr="00B65E66" w:rsidRDefault="00AF2FC2" w:rsidP="001F0AB8">
            <w:pPr>
              <w:ind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C2" w:rsidRPr="00B65E66" w:rsidRDefault="00AF2FC2" w:rsidP="001F0AB8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E66" w:rsidRPr="00B65E66" w:rsidTr="00795BDF">
        <w:tc>
          <w:tcPr>
            <w:tcW w:w="2263" w:type="dxa"/>
            <w:tcBorders>
              <w:top w:val="single" w:sz="4" w:space="0" w:color="auto"/>
            </w:tcBorders>
          </w:tcPr>
          <w:p w:rsidR="0085026E" w:rsidRPr="00B65E66" w:rsidRDefault="0085026E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26E" w:rsidRPr="00B65E66" w:rsidRDefault="0085026E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26E" w:rsidRPr="00B65E66" w:rsidRDefault="0085026E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026E" w:rsidRPr="00B65E66" w:rsidRDefault="0085026E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Обґрунтування відповідного місця альтернативи </w:t>
            </w:r>
            <w:r w:rsidR="00F70CA2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рейтингу</w:t>
            </w:r>
          </w:p>
        </w:tc>
      </w:tr>
      <w:tr w:rsidR="00B65E66" w:rsidRPr="00B65E66" w:rsidTr="00795BDF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026E" w:rsidRPr="00B65E66" w:rsidRDefault="0085026E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026E" w:rsidRPr="00B65E66" w:rsidRDefault="0085026E" w:rsidP="001F0AB8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65E66" w:rsidRPr="00B65E66" w:rsidRDefault="009B130E" w:rsidP="007F6FD8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</w:t>
            </w:r>
            <w:r w:rsidR="0083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 виконання запланован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модернізації 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 од. та виготовлення 557 од. вантажних вагонів.</w:t>
            </w:r>
          </w:p>
        </w:tc>
      </w:tr>
      <w:tr w:rsidR="00B65E66" w:rsidRPr="00B65E66" w:rsidTr="00795BDF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026E" w:rsidRPr="00B65E66" w:rsidRDefault="00465071" w:rsidP="001F0AB8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Застосування зближення класів тарифів на перевезення вантажів та </w:t>
            </w:r>
            <w:r w:rsidR="0038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 проведення запланованих реконструкції, ремонтів та модернізації основних засобів, виготовлення  вантажних вагонів.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026E" w:rsidRPr="00B65E66" w:rsidRDefault="0085026E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35EB" w:rsidRPr="00B65E66" w:rsidRDefault="007935EB" w:rsidP="001F0AB8">
            <w:pPr>
              <w:tabs>
                <w:tab w:val="left" w:pos="-3686"/>
              </w:tabs>
              <w:ind w:right="45"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регуляторного </w:t>
            </w:r>
            <w:proofErr w:type="spellStart"/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дозволить:</w:t>
            </w:r>
          </w:p>
          <w:p w:rsidR="00C564DA" w:rsidRPr="00B65E66" w:rsidRDefault="00E91198" w:rsidP="00C564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</w:t>
            </w:r>
            <w:r w:rsidR="00D52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модернізацію 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 од. та виготовлення 557 од. вантажних вагонів;</w:t>
            </w:r>
          </w:p>
          <w:p w:rsidR="00E91198" w:rsidRDefault="00E91198" w:rsidP="001F0AB8">
            <w:pPr>
              <w:tabs>
                <w:tab w:val="left" w:pos="-3686"/>
              </w:tabs>
              <w:ind w:right="4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зменш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збитков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ість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перевезень порожніх вагонів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тити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перехресн</w:t>
            </w:r>
            <w:r w:rsidR="00C8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субсидування між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вантажами</w:t>
            </w:r>
            <w:r w:rsidR="00D52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026E" w:rsidRPr="00B65E66" w:rsidRDefault="007935EB" w:rsidP="00C564DA">
            <w:pPr>
              <w:tabs>
                <w:tab w:val="left" w:pos="-3686"/>
              </w:tabs>
              <w:ind w:right="45"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очікувано отримати (з </w:t>
            </w:r>
            <w:r w:rsidR="0019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E9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вересня</w:t>
            </w:r>
            <w:r w:rsidR="00E9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E9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C8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кінця </w:t>
            </w:r>
            <w:r w:rsidR="00E3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цього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року) 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0,972</w:t>
            </w:r>
            <w:r w:rsidR="00382A35" w:rsidRPr="00B6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r w:rsidR="00AA6722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  <w:r w:rsidR="009B130E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грн.</w:t>
            </w:r>
          </w:p>
        </w:tc>
      </w:tr>
    </w:tbl>
    <w:p w:rsidR="0085026E" w:rsidRPr="00B65E66" w:rsidRDefault="0085026E" w:rsidP="001F0AB8">
      <w:pPr>
        <w:tabs>
          <w:tab w:val="left" w:pos="-3686"/>
        </w:tabs>
        <w:ind w:right="4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3543"/>
      </w:tblGrid>
      <w:tr w:rsidR="00B65E66" w:rsidRPr="00B65E66" w:rsidTr="006A2FD3">
        <w:tc>
          <w:tcPr>
            <w:tcW w:w="2405" w:type="dxa"/>
            <w:tcBorders>
              <w:top w:val="single" w:sz="4" w:space="0" w:color="auto"/>
            </w:tcBorders>
          </w:tcPr>
          <w:p w:rsidR="0085026E" w:rsidRPr="00B65E66" w:rsidRDefault="0085026E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5026E" w:rsidRPr="00B65E66" w:rsidRDefault="0085026E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5026E" w:rsidRPr="00B65E66" w:rsidRDefault="0085026E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ризику зовнішніх</w:t>
            </w:r>
            <w:r w:rsidRPr="00B65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чинників на дію запропонованого регуляторного </w:t>
            </w:r>
            <w:proofErr w:type="spellStart"/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</w:p>
        </w:tc>
      </w:tr>
      <w:tr w:rsidR="00B65E66" w:rsidRPr="00B65E66" w:rsidTr="006A2FD3">
        <w:tc>
          <w:tcPr>
            <w:tcW w:w="2405" w:type="dxa"/>
            <w:shd w:val="clear" w:color="auto" w:fill="auto"/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1.</w:t>
            </w:r>
          </w:p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026E" w:rsidRPr="00B65E66" w:rsidRDefault="00734B5D" w:rsidP="001F0AB8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85026E" w:rsidRPr="00B65E66" w:rsidRDefault="00D52E4F" w:rsidP="007F6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овується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зближення класів тарифів,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брак коштів на </w:t>
            </w:r>
            <w:r w:rsidR="0018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запланованої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модернізації 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 од. та виготовлення 557 од. вантажних вагонів.</w:t>
            </w:r>
          </w:p>
        </w:tc>
      </w:tr>
      <w:tr w:rsidR="0085026E" w:rsidRPr="00B65E66" w:rsidTr="006A2FD3">
        <w:tc>
          <w:tcPr>
            <w:tcW w:w="2405" w:type="dxa"/>
            <w:shd w:val="clear" w:color="auto" w:fill="auto"/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</w:t>
            </w:r>
          </w:p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  <w:shd w:val="clear" w:color="auto" w:fill="auto"/>
          </w:tcPr>
          <w:p w:rsidR="003A70A8" w:rsidRPr="00B65E66" w:rsidRDefault="0085026E" w:rsidP="001F0AB8">
            <w:pPr>
              <w:ind w:firstLine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Дозволить</w:t>
            </w:r>
            <w:r w:rsidR="003A70A8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65071" w:rsidRPr="00B65E66" w:rsidRDefault="00C82830" w:rsidP="001F0AB8">
            <w:pPr>
              <w:tabs>
                <w:tab w:val="left" w:pos="-3686"/>
              </w:tabs>
              <w:ind w:right="45" w:firstLine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здійснити заходи щодо в</w:t>
            </w:r>
            <w:r w:rsidR="00465071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досконалення тарифної політики шляхом зближення класів</w:t>
            </w:r>
            <w:r w:rsidR="00D52E4F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  <w:r w:rsidR="00D52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 на перевезення 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порожніх вагонів</w:t>
            </w:r>
            <w:r w:rsidR="00465071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70A8" w:rsidRDefault="0085026E" w:rsidP="00C564DA">
            <w:pPr>
              <w:tabs>
                <w:tab w:val="left" w:pos="-3686"/>
              </w:tabs>
              <w:ind w:right="45"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реалізувати цілі державного регулювання цін</w:t>
            </w:r>
            <w:r w:rsidR="00465071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 </w:t>
            </w:r>
            <w:r w:rsidR="00D52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часткового </w:t>
            </w:r>
            <w:r w:rsidR="00465071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збитковості перевезень</w:t>
            </w:r>
            <w:r w:rsidR="00D52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5071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скорочення перехресн</w:t>
            </w:r>
            <w:r w:rsidR="00C5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субсидування між вантажам;</w:t>
            </w:r>
          </w:p>
          <w:p w:rsidR="00C564DA" w:rsidRDefault="00C564DA" w:rsidP="00C564DA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уніфікувати тарифи незалежно від виду перевезень;</w:t>
            </w:r>
          </w:p>
          <w:p w:rsidR="00C564DA" w:rsidRDefault="00C564DA" w:rsidP="00C564DA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зменшити збитковість перевезень;</w:t>
            </w:r>
          </w:p>
          <w:p w:rsidR="00C564DA" w:rsidRPr="00B65E66" w:rsidRDefault="00C564DA" w:rsidP="007F6FD8">
            <w:pPr>
              <w:tabs>
                <w:tab w:val="left" w:pos="-3686"/>
              </w:tabs>
              <w:ind w:right="45" w:firstLine="3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7F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недобросовісного маніпулювання тарифами.</w:t>
            </w:r>
          </w:p>
        </w:tc>
        <w:tc>
          <w:tcPr>
            <w:tcW w:w="3543" w:type="dxa"/>
            <w:shd w:val="clear" w:color="auto" w:fill="auto"/>
          </w:tcPr>
          <w:p w:rsidR="0085026E" w:rsidRPr="00B65E66" w:rsidRDefault="0085026E" w:rsidP="001F0AB8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firstLine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74D8C" w:rsidRPr="00B65E66" w:rsidRDefault="00874D8C" w:rsidP="001F0AB8">
      <w:pPr>
        <w:tabs>
          <w:tab w:val="left" w:pos="-3686"/>
        </w:tabs>
        <w:ind w:right="4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B65E66" w:rsidRDefault="0085026E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692D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 </w:t>
      </w: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Механізм та заходи, які забезпечать розв’язання визначеної проблеми</w:t>
      </w:r>
    </w:p>
    <w:p w:rsidR="00157EE4" w:rsidRPr="00157EE4" w:rsidRDefault="00157EE4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Механізмом, який забезпечить розв’язання проблеми, є прийняття регуляторного </w:t>
      </w:r>
      <w:proofErr w:type="spellStart"/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EE4" w:rsidRDefault="00157EE4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спрямований на </w:t>
      </w:r>
      <w:r w:rsidR="00C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досконалення тарифної політики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залізничному транспорті у частині застосування зближення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класів тарифів на перевезення </w:t>
      </w:r>
      <w:r w:rsidR="00C56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порожніх вагонів та встановлення єдиного коефіцієнт</w:t>
      </w:r>
      <w:r w:rsidR="007F6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тарифів незалежно від виду перевезень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D76" w:rsidRDefault="00767D76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Очікуваний позитивний ефект –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зближення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класів тарифів на перевезення </w:t>
      </w:r>
      <w:r w:rsidR="00C5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порожніх вагонів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проведення запланованих </w:t>
      </w:r>
      <w:r w:rsidR="00C5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модернізації </w:t>
      </w:r>
      <w:r w:rsidR="007F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2707 од. та виготовлення 557 од. вантажних вагонів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одержаних коштів.</w:t>
      </w:r>
    </w:p>
    <w:p w:rsidR="00767D76" w:rsidRPr="00157EE4" w:rsidRDefault="00767D76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Впровадження запропонованого регуляторного </w:t>
      </w:r>
      <w:proofErr w:type="spellStart"/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додаткових витрат з Державного бюджету України.</w:t>
      </w:r>
    </w:p>
    <w:p w:rsidR="00767D76" w:rsidRDefault="00767D76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Дія </w:t>
      </w:r>
      <w:proofErr w:type="spellStart"/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1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поширюватиметься на суб’єктів господарювання, які відповідно до чинного законодавства України є учасниками процесу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перевезення </w:t>
      </w:r>
      <w:r w:rsidR="00C56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порожніх вагонів.</w:t>
      </w:r>
    </w:p>
    <w:p w:rsidR="00157EE4" w:rsidRPr="00B65E66" w:rsidRDefault="00157EE4" w:rsidP="007F6FD8">
      <w:pPr>
        <w:tabs>
          <w:tab w:val="left" w:pos="-3686"/>
        </w:tabs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B65E66" w:rsidRDefault="0085026E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="00692DA5">
        <w:rPr>
          <w:lang w:val="en-US"/>
        </w:rPr>
        <w:t> </w:t>
      </w:r>
      <w:r w:rsidR="00692D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Оцінка виконання вимог регуляторного </w:t>
      </w:r>
      <w:proofErr w:type="spellStart"/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4B4210" w:rsidRDefault="0085026E" w:rsidP="005C102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регуляторного </w:t>
      </w:r>
      <w:proofErr w:type="spellStart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дасть змогу </w:t>
      </w:r>
      <w:r w:rsidR="0076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зблизити </w:t>
      </w:r>
      <w:r w:rsidR="00767D76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 w:rsidR="00767D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7D76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перевезення </w:t>
      </w:r>
      <w:r w:rsidR="00C56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порожніх вагонів</w:t>
      </w:r>
      <w:r w:rsidR="0076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заплановані </w:t>
      </w:r>
      <w:r w:rsidR="008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модернізацію </w:t>
      </w:r>
      <w:r w:rsidR="007F6FD8">
        <w:rPr>
          <w:rFonts w:ascii="Times New Roman" w:eastAsia="Times New Roman" w:hAnsi="Times New Roman" w:cs="Times New Roman"/>
          <w:sz w:val="28"/>
          <w:szCs w:val="28"/>
          <w:lang w:eastAsia="ru-RU"/>
        </w:rPr>
        <w:t>2707 од. та виготовлення 557 од. вантажних вагонів</w:t>
      </w:r>
      <w:r w:rsidR="004B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21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="004B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421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зменш</w:t>
      </w:r>
      <w:r w:rsidR="004B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="004B421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збитков</w:t>
      </w:r>
      <w:r w:rsidR="004B421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r w:rsidR="004B421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перевезень порожніх вагонів</w:t>
      </w:r>
      <w:r w:rsidR="004B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21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  <w:r w:rsidR="004B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тити</w:t>
      </w:r>
      <w:r w:rsidR="004B421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перехресн</w:t>
      </w:r>
      <w:r w:rsidR="00C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21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субсидування між вантажами</w:t>
      </w:r>
      <w:r w:rsidR="004B4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6E" w:rsidRPr="00B65E66" w:rsidRDefault="00E043B4" w:rsidP="005C1025">
      <w:pPr>
        <w:tabs>
          <w:tab w:val="left" w:pos="-3686"/>
        </w:tabs>
        <w:ind w:right="4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026E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</w:t>
      </w:r>
      <w:r w:rsidR="00C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овані податкові надходження до Д</w:t>
      </w:r>
      <w:r w:rsidR="0085026E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ержавного бюджету України становитимуть </w:t>
      </w:r>
      <w:r w:rsidR="008B1B78"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="00677D4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026E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26E" w:rsidRPr="00B65E66">
        <w:rPr>
          <w:rFonts w:ascii="Times New Roman" w:eastAsia="Calibri" w:hAnsi="Times New Roman" w:cs="Times New Roman"/>
          <w:sz w:val="28"/>
          <w:szCs w:val="28"/>
        </w:rPr>
        <w:t>млн</w:t>
      </w:r>
      <w:r w:rsidR="00B325B9" w:rsidRPr="00B65E66">
        <w:rPr>
          <w:rFonts w:ascii="Times New Roman" w:eastAsia="Calibri" w:hAnsi="Times New Roman" w:cs="Times New Roman"/>
          <w:sz w:val="28"/>
          <w:szCs w:val="28"/>
        </w:rPr>
        <w:t>.</w:t>
      </w:r>
      <w:r w:rsidR="0085026E" w:rsidRPr="00B65E66">
        <w:rPr>
          <w:rFonts w:ascii="Times New Roman" w:eastAsia="Calibri" w:hAnsi="Times New Roman" w:cs="Times New Roman"/>
          <w:sz w:val="28"/>
          <w:szCs w:val="28"/>
        </w:rPr>
        <w:t xml:space="preserve"> грн. </w:t>
      </w:r>
    </w:p>
    <w:p w:rsidR="00640CC0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умови </w:t>
      </w:r>
      <w:r w:rsidR="00640CC0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прийняття регуляторного </w:t>
      </w:r>
      <w:proofErr w:type="spellStart"/>
      <w:r w:rsidR="00640CC0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</w:t>
      </w:r>
      <w:r w:rsidR="008A61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proofErr w:type="spellEnd"/>
      <w:r w:rsidR="00640CC0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30142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укрупненими прогнозними розрахунками доходи ПАТ</w:t>
      </w:r>
      <w:r w:rsidR="007A53EB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D30142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«Укрзалізниця» </w:t>
      </w:r>
      <w:r w:rsidR="004B42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зближення класів тарифів складатимуть</w:t>
      </w:r>
      <w:r w:rsidR="00D30142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B1B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0,972</w:t>
      </w:r>
      <w:r w:rsidR="00F536F2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B325B9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мл</w:t>
      </w:r>
      <w:r w:rsidR="00D11801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рд</w:t>
      </w:r>
      <w:r w:rsidR="00B325B9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F536F2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B325B9" w:rsidRPr="00B65E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грн.</w:t>
      </w:r>
    </w:p>
    <w:p w:rsidR="0085026E" w:rsidRPr="000F31C2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М-тесту недоцільн</w:t>
      </w:r>
      <w:r w:rsidR="00C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тому що частка перевезень, які здійснюють підприємства малого бізнесу, становить менше 3% загального обсягу перевезень.</w:t>
      </w:r>
    </w:p>
    <w:p w:rsidR="00556C5C" w:rsidRPr="000F31C2" w:rsidRDefault="00556C5C" w:rsidP="007F6FD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</w:t>
      </w:r>
      <w:r w:rsidR="00692D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 </w:t>
      </w: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запропонованого строку дії регуляторного </w:t>
      </w:r>
      <w:proofErr w:type="spellStart"/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дії регуляторного </w:t>
      </w:r>
      <w:proofErr w:type="spellStart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пропонується не обмежувати </w:t>
      </w:r>
      <w:r w:rsidR="00F70CA2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часі. </w:t>
      </w: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Регуляторний акт набирає чинності з </w:t>
      </w:r>
      <w:r w:rsidR="00272D3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офіційного опублікування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0E9" w:rsidRDefault="00A600E9" w:rsidP="007F6FD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</w:t>
      </w:r>
      <w:r w:rsidR="00692D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 </w:t>
      </w: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показників результативності дії регуляторного </w:t>
      </w:r>
      <w:proofErr w:type="spellStart"/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82"/>
        <w:gridCol w:w="4246"/>
      </w:tblGrid>
      <w:tr w:rsidR="00B65E66" w:rsidRPr="00B65E66" w:rsidTr="008B1B78">
        <w:tc>
          <w:tcPr>
            <w:tcW w:w="5382" w:type="dxa"/>
          </w:tcPr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показника</w:t>
            </w:r>
          </w:p>
        </w:tc>
        <w:tc>
          <w:tcPr>
            <w:tcW w:w="4246" w:type="dxa"/>
          </w:tcPr>
          <w:p w:rsidR="0085026E" w:rsidRPr="00B65E66" w:rsidRDefault="0085026E" w:rsidP="001F0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показника</w:t>
            </w:r>
          </w:p>
        </w:tc>
      </w:tr>
      <w:tr w:rsidR="00B65E66" w:rsidRPr="00B65E66" w:rsidTr="008B1B78">
        <w:trPr>
          <w:trHeight w:val="1116"/>
        </w:trPr>
        <w:tc>
          <w:tcPr>
            <w:tcW w:w="5382" w:type="dxa"/>
          </w:tcPr>
          <w:p w:rsidR="00CB5456" w:rsidRPr="00B65E66" w:rsidRDefault="00CB5456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надходжень до державного та місцевих бюджетів і державних цільових фондів, пов’язаних з дією </w:t>
            </w:r>
            <w:proofErr w:type="spellStart"/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</w:p>
        </w:tc>
        <w:tc>
          <w:tcPr>
            <w:tcW w:w="4246" w:type="dxa"/>
          </w:tcPr>
          <w:p w:rsidR="00CB5456" w:rsidRPr="00B65E66" w:rsidRDefault="00CB5456" w:rsidP="008B1B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</w:t>
            </w:r>
            <w:r w:rsidR="00C8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овані податкові надходження до Д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ержавного бюджету України </w:t>
            </w:r>
            <w:r w:rsidRPr="00B6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становитимуть </w:t>
            </w:r>
            <w:r w:rsidR="008B1B78">
              <w:rPr>
                <w:rFonts w:ascii="Times New Roman" w:eastAsia="Calibri" w:hAnsi="Times New Roman" w:cs="Times New Roman"/>
                <w:sz w:val="28"/>
                <w:szCs w:val="28"/>
              </w:rPr>
              <w:t>87,9</w:t>
            </w:r>
            <w:r w:rsidR="00EB6961" w:rsidRPr="00B6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5E66">
              <w:rPr>
                <w:rFonts w:ascii="Times New Roman" w:eastAsia="Calibri" w:hAnsi="Times New Roman" w:cs="Times New Roman"/>
                <w:sz w:val="28"/>
                <w:szCs w:val="28"/>
              </w:rPr>
              <w:t>млн</w:t>
            </w:r>
            <w:r w:rsidR="00E257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6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E257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6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E66" w:rsidRPr="00B65E66" w:rsidTr="008B1B78">
        <w:trPr>
          <w:trHeight w:val="677"/>
        </w:trPr>
        <w:tc>
          <w:tcPr>
            <w:tcW w:w="5382" w:type="dxa"/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Суб’єкти господарювання, на яких поширюватиметься дія </w:t>
            </w:r>
            <w:proofErr w:type="spellStart"/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</w:p>
        </w:tc>
        <w:tc>
          <w:tcPr>
            <w:tcW w:w="4246" w:type="dxa"/>
          </w:tcPr>
          <w:p w:rsidR="00F41AC3" w:rsidRPr="00B65E66" w:rsidRDefault="008B1B78" w:rsidP="007F6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436,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333 власник</w:t>
            </w:r>
            <w:r w:rsidR="007F6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вагонів та 43 оператор</w:t>
            </w:r>
            <w:r w:rsidR="007F6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65E66" w:rsidRPr="00B65E66" w:rsidTr="008B1B78">
        <w:tc>
          <w:tcPr>
            <w:tcW w:w="5382" w:type="dxa"/>
          </w:tcPr>
          <w:p w:rsidR="00CB5456" w:rsidRPr="00B65E66" w:rsidRDefault="00CB5456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коштів та часу, що витрачатиметься суб’єктами господарювання на виконання вимог </w:t>
            </w:r>
            <w:proofErr w:type="spellStart"/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</w:p>
        </w:tc>
        <w:tc>
          <w:tcPr>
            <w:tcW w:w="4246" w:type="dxa"/>
          </w:tcPr>
          <w:p w:rsidR="00CB5456" w:rsidRPr="00B65E66" w:rsidRDefault="00CB5456" w:rsidP="008B1B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на </w:t>
            </w:r>
            <w:r w:rsidR="00FE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антажні перевезення</w:t>
            </w:r>
            <w:r w:rsidR="00FE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залізничним транспортом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зростуть на </w:t>
            </w:r>
            <w:r w:rsidR="008B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0,972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  <w:r w:rsidR="00D11801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  <w:r w:rsidR="00D30142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  <w:r w:rsidR="00D30142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ПДВ.</w:t>
            </w:r>
          </w:p>
        </w:tc>
      </w:tr>
      <w:tr w:rsidR="0085026E" w:rsidRPr="00B65E66" w:rsidTr="008B1B78">
        <w:tc>
          <w:tcPr>
            <w:tcW w:w="5382" w:type="dxa"/>
          </w:tcPr>
          <w:p w:rsidR="0085026E" w:rsidRPr="00B65E66" w:rsidRDefault="0085026E" w:rsidP="001F0A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інформованості</w:t>
            </w:r>
            <w:r w:rsidRPr="00B65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</w:p>
        </w:tc>
        <w:tc>
          <w:tcPr>
            <w:tcW w:w="4246" w:type="dxa"/>
          </w:tcPr>
          <w:p w:rsidR="0085026E" w:rsidRPr="00B65E66" w:rsidRDefault="006C68D0" w:rsidP="001F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r w:rsidR="0085026E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розміщення проекту регуляторного </w:t>
            </w:r>
            <w:proofErr w:type="spellStart"/>
            <w:r w:rsidR="0085026E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="0085026E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офіційному сайті Міністерства інфраструктури України</w:t>
            </w:r>
            <w:r w:rsidR="00AA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026E" w:rsidRPr="00B6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3128" w:rsidRPr="00B65E66" w:rsidTr="008B1B78">
        <w:tc>
          <w:tcPr>
            <w:tcW w:w="5382" w:type="dxa"/>
          </w:tcPr>
          <w:p w:rsidR="006E3128" w:rsidRPr="00717791" w:rsidRDefault="006E3128" w:rsidP="001F0A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Модернізація</w:t>
            </w:r>
            <w:r w:rsidRPr="00717791">
              <w:rPr>
                <w:rFonts w:ascii="Times New Roman" w:hAnsi="Times New Roman" w:cs="Times New Roman"/>
                <w:sz w:val="28"/>
                <w:szCs w:val="28"/>
              </w:rPr>
              <w:t xml:space="preserve"> тягового рухомого складу,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6E3128" w:rsidRPr="00717791" w:rsidRDefault="006E3128" w:rsidP="001F0A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E3128" w:rsidRPr="00B65E66" w:rsidTr="008B1B78">
        <w:tc>
          <w:tcPr>
            <w:tcW w:w="5382" w:type="dxa"/>
          </w:tcPr>
          <w:p w:rsidR="006E3128" w:rsidRPr="00717791" w:rsidRDefault="006E3128" w:rsidP="001F0A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Модернізаці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7791">
              <w:rPr>
                <w:rFonts w:ascii="Times New Roman" w:hAnsi="Times New Roman" w:cs="Times New Roman"/>
                <w:sz w:val="28"/>
                <w:szCs w:val="28"/>
              </w:rPr>
              <w:t xml:space="preserve"> вантажних вагонів, од.</w:t>
            </w:r>
          </w:p>
        </w:tc>
        <w:tc>
          <w:tcPr>
            <w:tcW w:w="4246" w:type="dxa"/>
          </w:tcPr>
          <w:p w:rsidR="006E3128" w:rsidRPr="00717791" w:rsidRDefault="006E3128" w:rsidP="008B1B7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B78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6E3128" w:rsidRPr="00B65E66" w:rsidTr="008B1B78">
        <w:tc>
          <w:tcPr>
            <w:tcW w:w="5382" w:type="dxa"/>
          </w:tcPr>
          <w:p w:rsidR="006E3128" w:rsidRPr="00717791" w:rsidRDefault="006E3128" w:rsidP="001F0A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91">
              <w:rPr>
                <w:rFonts w:ascii="Times New Roman" w:hAnsi="Times New Roman" w:cs="Times New Roman"/>
                <w:sz w:val="28"/>
                <w:szCs w:val="28"/>
              </w:rPr>
              <w:t>Виготовлення вантажних вагонів,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6E3128" w:rsidRPr="00717791" w:rsidRDefault="006E3128" w:rsidP="001F0A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91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</w:tbl>
    <w:p w:rsidR="009D173E" w:rsidRDefault="009D173E" w:rsidP="007F6F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</w:t>
      </w:r>
      <w:r w:rsidR="00692D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 </w:t>
      </w:r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Pr="00B6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Базове відстеження результативності дії вказаного регуляторного </w:t>
      </w:r>
      <w:proofErr w:type="spellStart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здійснюватися після набрання чинності актом, але не пізніше дня, з якого починається проведення повторного відстеження результативності дії </w:t>
      </w:r>
      <w:proofErr w:type="spellStart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оцінки ступеня досягнення регуляторним актом визначених цілей повторне відстеження результативності дії регуляторного </w:t>
      </w:r>
      <w:proofErr w:type="spellStart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проводитися через рік після набрання ним чинності, але не пізніше ніж через два роки з дня набрання чинності цим актом.</w:t>
      </w: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Періодичні відстеження результативності дії регуляторного </w:t>
      </w:r>
      <w:proofErr w:type="spellStart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будуть здійснюватися раз на кожні три роки, починаючи з дня закінчення заходів з повторного відстеження результативності дії цього </w:t>
      </w:r>
      <w:proofErr w:type="spellStart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E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5026E" w:rsidRPr="00B65E66" w:rsidRDefault="0085026E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даних, які використовуватимуться для відстеження</w:t>
      </w:r>
      <w:r w:rsidR="00ED243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статистичні дані за основними показниками результативності дії регуляторного </w:t>
      </w:r>
      <w:proofErr w:type="spellStart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дані, отримані шляхом дослідження показників.</w:t>
      </w:r>
    </w:p>
    <w:p w:rsidR="00BC5B49" w:rsidRPr="00C97388" w:rsidRDefault="00BC5B49" w:rsidP="005C1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 заходів – Міністерство інфраструктури України</w:t>
      </w:r>
      <w:r w:rsidR="000C7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388" w:rsidRPr="00C97388" w:rsidRDefault="00C97388" w:rsidP="005C1025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97388" w:rsidRDefault="00C97388" w:rsidP="001F0AB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7388" w:rsidRPr="00C97388" w:rsidRDefault="00C97388" w:rsidP="001F0AB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11801" w:rsidRDefault="0085026E" w:rsidP="001F0AB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 інфраструктури України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О</w:t>
      </w:r>
      <w:r w:rsidR="003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МЕЛЯН</w:t>
      </w:r>
    </w:p>
    <w:p w:rsidR="00C97388" w:rsidRPr="00C97388" w:rsidRDefault="00C97388" w:rsidP="001F0AB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0497" w:rsidRPr="00B65E66" w:rsidRDefault="004E4DAA" w:rsidP="001F0AB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85026E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 201</w:t>
      </w:r>
      <w:r w:rsidR="00D30142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026E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5C7BE6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00497" w:rsidRPr="00B65E66" w:rsidSect="003A70A8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57" w:rsidRDefault="00E84757">
      <w:r>
        <w:separator/>
      </w:r>
    </w:p>
  </w:endnote>
  <w:endnote w:type="continuationSeparator" w:id="0">
    <w:p w:rsidR="00E84757" w:rsidRDefault="00E8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E4" w:rsidRDefault="00157EE4" w:rsidP="003A70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57EE4" w:rsidRDefault="00157EE4" w:rsidP="003A70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57" w:rsidRDefault="00E84757">
      <w:r>
        <w:separator/>
      </w:r>
    </w:p>
  </w:footnote>
  <w:footnote w:type="continuationSeparator" w:id="0">
    <w:p w:rsidR="00E84757" w:rsidRDefault="00E8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E4" w:rsidRDefault="00157EE4" w:rsidP="003A70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57EE4" w:rsidRDefault="00157E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E4" w:rsidRPr="00F10ED9" w:rsidRDefault="00157EE4" w:rsidP="003A70A8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F10ED9">
      <w:rPr>
        <w:rStyle w:val="a7"/>
        <w:sz w:val="28"/>
        <w:szCs w:val="28"/>
      </w:rPr>
      <w:fldChar w:fldCharType="begin"/>
    </w:r>
    <w:r w:rsidRPr="00F10ED9">
      <w:rPr>
        <w:rStyle w:val="a7"/>
        <w:sz w:val="28"/>
        <w:szCs w:val="28"/>
      </w:rPr>
      <w:instrText xml:space="preserve">PAGE  </w:instrText>
    </w:r>
    <w:r w:rsidRPr="00F10ED9">
      <w:rPr>
        <w:rStyle w:val="a7"/>
        <w:sz w:val="28"/>
        <w:szCs w:val="28"/>
      </w:rPr>
      <w:fldChar w:fldCharType="separate"/>
    </w:r>
    <w:r w:rsidR="00C97388">
      <w:rPr>
        <w:rStyle w:val="a7"/>
        <w:noProof/>
        <w:sz w:val="28"/>
        <w:szCs w:val="28"/>
      </w:rPr>
      <w:t>12</w:t>
    </w:r>
    <w:r w:rsidRPr="00F10ED9">
      <w:rPr>
        <w:rStyle w:val="a7"/>
        <w:sz w:val="28"/>
        <w:szCs w:val="28"/>
      </w:rPr>
      <w:fldChar w:fldCharType="end"/>
    </w:r>
  </w:p>
  <w:p w:rsidR="00157EE4" w:rsidRPr="00CA0C40" w:rsidRDefault="00157EE4" w:rsidP="003A70A8">
    <w:pPr>
      <w:pStyle w:val="a3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407"/>
    <w:multiLevelType w:val="hybridMultilevel"/>
    <w:tmpl w:val="D722C2C2"/>
    <w:lvl w:ilvl="0" w:tplc="18A6E4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0D5018"/>
    <w:multiLevelType w:val="hybridMultilevel"/>
    <w:tmpl w:val="09C4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0720"/>
    <w:multiLevelType w:val="hybridMultilevel"/>
    <w:tmpl w:val="1E5AE040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6212"/>
    <w:multiLevelType w:val="hybridMultilevel"/>
    <w:tmpl w:val="F68C1A6A"/>
    <w:lvl w:ilvl="0" w:tplc="8EAC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FE5901"/>
    <w:multiLevelType w:val="hybridMultilevel"/>
    <w:tmpl w:val="843EBA72"/>
    <w:lvl w:ilvl="0" w:tplc="62941D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65569"/>
    <w:multiLevelType w:val="hybridMultilevel"/>
    <w:tmpl w:val="2F4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91CAF"/>
    <w:multiLevelType w:val="hybridMultilevel"/>
    <w:tmpl w:val="A3243D8C"/>
    <w:lvl w:ilvl="0" w:tplc="F192029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4011681"/>
    <w:multiLevelType w:val="hybridMultilevel"/>
    <w:tmpl w:val="60C25390"/>
    <w:lvl w:ilvl="0" w:tplc="3D8EF7EA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E250F"/>
    <w:multiLevelType w:val="hybridMultilevel"/>
    <w:tmpl w:val="F1A6FD22"/>
    <w:lvl w:ilvl="0" w:tplc="026E8990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6E"/>
    <w:rsid w:val="00002342"/>
    <w:rsid w:val="00006FA5"/>
    <w:rsid w:val="00007873"/>
    <w:rsid w:val="00010F30"/>
    <w:rsid w:val="0001297D"/>
    <w:rsid w:val="00020E86"/>
    <w:rsid w:val="00024904"/>
    <w:rsid w:val="00024F74"/>
    <w:rsid w:val="00026B51"/>
    <w:rsid w:val="00026EC9"/>
    <w:rsid w:val="00027022"/>
    <w:rsid w:val="00030A57"/>
    <w:rsid w:val="000322C6"/>
    <w:rsid w:val="00032898"/>
    <w:rsid w:val="00035F0D"/>
    <w:rsid w:val="00044C18"/>
    <w:rsid w:val="00054E3E"/>
    <w:rsid w:val="00062EC2"/>
    <w:rsid w:val="00063428"/>
    <w:rsid w:val="000652C5"/>
    <w:rsid w:val="00081D60"/>
    <w:rsid w:val="00082469"/>
    <w:rsid w:val="000844F5"/>
    <w:rsid w:val="00091D5C"/>
    <w:rsid w:val="000A0978"/>
    <w:rsid w:val="000B1496"/>
    <w:rsid w:val="000B6B24"/>
    <w:rsid w:val="000C2B74"/>
    <w:rsid w:val="000C5388"/>
    <w:rsid w:val="000C6C01"/>
    <w:rsid w:val="000C70EC"/>
    <w:rsid w:val="000D2CD3"/>
    <w:rsid w:val="000D4497"/>
    <w:rsid w:val="000D5F04"/>
    <w:rsid w:val="000D6233"/>
    <w:rsid w:val="000E00FE"/>
    <w:rsid w:val="000E010F"/>
    <w:rsid w:val="000E1145"/>
    <w:rsid w:val="000E639F"/>
    <w:rsid w:val="000F31C2"/>
    <w:rsid w:val="001009D3"/>
    <w:rsid w:val="00100A97"/>
    <w:rsid w:val="00102BB7"/>
    <w:rsid w:val="0010759F"/>
    <w:rsid w:val="00110FFA"/>
    <w:rsid w:val="001138A8"/>
    <w:rsid w:val="00116F49"/>
    <w:rsid w:val="001240DC"/>
    <w:rsid w:val="00125438"/>
    <w:rsid w:val="00127562"/>
    <w:rsid w:val="00127932"/>
    <w:rsid w:val="0014103F"/>
    <w:rsid w:val="00142B89"/>
    <w:rsid w:val="001445A4"/>
    <w:rsid w:val="00157EE4"/>
    <w:rsid w:val="0016014E"/>
    <w:rsid w:val="00163D5A"/>
    <w:rsid w:val="001649BD"/>
    <w:rsid w:val="00164D56"/>
    <w:rsid w:val="00170E71"/>
    <w:rsid w:val="00176FAC"/>
    <w:rsid w:val="001829A8"/>
    <w:rsid w:val="00183F59"/>
    <w:rsid w:val="001854B5"/>
    <w:rsid w:val="001908EA"/>
    <w:rsid w:val="0019343C"/>
    <w:rsid w:val="00196DB7"/>
    <w:rsid w:val="001A1804"/>
    <w:rsid w:val="001A2DEA"/>
    <w:rsid w:val="001A5D85"/>
    <w:rsid w:val="001A63FA"/>
    <w:rsid w:val="001A74C7"/>
    <w:rsid w:val="001B2938"/>
    <w:rsid w:val="001B54DF"/>
    <w:rsid w:val="001B651F"/>
    <w:rsid w:val="001C1219"/>
    <w:rsid w:val="001D2B83"/>
    <w:rsid w:val="001D4A42"/>
    <w:rsid w:val="001D5932"/>
    <w:rsid w:val="001D5E4F"/>
    <w:rsid w:val="001D6583"/>
    <w:rsid w:val="001D7040"/>
    <w:rsid w:val="001F0AB8"/>
    <w:rsid w:val="001F2A76"/>
    <w:rsid w:val="001F3A30"/>
    <w:rsid w:val="001F7457"/>
    <w:rsid w:val="00202AB0"/>
    <w:rsid w:val="002038C1"/>
    <w:rsid w:val="00212166"/>
    <w:rsid w:val="0021671E"/>
    <w:rsid w:val="00217768"/>
    <w:rsid w:val="0022502D"/>
    <w:rsid w:val="00226FFB"/>
    <w:rsid w:val="00227CE8"/>
    <w:rsid w:val="00235901"/>
    <w:rsid w:val="00241490"/>
    <w:rsid w:val="00243DE4"/>
    <w:rsid w:val="002451FF"/>
    <w:rsid w:val="002466B9"/>
    <w:rsid w:val="00251C37"/>
    <w:rsid w:val="00257174"/>
    <w:rsid w:val="00272D34"/>
    <w:rsid w:val="002741C5"/>
    <w:rsid w:val="002750DD"/>
    <w:rsid w:val="00276FCD"/>
    <w:rsid w:val="00277F56"/>
    <w:rsid w:val="00287592"/>
    <w:rsid w:val="0029197B"/>
    <w:rsid w:val="002A0ADF"/>
    <w:rsid w:val="002A4883"/>
    <w:rsid w:val="002C0328"/>
    <w:rsid w:val="002D2736"/>
    <w:rsid w:val="002E1A8E"/>
    <w:rsid w:val="002E40A6"/>
    <w:rsid w:val="002F1580"/>
    <w:rsid w:val="002F5C3E"/>
    <w:rsid w:val="002F5E20"/>
    <w:rsid w:val="002F6652"/>
    <w:rsid w:val="00314C90"/>
    <w:rsid w:val="00315C9C"/>
    <w:rsid w:val="00315D64"/>
    <w:rsid w:val="0031680A"/>
    <w:rsid w:val="00320442"/>
    <w:rsid w:val="00324A78"/>
    <w:rsid w:val="00330066"/>
    <w:rsid w:val="0033700C"/>
    <w:rsid w:val="00352ECE"/>
    <w:rsid w:val="00353C16"/>
    <w:rsid w:val="00354506"/>
    <w:rsid w:val="0036412B"/>
    <w:rsid w:val="0036700B"/>
    <w:rsid w:val="00370AFB"/>
    <w:rsid w:val="00381BC4"/>
    <w:rsid w:val="00382A35"/>
    <w:rsid w:val="003906A0"/>
    <w:rsid w:val="0039203F"/>
    <w:rsid w:val="003975E2"/>
    <w:rsid w:val="003A2A29"/>
    <w:rsid w:val="003A70A8"/>
    <w:rsid w:val="003A7B5D"/>
    <w:rsid w:val="003B265A"/>
    <w:rsid w:val="003C387C"/>
    <w:rsid w:val="003D00F8"/>
    <w:rsid w:val="003E066B"/>
    <w:rsid w:val="003E1A41"/>
    <w:rsid w:val="003E1FF6"/>
    <w:rsid w:val="004241FB"/>
    <w:rsid w:val="004248DF"/>
    <w:rsid w:val="00432AF8"/>
    <w:rsid w:val="004602DC"/>
    <w:rsid w:val="00462A74"/>
    <w:rsid w:val="00462D7C"/>
    <w:rsid w:val="00465071"/>
    <w:rsid w:val="004728EF"/>
    <w:rsid w:val="00472B97"/>
    <w:rsid w:val="00473EC8"/>
    <w:rsid w:val="00473FE3"/>
    <w:rsid w:val="00480D76"/>
    <w:rsid w:val="0049295D"/>
    <w:rsid w:val="004A3F19"/>
    <w:rsid w:val="004A6145"/>
    <w:rsid w:val="004A6276"/>
    <w:rsid w:val="004A7234"/>
    <w:rsid w:val="004B3AF7"/>
    <w:rsid w:val="004B4210"/>
    <w:rsid w:val="004B5FBB"/>
    <w:rsid w:val="004C5736"/>
    <w:rsid w:val="004C6D17"/>
    <w:rsid w:val="004D10A2"/>
    <w:rsid w:val="004D5142"/>
    <w:rsid w:val="004E23FA"/>
    <w:rsid w:val="004E4DAA"/>
    <w:rsid w:val="004E5DA4"/>
    <w:rsid w:val="004F07BA"/>
    <w:rsid w:val="004F2DB7"/>
    <w:rsid w:val="004F34CB"/>
    <w:rsid w:val="004F74B6"/>
    <w:rsid w:val="00501631"/>
    <w:rsid w:val="005034A9"/>
    <w:rsid w:val="005069A8"/>
    <w:rsid w:val="0050713C"/>
    <w:rsid w:val="005138C6"/>
    <w:rsid w:val="00517A00"/>
    <w:rsid w:val="00521EC2"/>
    <w:rsid w:val="00530E1A"/>
    <w:rsid w:val="005325B5"/>
    <w:rsid w:val="0053314D"/>
    <w:rsid w:val="005369A9"/>
    <w:rsid w:val="00542EE0"/>
    <w:rsid w:val="00543D66"/>
    <w:rsid w:val="005466D1"/>
    <w:rsid w:val="0055633D"/>
    <w:rsid w:val="00556C5C"/>
    <w:rsid w:val="005571EC"/>
    <w:rsid w:val="00563A01"/>
    <w:rsid w:val="005663D7"/>
    <w:rsid w:val="005715EB"/>
    <w:rsid w:val="00581A14"/>
    <w:rsid w:val="00583A8E"/>
    <w:rsid w:val="00586304"/>
    <w:rsid w:val="0058658F"/>
    <w:rsid w:val="00593272"/>
    <w:rsid w:val="005A5C35"/>
    <w:rsid w:val="005B2C0E"/>
    <w:rsid w:val="005B2D27"/>
    <w:rsid w:val="005C0A47"/>
    <w:rsid w:val="005C1025"/>
    <w:rsid w:val="005C2725"/>
    <w:rsid w:val="005C5469"/>
    <w:rsid w:val="005C7BE6"/>
    <w:rsid w:val="005D0E25"/>
    <w:rsid w:val="005D16E6"/>
    <w:rsid w:val="005D4C69"/>
    <w:rsid w:val="005D6522"/>
    <w:rsid w:val="005D7557"/>
    <w:rsid w:val="005E6A59"/>
    <w:rsid w:val="005F70F7"/>
    <w:rsid w:val="005F73FE"/>
    <w:rsid w:val="00600165"/>
    <w:rsid w:val="00601BA4"/>
    <w:rsid w:val="00604687"/>
    <w:rsid w:val="00605915"/>
    <w:rsid w:val="00607CBF"/>
    <w:rsid w:val="00612DD6"/>
    <w:rsid w:val="00624B2F"/>
    <w:rsid w:val="00627D1E"/>
    <w:rsid w:val="00640CC0"/>
    <w:rsid w:val="00641432"/>
    <w:rsid w:val="0064243A"/>
    <w:rsid w:val="0064249E"/>
    <w:rsid w:val="006433A7"/>
    <w:rsid w:val="006461FA"/>
    <w:rsid w:val="00657409"/>
    <w:rsid w:val="00661B99"/>
    <w:rsid w:val="00662FE1"/>
    <w:rsid w:val="00664687"/>
    <w:rsid w:val="00677D40"/>
    <w:rsid w:val="0068022A"/>
    <w:rsid w:val="006859CA"/>
    <w:rsid w:val="00687336"/>
    <w:rsid w:val="00692DA5"/>
    <w:rsid w:val="00695D72"/>
    <w:rsid w:val="006A1398"/>
    <w:rsid w:val="006A2FD3"/>
    <w:rsid w:val="006A3A17"/>
    <w:rsid w:val="006C2489"/>
    <w:rsid w:val="006C4B7E"/>
    <w:rsid w:val="006C68D0"/>
    <w:rsid w:val="006D04EA"/>
    <w:rsid w:val="006D2C44"/>
    <w:rsid w:val="006D362B"/>
    <w:rsid w:val="006D3D23"/>
    <w:rsid w:val="006D5E39"/>
    <w:rsid w:val="006E3128"/>
    <w:rsid w:val="006E38EB"/>
    <w:rsid w:val="006E7044"/>
    <w:rsid w:val="006F1D0C"/>
    <w:rsid w:val="006F6F0D"/>
    <w:rsid w:val="007037DC"/>
    <w:rsid w:val="007041D9"/>
    <w:rsid w:val="00711E6C"/>
    <w:rsid w:val="00712A15"/>
    <w:rsid w:val="00714BA9"/>
    <w:rsid w:val="00715E50"/>
    <w:rsid w:val="0072378D"/>
    <w:rsid w:val="00727D39"/>
    <w:rsid w:val="007316C0"/>
    <w:rsid w:val="007332FC"/>
    <w:rsid w:val="00734B5D"/>
    <w:rsid w:val="00734EFD"/>
    <w:rsid w:val="007403AB"/>
    <w:rsid w:val="007448E5"/>
    <w:rsid w:val="00746A6B"/>
    <w:rsid w:val="00756A19"/>
    <w:rsid w:val="00762E46"/>
    <w:rsid w:val="00763CE3"/>
    <w:rsid w:val="00767D76"/>
    <w:rsid w:val="00786D8D"/>
    <w:rsid w:val="007871E9"/>
    <w:rsid w:val="00787CDE"/>
    <w:rsid w:val="0079293F"/>
    <w:rsid w:val="007935EB"/>
    <w:rsid w:val="00794943"/>
    <w:rsid w:val="00795BDF"/>
    <w:rsid w:val="007A1974"/>
    <w:rsid w:val="007A53EB"/>
    <w:rsid w:val="007B39FC"/>
    <w:rsid w:val="007B3B88"/>
    <w:rsid w:val="007B52DF"/>
    <w:rsid w:val="007B6F27"/>
    <w:rsid w:val="007C5A9D"/>
    <w:rsid w:val="007C6C1D"/>
    <w:rsid w:val="007D2794"/>
    <w:rsid w:val="007E013E"/>
    <w:rsid w:val="007F16FA"/>
    <w:rsid w:val="007F3E6B"/>
    <w:rsid w:val="007F42DB"/>
    <w:rsid w:val="007F6FD8"/>
    <w:rsid w:val="00802E27"/>
    <w:rsid w:val="00805757"/>
    <w:rsid w:val="00815039"/>
    <w:rsid w:val="008258C5"/>
    <w:rsid w:val="00825D25"/>
    <w:rsid w:val="00826EA0"/>
    <w:rsid w:val="008271E2"/>
    <w:rsid w:val="008306D4"/>
    <w:rsid w:val="00837727"/>
    <w:rsid w:val="00844BE6"/>
    <w:rsid w:val="0084519C"/>
    <w:rsid w:val="00845C6F"/>
    <w:rsid w:val="00847736"/>
    <w:rsid w:val="0085026E"/>
    <w:rsid w:val="00863C80"/>
    <w:rsid w:val="00865446"/>
    <w:rsid w:val="00873DDF"/>
    <w:rsid w:val="00874D27"/>
    <w:rsid w:val="00874D8C"/>
    <w:rsid w:val="008754C6"/>
    <w:rsid w:val="008769F2"/>
    <w:rsid w:val="008776F7"/>
    <w:rsid w:val="008A593D"/>
    <w:rsid w:val="008A6126"/>
    <w:rsid w:val="008B0D33"/>
    <w:rsid w:val="008B1B78"/>
    <w:rsid w:val="008C22C7"/>
    <w:rsid w:val="008C5C94"/>
    <w:rsid w:val="008D206B"/>
    <w:rsid w:val="008D4C45"/>
    <w:rsid w:val="008D6DA4"/>
    <w:rsid w:val="008E7248"/>
    <w:rsid w:val="008F4AE8"/>
    <w:rsid w:val="00900092"/>
    <w:rsid w:val="00902753"/>
    <w:rsid w:val="00904907"/>
    <w:rsid w:val="009053AA"/>
    <w:rsid w:val="00913435"/>
    <w:rsid w:val="00913A0C"/>
    <w:rsid w:val="009142DA"/>
    <w:rsid w:val="009170AE"/>
    <w:rsid w:val="00925A6F"/>
    <w:rsid w:val="0093721B"/>
    <w:rsid w:val="00942999"/>
    <w:rsid w:val="0094584D"/>
    <w:rsid w:val="009639E4"/>
    <w:rsid w:val="009660AC"/>
    <w:rsid w:val="00967B5A"/>
    <w:rsid w:val="0097116B"/>
    <w:rsid w:val="00976C5F"/>
    <w:rsid w:val="00976EF2"/>
    <w:rsid w:val="00977371"/>
    <w:rsid w:val="0097749D"/>
    <w:rsid w:val="009818CD"/>
    <w:rsid w:val="0098308E"/>
    <w:rsid w:val="009836D8"/>
    <w:rsid w:val="00990F1C"/>
    <w:rsid w:val="0099542B"/>
    <w:rsid w:val="00995FB5"/>
    <w:rsid w:val="009A2BF8"/>
    <w:rsid w:val="009B07BD"/>
    <w:rsid w:val="009B130E"/>
    <w:rsid w:val="009B2682"/>
    <w:rsid w:val="009B74CD"/>
    <w:rsid w:val="009C031B"/>
    <w:rsid w:val="009C70FA"/>
    <w:rsid w:val="009C7EAD"/>
    <w:rsid w:val="009D173E"/>
    <w:rsid w:val="009D38ED"/>
    <w:rsid w:val="009D3A7A"/>
    <w:rsid w:val="009D71C5"/>
    <w:rsid w:val="009E621F"/>
    <w:rsid w:val="009F3C9B"/>
    <w:rsid w:val="009F5127"/>
    <w:rsid w:val="00A00285"/>
    <w:rsid w:val="00A0261E"/>
    <w:rsid w:val="00A02A64"/>
    <w:rsid w:val="00A02C41"/>
    <w:rsid w:val="00A04565"/>
    <w:rsid w:val="00A05920"/>
    <w:rsid w:val="00A06269"/>
    <w:rsid w:val="00A118E8"/>
    <w:rsid w:val="00A14881"/>
    <w:rsid w:val="00A1506D"/>
    <w:rsid w:val="00A21733"/>
    <w:rsid w:val="00A26D76"/>
    <w:rsid w:val="00A316DE"/>
    <w:rsid w:val="00A34521"/>
    <w:rsid w:val="00A4689E"/>
    <w:rsid w:val="00A5474C"/>
    <w:rsid w:val="00A600E9"/>
    <w:rsid w:val="00A70A3A"/>
    <w:rsid w:val="00A7375F"/>
    <w:rsid w:val="00A808F3"/>
    <w:rsid w:val="00A80BB0"/>
    <w:rsid w:val="00A80C78"/>
    <w:rsid w:val="00A81369"/>
    <w:rsid w:val="00A9132C"/>
    <w:rsid w:val="00A9136C"/>
    <w:rsid w:val="00A930B4"/>
    <w:rsid w:val="00A94A9C"/>
    <w:rsid w:val="00A95171"/>
    <w:rsid w:val="00A97B36"/>
    <w:rsid w:val="00AA262C"/>
    <w:rsid w:val="00AA6722"/>
    <w:rsid w:val="00AA7A3A"/>
    <w:rsid w:val="00AC099D"/>
    <w:rsid w:val="00AC12EA"/>
    <w:rsid w:val="00AC209A"/>
    <w:rsid w:val="00AC411A"/>
    <w:rsid w:val="00AE198C"/>
    <w:rsid w:val="00AE3EC3"/>
    <w:rsid w:val="00AE4AF6"/>
    <w:rsid w:val="00AE796B"/>
    <w:rsid w:val="00AF073A"/>
    <w:rsid w:val="00AF168D"/>
    <w:rsid w:val="00AF2FC2"/>
    <w:rsid w:val="00AF4303"/>
    <w:rsid w:val="00B012A0"/>
    <w:rsid w:val="00B0689C"/>
    <w:rsid w:val="00B13F5F"/>
    <w:rsid w:val="00B15CF7"/>
    <w:rsid w:val="00B32314"/>
    <w:rsid w:val="00B323E9"/>
    <w:rsid w:val="00B325B9"/>
    <w:rsid w:val="00B34F3F"/>
    <w:rsid w:val="00B40C22"/>
    <w:rsid w:val="00B465C6"/>
    <w:rsid w:val="00B47DAB"/>
    <w:rsid w:val="00B502EF"/>
    <w:rsid w:val="00B513B7"/>
    <w:rsid w:val="00B6245C"/>
    <w:rsid w:val="00B6554D"/>
    <w:rsid w:val="00B65E66"/>
    <w:rsid w:val="00B67E80"/>
    <w:rsid w:val="00B70AEB"/>
    <w:rsid w:val="00B761C2"/>
    <w:rsid w:val="00B807F6"/>
    <w:rsid w:val="00B85AE1"/>
    <w:rsid w:val="00B95B7C"/>
    <w:rsid w:val="00BA032F"/>
    <w:rsid w:val="00BA35E3"/>
    <w:rsid w:val="00BA7B79"/>
    <w:rsid w:val="00BB0C58"/>
    <w:rsid w:val="00BB2F5A"/>
    <w:rsid w:val="00BC2679"/>
    <w:rsid w:val="00BC32CA"/>
    <w:rsid w:val="00BC341C"/>
    <w:rsid w:val="00BC491A"/>
    <w:rsid w:val="00BC5B49"/>
    <w:rsid w:val="00BD68B4"/>
    <w:rsid w:val="00BF37F1"/>
    <w:rsid w:val="00BF5505"/>
    <w:rsid w:val="00C00497"/>
    <w:rsid w:val="00C0341D"/>
    <w:rsid w:val="00C16835"/>
    <w:rsid w:val="00C1717B"/>
    <w:rsid w:val="00C369EE"/>
    <w:rsid w:val="00C421FB"/>
    <w:rsid w:val="00C462DD"/>
    <w:rsid w:val="00C564DA"/>
    <w:rsid w:val="00C5728A"/>
    <w:rsid w:val="00C573C1"/>
    <w:rsid w:val="00C574D1"/>
    <w:rsid w:val="00C60401"/>
    <w:rsid w:val="00C6108B"/>
    <w:rsid w:val="00C614FE"/>
    <w:rsid w:val="00C66F35"/>
    <w:rsid w:val="00C674FA"/>
    <w:rsid w:val="00C82830"/>
    <w:rsid w:val="00C82D04"/>
    <w:rsid w:val="00C84597"/>
    <w:rsid w:val="00C8697B"/>
    <w:rsid w:val="00C95F81"/>
    <w:rsid w:val="00C97388"/>
    <w:rsid w:val="00CA2074"/>
    <w:rsid w:val="00CA7DEB"/>
    <w:rsid w:val="00CB00B6"/>
    <w:rsid w:val="00CB0A7A"/>
    <w:rsid w:val="00CB5456"/>
    <w:rsid w:val="00CC0AD9"/>
    <w:rsid w:val="00CD2B37"/>
    <w:rsid w:val="00CD56AD"/>
    <w:rsid w:val="00CE0E2B"/>
    <w:rsid w:val="00CE32A0"/>
    <w:rsid w:val="00CE4579"/>
    <w:rsid w:val="00CE75A5"/>
    <w:rsid w:val="00CF22A7"/>
    <w:rsid w:val="00CF5A61"/>
    <w:rsid w:val="00CF5C0A"/>
    <w:rsid w:val="00CF7FBF"/>
    <w:rsid w:val="00D02878"/>
    <w:rsid w:val="00D05F24"/>
    <w:rsid w:val="00D06E66"/>
    <w:rsid w:val="00D11801"/>
    <w:rsid w:val="00D127F3"/>
    <w:rsid w:val="00D13217"/>
    <w:rsid w:val="00D16D0D"/>
    <w:rsid w:val="00D16DD7"/>
    <w:rsid w:val="00D229E9"/>
    <w:rsid w:val="00D24833"/>
    <w:rsid w:val="00D24B4D"/>
    <w:rsid w:val="00D26250"/>
    <w:rsid w:val="00D30142"/>
    <w:rsid w:val="00D308A2"/>
    <w:rsid w:val="00D313C6"/>
    <w:rsid w:val="00D3196F"/>
    <w:rsid w:val="00D33C0C"/>
    <w:rsid w:val="00D424A7"/>
    <w:rsid w:val="00D46B71"/>
    <w:rsid w:val="00D47A7B"/>
    <w:rsid w:val="00D52E4F"/>
    <w:rsid w:val="00D546C8"/>
    <w:rsid w:val="00D57001"/>
    <w:rsid w:val="00D6273A"/>
    <w:rsid w:val="00D67BD4"/>
    <w:rsid w:val="00D7129E"/>
    <w:rsid w:val="00D7162E"/>
    <w:rsid w:val="00D8449E"/>
    <w:rsid w:val="00D92FC7"/>
    <w:rsid w:val="00D941BA"/>
    <w:rsid w:val="00DA2B23"/>
    <w:rsid w:val="00DA31AC"/>
    <w:rsid w:val="00DA3B00"/>
    <w:rsid w:val="00DA51D4"/>
    <w:rsid w:val="00DB08E3"/>
    <w:rsid w:val="00DB1EF1"/>
    <w:rsid w:val="00DB760A"/>
    <w:rsid w:val="00DC050A"/>
    <w:rsid w:val="00DC0757"/>
    <w:rsid w:val="00DC1ACB"/>
    <w:rsid w:val="00DC66F9"/>
    <w:rsid w:val="00DD4B24"/>
    <w:rsid w:val="00DD5E1A"/>
    <w:rsid w:val="00DD63F8"/>
    <w:rsid w:val="00DD7399"/>
    <w:rsid w:val="00DE207C"/>
    <w:rsid w:val="00DE586B"/>
    <w:rsid w:val="00DF7908"/>
    <w:rsid w:val="00E02BF2"/>
    <w:rsid w:val="00E02CE8"/>
    <w:rsid w:val="00E036C7"/>
    <w:rsid w:val="00E036D6"/>
    <w:rsid w:val="00E043B4"/>
    <w:rsid w:val="00E079B3"/>
    <w:rsid w:val="00E2067B"/>
    <w:rsid w:val="00E2094F"/>
    <w:rsid w:val="00E20E63"/>
    <w:rsid w:val="00E257E0"/>
    <w:rsid w:val="00E25BEB"/>
    <w:rsid w:val="00E2783C"/>
    <w:rsid w:val="00E3085C"/>
    <w:rsid w:val="00E32963"/>
    <w:rsid w:val="00E32B91"/>
    <w:rsid w:val="00E33562"/>
    <w:rsid w:val="00E3697F"/>
    <w:rsid w:val="00E503FD"/>
    <w:rsid w:val="00E504ED"/>
    <w:rsid w:val="00E50EBD"/>
    <w:rsid w:val="00E51545"/>
    <w:rsid w:val="00E55469"/>
    <w:rsid w:val="00E562A9"/>
    <w:rsid w:val="00E57696"/>
    <w:rsid w:val="00E7291B"/>
    <w:rsid w:val="00E756DA"/>
    <w:rsid w:val="00E75914"/>
    <w:rsid w:val="00E84757"/>
    <w:rsid w:val="00E858A8"/>
    <w:rsid w:val="00E872E2"/>
    <w:rsid w:val="00E87C18"/>
    <w:rsid w:val="00E87EF5"/>
    <w:rsid w:val="00E91198"/>
    <w:rsid w:val="00E920B8"/>
    <w:rsid w:val="00E93663"/>
    <w:rsid w:val="00E94FD2"/>
    <w:rsid w:val="00EA4167"/>
    <w:rsid w:val="00EA7114"/>
    <w:rsid w:val="00EB2B95"/>
    <w:rsid w:val="00EB5F5A"/>
    <w:rsid w:val="00EB6499"/>
    <w:rsid w:val="00EB6961"/>
    <w:rsid w:val="00EC058A"/>
    <w:rsid w:val="00ED194B"/>
    <w:rsid w:val="00ED2439"/>
    <w:rsid w:val="00ED53E2"/>
    <w:rsid w:val="00EE3E41"/>
    <w:rsid w:val="00EE5489"/>
    <w:rsid w:val="00EE6251"/>
    <w:rsid w:val="00EF0CE7"/>
    <w:rsid w:val="00EF120B"/>
    <w:rsid w:val="00EF1265"/>
    <w:rsid w:val="00EF37BF"/>
    <w:rsid w:val="00F007D1"/>
    <w:rsid w:val="00F0140E"/>
    <w:rsid w:val="00F02B9F"/>
    <w:rsid w:val="00F042B9"/>
    <w:rsid w:val="00F05032"/>
    <w:rsid w:val="00F053C6"/>
    <w:rsid w:val="00F07B0A"/>
    <w:rsid w:val="00F2336E"/>
    <w:rsid w:val="00F304C4"/>
    <w:rsid w:val="00F30FFA"/>
    <w:rsid w:val="00F41AC3"/>
    <w:rsid w:val="00F531B7"/>
    <w:rsid w:val="00F536F2"/>
    <w:rsid w:val="00F5516F"/>
    <w:rsid w:val="00F60A45"/>
    <w:rsid w:val="00F61F43"/>
    <w:rsid w:val="00F6249D"/>
    <w:rsid w:val="00F62BFB"/>
    <w:rsid w:val="00F65EE1"/>
    <w:rsid w:val="00F66B5A"/>
    <w:rsid w:val="00F67A8B"/>
    <w:rsid w:val="00F70CA2"/>
    <w:rsid w:val="00F73262"/>
    <w:rsid w:val="00F73635"/>
    <w:rsid w:val="00F80DEA"/>
    <w:rsid w:val="00F8102C"/>
    <w:rsid w:val="00F81734"/>
    <w:rsid w:val="00F82870"/>
    <w:rsid w:val="00F92A24"/>
    <w:rsid w:val="00F94153"/>
    <w:rsid w:val="00F9661D"/>
    <w:rsid w:val="00FA0AD0"/>
    <w:rsid w:val="00FA388D"/>
    <w:rsid w:val="00FA5301"/>
    <w:rsid w:val="00FB4C57"/>
    <w:rsid w:val="00FC57EA"/>
    <w:rsid w:val="00FD498E"/>
    <w:rsid w:val="00FE0F16"/>
    <w:rsid w:val="00FE4A11"/>
    <w:rsid w:val="00FF06F2"/>
    <w:rsid w:val="00FF4065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026E"/>
  </w:style>
  <w:style w:type="character" w:styleId="a8">
    <w:name w:val="Strong"/>
    <w:basedOn w:val="a0"/>
    <w:uiPriority w:val="22"/>
    <w:qFormat/>
    <w:rsid w:val="008769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4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2B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rsid w:val="00C8697B"/>
  </w:style>
  <w:style w:type="table" w:styleId="ab">
    <w:name w:val="Table Grid"/>
    <w:basedOn w:val="a1"/>
    <w:uiPriority w:val="39"/>
    <w:rsid w:val="0083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37727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377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7727"/>
    <w:rPr>
      <w:vertAlign w:val="superscript"/>
    </w:rPr>
  </w:style>
  <w:style w:type="paragraph" w:styleId="af">
    <w:name w:val="List Paragraph"/>
    <w:basedOn w:val="a"/>
    <w:uiPriority w:val="34"/>
    <w:qFormat/>
    <w:rsid w:val="00D3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026E"/>
  </w:style>
  <w:style w:type="character" w:styleId="a8">
    <w:name w:val="Strong"/>
    <w:basedOn w:val="a0"/>
    <w:uiPriority w:val="22"/>
    <w:qFormat/>
    <w:rsid w:val="008769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4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2B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rsid w:val="00C8697B"/>
  </w:style>
  <w:style w:type="table" w:styleId="ab">
    <w:name w:val="Table Grid"/>
    <w:basedOn w:val="a1"/>
    <w:uiPriority w:val="39"/>
    <w:rsid w:val="0083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37727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377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7727"/>
    <w:rPr>
      <w:vertAlign w:val="superscript"/>
    </w:rPr>
  </w:style>
  <w:style w:type="paragraph" w:styleId="af">
    <w:name w:val="List Paragraph"/>
    <w:basedOn w:val="a"/>
    <w:uiPriority w:val="34"/>
    <w:qFormat/>
    <w:rsid w:val="00D3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86;&#1080;%20&#1076;&#1086;&#1082;&#1091;&#1084;&#1077;&#1085;&#1090;&#1099;\&#1055;&#1088;&#1080;&#1082;&#1072;&#1079;&#1099;%20&#1052;&#1058;&#1059;+&#1052;&#1030;&#1059;\2018%20&#1074;&#1085;&#1077;&#1082;&#1083;&#1072;&#1089;&#1089;&#1085;&#1072;&#1103;\3%20&#1087;&#1088;&#1080;&#1082;&#1072;&#1079;&#1072;%20&#1052;&#1030;&#1059;\&#1087;&#1086;&#1088;&#1086;&#1078;&#1085;&#1103;&#1082;\&#1087;&#1086;&#1088;&#1086;&#1078;&#1085;&#1103;&#1082;%20500%20&#1082;&#1084;%20&#1085;&#1072;%2026.06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Середній тариф на перевезення 1-го вагона в порожньому стані на відстань 408 км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0660794249890583E-2"/>
          <c:y val="0.12786017165476432"/>
          <c:w val="0.90388283034586547"/>
          <c:h val="0.78018461791492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 Сст'!$B$20</c:f>
              <c:strCache>
                <c:ptCount val="1"/>
                <c:pt idx="0">
                  <c:v>Тарифи на перевезення вагону у порожньому стані (відстань 408 км),
грн./вагон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99FF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 Сст'!$A$21:$A$25</c:f>
              <c:strCache>
                <c:ptCount val="5"/>
                <c:pt idx="0">
                  <c:v>собівартість</c:v>
                </c:pt>
                <c:pt idx="1">
                  <c:v>при єдиному коефіцієнті</c:v>
                </c:pt>
                <c:pt idx="2">
                  <c:v>з-під низьковартісних вантажів та 1-го класу</c:v>
                </c:pt>
                <c:pt idx="3">
                  <c:v>з-під вантажів 2-го класу</c:v>
                </c:pt>
                <c:pt idx="4">
                  <c:v>з-під вантажів 3-го класу</c:v>
                </c:pt>
              </c:strCache>
            </c:strRef>
          </c:cat>
          <c:val>
            <c:numRef>
              <c:f>'Т Сст'!$B$21:$B$25</c:f>
              <c:numCache>
                <c:formatCode>0.0</c:formatCode>
                <c:ptCount val="5"/>
                <c:pt idx="0">
                  <c:v>2762</c:v>
                </c:pt>
                <c:pt idx="1">
                  <c:v>2315.4</c:v>
                </c:pt>
                <c:pt idx="2">
                  <c:v>1189.4000000000001</c:v>
                </c:pt>
                <c:pt idx="3">
                  <c:v>1804.9</c:v>
                </c:pt>
                <c:pt idx="4">
                  <c:v>2893.7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595968"/>
        <c:axId val="96597504"/>
      </c:barChart>
      <c:catAx>
        <c:axId val="9659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6597504"/>
        <c:crosses val="autoZero"/>
        <c:auto val="1"/>
        <c:lblAlgn val="ctr"/>
        <c:lblOffset val="100"/>
        <c:noMultiLvlLbl val="0"/>
      </c:catAx>
      <c:valAx>
        <c:axId val="965975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грн./вагон</a:t>
                </a:r>
              </a:p>
            </c:rich>
          </c:tx>
          <c:layout>
            <c:manualLayout>
              <c:xMode val="edge"/>
              <c:yMode val="edge"/>
              <c:x val="2.690302330179261E-2"/>
              <c:y val="0.3222811879322662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crossAx val="96595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0.1578</cdr:x>
      <cdr:y>0.27392</cdr:y>
    </cdr:from>
    <cdr:to>
      <cdr:x>0.9152</cdr:x>
      <cdr:y>0.27393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965767" y="1094959"/>
          <a:ext cx="4635386" cy="4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  <a:prstDash val="lg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0.53986</cdr:x>
      <cdr:y>0.293</cdr:y>
    </cdr:from>
    <cdr:to>
      <cdr:x>0.54301</cdr:x>
      <cdr:y>0.60728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 flipV="1">
          <a:off x="5019004" y="1779137"/>
          <a:ext cx="29245" cy="190839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ysClr val="windowText" lastClr="00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0.71386</cdr:x>
      <cdr:y>0.29576</cdr:y>
    </cdr:from>
    <cdr:to>
      <cdr:x>0.71572</cdr:x>
      <cdr:y>0.4549</cdr:y>
    </cdr:to>
    <cdr:cxnSp macro="">
      <cdr:nvCxnSpPr>
        <cdr:cNvPr id="14" name="Прямая со стрелкой 13"/>
        <cdr:cNvCxnSpPr/>
      </cdr:nvCxnSpPr>
      <cdr:spPr>
        <a:xfrm xmlns:a="http://schemas.openxmlformats.org/drawingml/2006/main" flipH="1" flipV="1">
          <a:off x="6636612" y="1795894"/>
          <a:ext cx="17280" cy="96635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ysClr val="windowText" lastClr="00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0.53794</cdr:x>
      <cdr:y>0.38537</cdr:y>
    </cdr:from>
    <cdr:to>
      <cdr:x>0.60692</cdr:x>
      <cdr:y>0.44588</cdr:y>
    </cdr:to>
    <cdr:sp macro="" textlink="">
      <cdr:nvSpPr>
        <cdr:cNvPr id="15" name="TextBox 2"/>
        <cdr:cNvSpPr txBox="1"/>
      </cdr:nvSpPr>
      <cdr:spPr>
        <a:xfrm xmlns:a="http://schemas.openxmlformats.org/drawingml/2006/main">
          <a:off x="5004366" y="2343071"/>
          <a:ext cx="641703" cy="3679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+95%</a:t>
          </a:r>
        </a:p>
      </cdr:txBody>
    </cdr:sp>
  </cdr:relSizeAnchor>
  <cdr:relSizeAnchor xmlns:cdr="http://schemas.openxmlformats.org/drawingml/2006/chartDrawing">
    <cdr:from>
      <cdr:x>0.7455</cdr:x>
      <cdr:y>0.36333</cdr:y>
    </cdr:from>
    <cdr:to>
      <cdr:x>0.82553</cdr:x>
      <cdr:y>0.43766</cdr:y>
    </cdr:to>
    <cdr:sp macro="" textlink="">
      <cdr:nvSpPr>
        <cdr:cNvPr id="17" name="TextBox 2"/>
        <cdr:cNvSpPr txBox="1"/>
      </cdr:nvSpPr>
      <cdr:spPr>
        <a:xfrm xmlns:a="http://schemas.openxmlformats.org/drawingml/2006/main">
          <a:off x="6930802" y="2206215"/>
          <a:ext cx="744023" cy="4513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+28%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FB14-1D24-48AD-97AF-92CBCFCD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11413</Words>
  <Characters>6506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Живага Ірина Василівна</dc:creator>
  <cp:keywords/>
  <dc:description/>
  <cp:lastModifiedBy>Бєлінська Ольга Миколаївна</cp:lastModifiedBy>
  <cp:revision>217</cp:revision>
  <cp:lastPrinted>2018-06-26T17:10:00Z</cp:lastPrinted>
  <dcterms:created xsi:type="dcterms:W3CDTF">2018-06-23T11:36:00Z</dcterms:created>
  <dcterms:modified xsi:type="dcterms:W3CDTF">2018-07-13T09:04:00Z</dcterms:modified>
</cp:coreProperties>
</file>