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24" w:rsidRPr="00827474" w:rsidRDefault="00F65424" w:rsidP="00B10CC3">
      <w:pPr>
        <w:pStyle w:val="rvps6"/>
        <w:shd w:val="clear" w:color="auto" w:fill="FFFFFF"/>
        <w:spacing w:before="0" w:beforeAutospacing="0" w:after="0" w:afterAutospacing="0"/>
        <w:ind w:left="5103" w:right="616"/>
        <w:jc w:val="both"/>
        <w:rPr>
          <w:rStyle w:val="rvts23"/>
          <w:bCs/>
          <w:color w:val="000000" w:themeColor="text1"/>
          <w:sz w:val="28"/>
          <w:szCs w:val="28"/>
          <w:lang w:val="uk-UA"/>
        </w:rPr>
      </w:pPr>
      <w:r w:rsidRPr="00827474">
        <w:rPr>
          <w:rStyle w:val="rvts23"/>
          <w:bCs/>
          <w:color w:val="000000" w:themeColor="text1"/>
          <w:sz w:val="28"/>
          <w:szCs w:val="28"/>
          <w:lang w:val="uk-UA"/>
        </w:rPr>
        <w:t xml:space="preserve">Додаток </w:t>
      </w:r>
      <w:r w:rsidR="00CC163D" w:rsidRPr="00827474">
        <w:rPr>
          <w:rStyle w:val="rvts23"/>
          <w:bCs/>
          <w:color w:val="000000" w:themeColor="text1"/>
          <w:sz w:val="28"/>
          <w:szCs w:val="28"/>
          <w:lang w:val="uk-UA"/>
        </w:rPr>
        <w:t>3</w:t>
      </w:r>
    </w:p>
    <w:p w:rsidR="00CC163D" w:rsidRPr="00827474" w:rsidRDefault="00CC163D" w:rsidP="00CC163D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до Порядку підтвердження професійної компетенції водіїв транспортних засобів для надання послуг з перевезення пасажирів і вантажів </w:t>
      </w:r>
    </w:p>
    <w:p w:rsidR="00CC163D" w:rsidRPr="00827474" w:rsidRDefault="00CC163D" w:rsidP="00CC163D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>(п</w:t>
      </w:r>
      <w:r w:rsidR="00914575">
        <w:rPr>
          <w:rFonts w:eastAsia="Times New Roman" w:cs="Times New Roman"/>
          <w:color w:val="000000" w:themeColor="text1"/>
          <w:szCs w:val="28"/>
          <w:lang w:val="uk-UA" w:eastAsia="ru-RU"/>
        </w:rPr>
        <w:t>ункт 8 розділу ІІ</w:t>
      </w: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>)</w:t>
      </w:r>
    </w:p>
    <w:p w:rsidR="00B3111F" w:rsidRDefault="00B3111F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E34AB1" w:rsidRDefault="00E34AB1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E34AB1" w:rsidRDefault="00E34AB1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27474" w:rsidRDefault="00827474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2F251B" w:rsidRDefault="002F251B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552C06" w:rsidRPr="00A81AE7" w:rsidRDefault="00552C06" w:rsidP="00E14BBB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A81AE7">
        <w:rPr>
          <w:rStyle w:val="rvts23"/>
          <w:b/>
          <w:bCs/>
          <w:color w:val="000000"/>
          <w:sz w:val="28"/>
          <w:szCs w:val="28"/>
          <w:lang w:val="uk-UA"/>
        </w:rPr>
        <w:t>ПЕРЕЛІК</w:t>
      </w:r>
      <w:r w:rsidR="00A81AE7" w:rsidRPr="00A81AE7">
        <w:rPr>
          <w:rStyle w:val="rvts23"/>
          <w:b/>
          <w:bCs/>
          <w:color w:val="000000"/>
          <w:sz w:val="28"/>
          <w:szCs w:val="28"/>
          <w:lang w:val="uk-UA"/>
        </w:rPr>
        <w:t>И</w:t>
      </w:r>
      <w:r w:rsidR="00E14BBB" w:rsidRPr="00A81AE7"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</w:p>
    <w:p w:rsidR="00E14BBB" w:rsidRDefault="00A81AE7" w:rsidP="00E14BBB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A81AE7">
        <w:rPr>
          <w:rStyle w:val="rvts23"/>
          <w:b/>
          <w:bCs/>
          <w:color w:val="000000"/>
          <w:sz w:val="28"/>
          <w:szCs w:val="28"/>
          <w:lang w:val="uk-UA"/>
        </w:rPr>
        <w:t>тем та м</w:t>
      </w:r>
      <w:r w:rsidR="00EC2C5F" w:rsidRPr="00A81AE7">
        <w:rPr>
          <w:rStyle w:val="rvts23"/>
          <w:b/>
          <w:bCs/>
          <w:color w:val="000000"/>
          <w:sz w:val="28"/>
          <w:szCs w:val="28"/>
          <w:lang w:val="uk-UA"/>
        </w:rPr>
        <w:t>одулів</w:t>
      </w:r>
      <w:r w:rsidR="00E14BBB" w:rsidRPr="00A81AE7">
        <w:rPr>
          <w:rStyle w:val="rvts23"/>
          <w:b/>
          <w:bCs/>
          <w:color w:val="000000"/>
          <w:sz w:val="28"/>
          <w:szCs w:val="28"/>
          <w:lang w:val="uk-UA"/>
        </w:rPr>
        <w:t xml:space="preserve"> для проведення початков</w:t>
      </w:r>
      <w:r w:rsidR="003A29A3" w:rsidRPr="00A81AE7">
        <w:rPr>
          <w:rStyle w:val="rvts23"/>
          <w:b/>
          <w:bCs/>
          <w:color w:val="000000"/>
          <w:sz w:val="28"/>
          <w:szCs w:val="28"/>
          <w:lang w:val="uk-UA"/>
        </w:rPr>
        <w:t>их, початково-скорочених та періодичних підготовчих курсів</w:t>
      </w:r>
      <w:r w:rsidR="00E14BBB" w:rsidRPr="00A81AE7">
        <w:rPr>
          <w:b/>
          <w:lang w:val="uk-UA"/>
        </w:rPr>
        <w:t xml:space="preserve"> </w:t>
      </w:r>
      <w:r w:rsidR="00E14BBB" w:rsidRPr="00A81AE7">
        <w:rPr>
          <w:rStyle w:val="rvts23"/>
          <w:b/>
          <w:bCs/>
          <w:color w:val="000000"/>
          <w:sz w:val="28"/>
          <w:szCs w:val="28"/>
          <w:lang w:val="uk-UA"/>
        </w:rPr>
        <w:t>водіїв автотранспортних засобів</w:t>
      </w:r>
    </w:p>
    <w:p w:rsidR="005D239E" w:rsidRPr="009A7618" w:rsidRDefault="005D239E" w:rsidP="00827474">
      <w:pPr>
        <w:pStyle w:val="rvps6"/>
        <w:shd w:val="clear" w:color="auto" w:fill="FFFFFF"/>
        <w:spacing w:before="0" w:beforeAutospacing="0" w:after="0" w:afterAutospacing="0"/>
        <w:ind w:right="618"/>
        <w:rPr>
          <w:rStyle w:val="rvts23"/>
          <w:bCs/>
          <w:color w:val="000000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1277"/>
        <w:gridCol w:w="1276"/>
        <w:gridCol w:w="1279"/>
      </w:tblGrid>
      <w:tr w:rsidR="009A6600" w:rsidRPr="00E34AB1" w:rsidTr="002F251B">
        <w:tc>
          <w:tcPr>
            <w:tcW w:w="4644" w:type="dxa"/>
            <w:vMerge w:val="restart"/>
            <w:vAlign w:val="center"/>
          </w:tcPr>
          <w:p w:rsidR="009A6600" w:rsidRPr="009A7618" w:rsidRDefault="007A6E05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Зміст </w:t>
            </w:r>
            <w:r w:rsidR="00D54C6B">
              <w:rPr>
                <w:rFonts w:eastAsia="Times New Roman" w:cs="Times New Roman"/>
                <w:szCs w:val="28"/>
                <w:lang w:val="uk-UA" w:eastAsia="ru-RU"/>
              </w:rPr>
              <w:t>підготовчого курсу</w:t>
            </w:r>
          </w:p>
        </w:tc>
        <w:tc>
          <w:tcPr>
            <w:tcW w:w="5107" w:type="dxa"/>
            <w:gridSpan w:val="4"/>
            <w:vAlign w:val="center"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Застосування під час </w:t>
            </w:r>
            <w:r w:rsidR="003A29A3">
              <w:rPr>
                <w:rFonts w:eastAsia="Times New Roman" w:cs="Times New Roman"/>
                <w:szCs w:val="28"/>
                <w:lang w:val="uk-UA" w:eastAsia="ru-RU"/>
              </w:rPr>
              <w:t>підготовчих курсів</w:t>
            </w:r>
          </w:p>
        </w:tc>
      </w:tr>
      <w:tr w:rsidR="009A6600" w:rsidRPr="009A7618" w:rsidTr="002F251B">
        <w:tc>
          <w:tcPr>
            <w:tcW w:w="4644" w:type="dxa"/>
            <w:vMerge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A6600" w:rsidRPr="009A7618" w:rsidRDefault="00CC163D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початкових</w:t>
            </w:r>
            <w:r w:rsidR="003A29A3"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початково-скорочених</w:t>
            </w:r>
          </w:p>
        </w:tc>
        <w:tc>
          <w:tcPr>
            <w:tcW w:w="2555" w:type="dxa"/>
            <w:gridSpan w:val="2"/>
            <w:vAlign w:val="center"/>
          </w:tcPr>
          <w:p w:rsidR="009A6600" w:rsidRPr="009A7618" w:rsidRDefault="00D10EE6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п</w:t>
            </w:r>
            <w:r w:rsidR="00CC163D">
              <w:rPr>
                <w:rFonts w:eastAsia="Times New Roman" w:cs="Times New Roman"/>
                <w:szCs w:val="28"/>
                <w:lang w:val="uk-UA" w:eastAsia="ru-RU"/>
              </w:rPr>
              <w:t>еріодичних</w:t>
            </w:r>
          </w:p>
        </w:tc>
      </w:tr>
      <w:tr w:rsidR="009A6600" w:rsidRPr="009A7618" w:rsidTr="002F251B">
        <w:tc>
          <w:tcPr>
            <w:tcW w:w="4644" w:type="dxa"/>
            <w:vMerge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9A6600" w:rsidRPr="009A7618" w:rsidRDefault="00D54C6B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С, СЕ, С1, С1</w:t>
            </w:r>
            <w:r w:rsidR="009A6600" w:rsidRPr="009A7618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1277" w:type="dxa"/>
            <w:vAlign w:val="center"/>
          </w:tcPr>
          <w:p w:rsidR="009A6600" w:rsidRPr="009A7618" w:rsidRDefault="00D54C6B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D, D</w:t>
            </w:r>
            <w:r w:rsidR="009A6600" w:rsidRPr="009A7618">
              <w:rPr>
                <w:sz w:val="24"/>
                <w:szCs w:val="24"/>
                <w:lang w:val="uk-UA"/>
              </w:rPr>
              <w:t>E, D1, D1E</w:t>
            </w:r>
          </w:p>
        </w:tc>
        <w:tc>
          <w:tcPr>
            <w:tcW w:w="1276" w:type="dxa"/>
            <w:vAlign w:val="center"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A7618">
              <w:rPr>
                <w:sz w:val="24"/>
                <w:szCs w:val="24"/>
                <w:lang w:val="uk-UA"/>
              </w:rPr>
              <w:t>С, СЕ, С1, С1Е</w:t>
            </w:r>
          </w:p>
        </w:tc>
        <w:tc>
          <w:tcPr>
            <w:tcW w:w="1279" w:type="dxa"/>
            <w:vAlign w:val="center"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A7618">
              <w:rPr>
                <w:sz w:val="24"/>
                <w:szCs w:val="24"/>
                <w:lang w:val="uk-UA"/>
              </w:rPr>
              <w:t>D, DE, D1, D1E</w:t>
            </w:r>
          </w:p>
        </w:tc>
      </w:tr>
    </w:tbl>
    <w:p w:rsidR="00020209" w:rsidRPr="00020209" w:rsidRDefault="00020209" w:rsidP="00020209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1277"/>
        <w:gridCol w:w="1276"/>
        <w:gridCol w:w="1284"/>
        <w:gridCol w:w="13"/>
      </w:tblGrid>
      <w:tr w:rsidR="00D54C6B" w:rsidRPr="00E85726" w:rsidTr="002F251B">
        <w:trPr>
          <w:gridAfter w:val="1"/>
          <w:wAfter w:w="13" w:type="dxa"/>
          <w:trHeight w:val="20"/>
          <w:tblHeader/>
        </w:trPr>
        <w:tc>
          <w:tcPr>
            <w:tcW w:w="4644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277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1284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</w:tr>
      <w:tr w:rsidR="00D10EE6" w:rsidRPr="00E34AB1" w:rsidTr="002F251B">
        <w:trPr>
          <w:trHeight w:val="20"/>
        </w:trPr>
        <w:tc>
          <w:tcPr>
            <w:tcW w:w="9769" w:type="dxa"/>
            <w:gridSpan w:val="6"/>
          </w:tcPr>
          <w:p w:rsidR="00D10EE6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Модуль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1. Підвищення кваліфікації в раціональному керуванні, заснованому на положеннях про безпеку</w:t>
            </w:r>
          </w:p>
        </w:tc>
      </w:tr>
      <w:tr w:rsidR="007A6E05" w:rsidRPr="00C86660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7A6E05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1.1.</w:t>
            </w:r>
            <w:r w:rsidR="00045689" w:rsidRPr="009A7618">
              <w:rPr>
                <w:lang w:val="uk-UA"/>
              </w:rPr>
              <w:t xml:space="preserve"> </w:t>
            </w:r>
            <w:r w:rsidR="00C86660">
              <w:rPr>
                <w:lang w:val="uk-UA"/>
              </w:rPr>
              <w:t>Загальна х</w:t>
            </w:r>
            <w:r w:rsidR="00A81AE7">
              <w:rPr>
                <w:lang w:val="uk-UA"/>
              </w:rPr>
              <w:t>арактеристик</w:t>
            </w:r>
            <w:r w:rsidR="00C86660">
              <w:rPr>
                <w:lang w:val="uk-UA"/>
              </w:rPr>
              <w:t>а</w:t>
            </w:r>
            <w:r w:rsidR="00A81AE7">
              <w:rPr>
                <w:lang w:val="uk-UA"/>
              </w:rPr>
              <w:t xml:space="preserve"> </w:t>
            </w:r>
            <w:r w:rsidR="00C86660">
              <w:rPr>
                <w:lang w:val="uk-UA"/>
              </w:rPr>
              <w:t>трансмісії: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обертаюч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ий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момент, потужн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ість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>, особливост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споживання двигуна, використання лічильник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о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>бертів, діаграм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трансмісії.</w:t>
            </w:r>
          </w:p>
        </w:tc>
        <w:tc>
          <w:tcPr>
            <w:tcW w:w="1275" w:type="dxa"/>
            <w:vAlign w:val="center"/>
          </w:tcPr>
          <w:p w:rsidR="007A6E05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7A6E05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7A6E05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7A6E05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D10EE6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D10EE6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1.2. 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Загальна характеристика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пристроїв безпеки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транспортного засобу. Способи «к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онтролю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» роботи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ого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зас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обу в умовах економії паливно-мастильних матеріалів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, мініміз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ації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зношування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 комплектуючих. З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апобіга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ння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6660" w:rsidRPr="00C86660">
              <w:rPr>
                <w:color w:val="000000"/>
                <w:shd w:val="clear" w:color="auto" w:fill="FFFFFF"/>
                <w:lang w:val="uk-UA"/>
              </w:rPr>
              <w:t>технічним несправностям</w:t>
            </w:r>
            <w:r w:rsidR="00045689" w:rsidRPr="00C86660">
              <w:rPr>
                <w:rFonts w:eastAsia="Times New Roman" w:cs="Times New Roman"/>
                <w:szCs w:val="28"/>
                <w:lang w:val="uk-UA" w:eastAsia="ru-RU"/>
              </w:rPr>
              <w:t>: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собливості гідравлічного вакуумного сервогальмівного ланцюга, межі використання гальм та уповільнювача, комбіноване використання гальм та 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уповільнювача, співвідношення швидкості та передач, використання інерції транспортного засобу, використання способів зниження швидкості та гальмування на спусках, поведінка у випадку несправності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використання електронних та механічних пристроїв, таких як електронна система контроля стійкості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ESP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, вдосконалена система аварійного гальмування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AEBS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, антиблокувальна система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ABS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, система контролю тягового зусилля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TCS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, система моніторингу транспортних засобів IVMS та інші затверджені для використання пристрої допомоги водіям або пристрої автоматизації</w:t>
            </w:r>
            <w:r w:rsidR="00697E1E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D10EE6" w:rsidRPr="002E3C90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D10EE6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1.3.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Оптимізація споживання палива. В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ажливість прогнозування транспортного потоку, </w:t>
            </w:r>
            <w:r w:rsidR="002E3C90" w:rsidRPr="002E3C90">
              <w:rPr>
                <w:color w:val="000000"/>
                <w:shd w:val="clear" w:color="auto" w:fill="FFFFFF"/>
                <w:lang w:val="uk-UA"/>
              </w:rPr>
              <w:t>безпечн</w:t>
            </w:r>
            <w:r w:rsidR="002E3C90">
              <w:rPr>
                <w:color w:val="000000"/>
                <w:shd w:val="clear" w:color="auto" w:fill="FFFFFF"/>
                <w:lang w:val="uk-UA"/>
              </w:rPr>
              <w:t>ої</w:t>
            </w:r>
            <w:r w:rsidR="002E3C90" w:rsidRPr="002E3C90">
              <w:rPr>
                <w:color w:val="000000"/>
                <w:shd w:val="clear" w:color="auto" w:fill="FFFFFF"/>
                <w:lang w:val="uk-UA"/>
              </w:rPr>
              <w:t xml:space="preserve"> дистанці</w:t>
            </w:r>
            <w:r w:rsidR="002E3C90">
              <w:rPr>
                <w:color w:val="000000"/>
                <w:shd w:val="clear" w:color="auto" w:fill="FFFFFF"/>
                <w:lang w:val="uk-UA"/>
              </w:rPr>
              <w:t>ї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та використання імпульсу транспортного засобу, сталої швидкості, плавного стилю водіння і відповідного тиску в шинах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. З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найомство з інтелектуальними транспортними системами, що покращують ефективність руху та допомагають у плануванні маршруту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руху.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89072D" w:rsidRPr="00A115F2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89072D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1.4.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Оцінка ризиків під час дорожнього руху: пристосування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до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конкретних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дорожніх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 xml:space="preserve"> умов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 та ризиків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оцінка дій інших учасників дорожнього руху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;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планування маршруту руху в конкретних дорожніх умовах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;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забезпечення безпеки перевезення, в тому числі із застосуванням відповідного обладнання.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Засоби та методи боротьби зі стресом під час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перевезення. Методи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розпізнава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ння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та пристосовува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ння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до </w:t>
            </w:r>
            <w:r w:rsidR="003310A4" w:rsidRPr="003310A4">
              <w:rPr>
                <w:color w:val="000000"/>
                <w:shd w:val="clear" w:color="auto" w:fill="FFFFFF"/>
                <w:lang w:val="uk-UA"/>
              </w:rPr>
              <w:t xml:space="preserve">аварійно-небезпечних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ситуацій, в тому числі пов</w:t>
            </w:r>
            <w:r w:rsidR="003310A4" w:rsidRPr="0089072D">
              <w:rPr>
                <w:rFonts w:eastAsia="Times New Roman" w:cs="Times New Roman"/>
                <w:szCs w:val="28"/>
                <w:lang w:val="uk-UA" w:eastAsia="ru-RU"/>
              </w:rPr>
              <w:t>’язаних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з розміром і вагою транспортних засобів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, а також діями інших учасників дорожнього руху (пішоходів,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велосипедист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ів і двоколісних транспортних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засоб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ів). Способи ідентифікації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можлив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аварійно-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небезпечн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ситуаці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й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 xml:space="preserve">способи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їх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інтерпрет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ації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 xml:space="preserve">. Вжиття заходів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уникн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ення аварійно-</w:t>
            </w:r>
            <w:r w:rsidR="00A115F2" w:rsidRPr="0089072D">
              <w:rPr>
                <w:rFonts w:eastAsia="Times New Roman" w:cs="Times New Roman"/>
                <w:szCs w:val="28"/>
                <w:lang w:val="uk-UA" w:eastAsia="ru-RU"/>
              </w:rPr>
              <w:t>небезпечн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их</w:t>
            </w:r>
            <w:r w:rsidR="00A115F2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ситуаці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й або мінімізації їх наслідків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89072D" w:rsidRPr="0089072D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89072D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D0942">
              <w:rPr>
                <w:rFonts w:eastAsia="Times New Roman" w:cs="Times New Roman"/>
                <w:szCs w:val="28"/>
                <w:lang w:val="uk-UA" w:eastAsia="ru-RU"/>
              </w:rPr>
              <w:t>1.5</w:t>
            </w:r>
            <w:r w:rsidR="003A29A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Загальні правила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завантаження транспортних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зас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обів: вимоги безпеки, в тому числі особистої. С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или 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фактори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, що діють 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впливають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на транспортний засіб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під час його руху після завантаження.  Способи «к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>онтролю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» роботи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ого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зас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обу в умовах економії паливно-мастильних матеріалів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>, мініміз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ації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зношування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 комплектуючих під час руху з вантажем.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Т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еоретичні та практичні навички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використ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ання трансмісії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під час руху завантаженого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транспортного засобу і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повздовжнього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профілю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автомобільної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дороги.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Р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озрахунок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загальної маси транспортного засобу з урахуванням максимально допустимих ваги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та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 навантаження на вісь залежно від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типу транспортного засобу, виходячи з вимог економії паливно-мастильних матеріалів та забезпечення безпеки перевезення під час руху автомобільними дорогами. Рух автопоїзду: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розрахунок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загальної маси транспортного засобу з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урахуванням максимально допустимих ваги та навантаження на вісь залежно від типу транспортного засобу, виходячи з вимог економії паливно-мастильних матеріалів та забезпечення безпеки перевезення під час руху автомобільними дорогами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, розподілу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та кріплення вантажу; 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стійкість транспортного засобу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залежно від розподілу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центр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ваги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завантаженого транспортного засобу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, види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та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наслідки перенавантаження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транспортного засобу на вісь.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Пакетування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вантажів: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основні категорії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вантажів, що вимагають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кріплення та фіксації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вантажів залежно від категорії вантажу, способи кріплення та фіксації таких вантаж</w:t>
            </w:r>
            <w:r w:rsidR="00897BFA">
              <w:rPr>
                <w:rFonts w:eastAsia="Times New Roman" w:cs="Times New Roman"/>
                <w:szCs w:val="28"/>
                <w:lang w:val="uk-UA" w:eastAsia="ru-RU"/>
              </w:rPr>
              <w:t>ів; особливості п</w:t>
            </w:r>
            <w:r w:rsidR="00897BFA" w:rsidRPr="00897BFA">
              <w:rPr>
                <w:color w:val="000000"/>
                <w:shd w:val="clear" w:color="auto" w:fill="FFFFFF"/>
                <w:lang w:val="uk-UA"/>
              </w:rPr>
              <w:t>ломбування вантажу, вкритого брезентом</w:t>
            </w:r>
            <w:r w:rsidR="00897BFA">
              <w:rPr>
                <w:color w:val="000000"/>
                <w:shd w:val="clear" w:color="auto" w:fill="FFFFFF"/>
                <w:lang w:val="uk-UA"/>
              </w:rPr>
              <w:t>.</w:t>
            </w:r>
            <w:r w:rsidR="00897BFA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B33D5" w:rsidRPr="009A7618" w:rsidRDefault="005B33D5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9072D" w:rsidRPr="009A7618" w:rsidRDefault="005B33D5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</w:p>
        </w:tc>
      </w:tr>
      <w:tr w:rsidR="00D10EE6" w:rsidRPr="004B1193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D10EE6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EC7471">
              <w:rPr>
                <w:rFonts w:eastAsia="Times New Roman" w:cs="Times New Roman"/>
                <w:szCs w:val="28"/>
                <w:lang w:val="uk-UA" w:eastAsia="ru-RU"/>
              </w:rPr>
              <w:t>1.</w:t>
            </w:r>
            <w:r w:rsidR="005D0942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  <w:r w:rsidR="00045689" w:rsidRPr="00EC7471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>абезпеч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ення </w:t>
            </w:r>
            <w:r w:rsidR="004B1193" w:rsidRPr="00EC7471">
              <w:rPr>
                <w:rFonts w:eastAsia="Times New Roman" w:cs="Times New Roman"/>
                <w:szCs w:val="28"/>
                <w:lang w:val="uk-UA" w:eastAsia="ru-RU"/>
              </w:rPr>
              <w:t>безпек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="004B1193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>комфорт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 пасажирів: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пристосування до 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зустрічного руху транспортних засобів, особливості обгону, рух у попутному напрямку, врахування перешкод, раптове гальмування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користування об’єктами</w:t>
            </w:r>
            <w:r w:rsidR="00B96FEB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дорожньої 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>інфраструктур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 особливості </w:t>
            </w:r>
            <w:r w:rsidR="008603D0" w:rsidRPr="008603D0">
              <w:rPr>
                <w:bCs/>
                <w:color w:val="000000"/>
                <w:shd w:val="clear" w:color="auto" w:fill="FFFFFF"/>
                <w:lang w:val="uk-UA"/>
              </w:rPr>
              <w:t xml:space="preserve">руху, </w:t>
            </w:r>
            <w:r w:rsidR="004B1193" w:rsidRPr="008603D0">
              <w:rPr>
                <w:bCs/>
                <w:color w:val="000000"/>
                <w:shd w:val="clear" w:color="auto" w:fill="FFFFFF"/>
                <w:lang w:val="uk-UA"/>
              </w:rPr>
              <w:t>з</w:t>
            </w:r>
            <w:r w:rsidR="008603D0">
              <w:rPr>
                <w:bCs/>
                <w:color w:val="000000"/>
                <w:shd w:val="clear" w:color="auto" w:fill="FFFFFF"/>
                <w:lang w:val="uk-UA"/>
              </w:rPr>
              <w:t>у</w:t>
            </w:r>
            <w:r w:rsidR="004B1193" w:rsidRPr="008603D0">
              <w:rPr>
                <w:bCs/>
                <w:color w:val="000000"/>
                <w:shd w:val="clear" w:color="auto" w:fill="FFFFFF"/>
                <w:lang w:val="uk-UA"/>
              </w:rPr>
              <w:t>пинки, стоянки та паркування</w:t>
            </w:r>
            <w:r w:rsidR="004B119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>у населених пунктах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>(смуга для руху маршрутних транспортних засобів). Подолання психологічних та емоційних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 xml:space="preserve">викликів в умовах забезпечення безпечного перевезення пасажирів. Комунікації з пасажирами: загальні засади. Особливості взаємодії з </w:t>
            </w:r>
            <w:r w:rsidR="008603D0" w:rsidRPr="008603D0">
              <w:rPr>
                <w:color w:val="000000"/>
                <w:shd w:val="clear" w:color="auto" w:fill="FFFFFF"/>
                <w:lang w:val="uk-UA"/>
              </w:rPr>
              <w:t>діт</w:t>
            </w:r>
            <w:r w:rsidR="008603D0">
              <w:rPr>
                <w:color w:val="000000"/>
                <w:shd w:val="clear" w:color="auto" w:fill="FFFFFF"/>
                <w:lang w:val="uk-UA"/>
              </w:rPr>
              <w:t>ьми</w:t>
            </w:r>
            <w:r w:rsidR="008603D0" w:rsidRPr="008603D0">
              <w:rPr>
                <w:color w:val="000000"/>
                <w:shd w:val="clear" w:color="auto" w:fill="FFFFFF"/>
                <w:lang w:val="uk-UA"/>
              </w:rPr>
              <w:t>, люд</w:t>
            </w:r>
            <w:r w:rsidR="008603D0">
              <w:rPr>
                <w:color w:val="000000"/>
                <w:shd w:val="clear" w:color="auto" w:fill="FFFFFF"/>
                <w:lang w:val="uk-UA"/>
              </w:rPr>
              <w:t>ьми</w:t>
            </w:r>
            <w:r w:rsidR="008603D0" w:rsidRPr="008603D0">
              <w:rPr>
                <w:color w:val="000000"/>
                <w:shd w:val="clear" w:color="auto" w:fill="FFFFFF"/>
                <w:lang w:val="uk-UA"/>
              </w:rPr>
              <w:t xml:space="preserve"> похилого віку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 xml:space="preserve"> та особами з інвалідністю.</w:t>
            </w:r>
          </w:p>
        </w:tc>
        <w:tc>
          <w:tcPr>
            <w:tcW w:w="1275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84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370B3" w:rsidRPr="009A7618" w:rsidTr="002F251B">
        <w:trPr>
          <w:trHeight w:val="20"/>
        </w:trPr>
        <w:tc>
          <w:tcPr>
            <w:tcW w:w="9769" w:type="dxa"/>
            <w:gridSpan w:val="6"/>
            <w:vAlign w:val="center"/>
          </w:tcPr>
          <w:p w:rsidR="00045689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 w:firstLine="567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Модуль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 Застосування положень</w:t>
            </w:r>
            <w:r w:rsidR="00AD61F5">
              <w:rPr>
                <w:rFonts w:eastAsia="Times New Roman" w:cs="Times New Roman"/>
                <w:szCs w:val="28"/>
                <w:lang w:val="uk-UA" w:eastAsia="ru-RU"/>
              </w:rPr>
              <w:t xml:space="preserve"> законодавства</w:t>
            </w:r>
          </w:p>
        </w:tc>
      </w:tr>
      <w:tr w:rsidR="005370B3" w:rsidRPr="009923E7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370B3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2.1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663DB1">
              <w:rPr>
                <w:rFonts w:eastAsia="Times New Roman" w:cs="Times New Roman"/>
                <w:szCs w:val="28"/>
                <w:lang w:val="uk-UA" w:eastAsia="ru-RU"/>
              </w:rPr>
              <w:t>Загальні засади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 xml:space="preserve"> дотримання режиму праці та відпочинку водія. М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аксимальн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ий період керування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 xml:space="preserve">транспортним засобом. Теоретичні та практичні засади користування аналоговими та/або цифровими тахографами. Санкції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за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втручання в роботу тахографа. Виконання вимог органів державного контролю. П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рава і обов’язки водіїв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П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ідвищення кваліфікації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 xml:space="preserve"> водіїв. Періодичне навчання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водіїв та способи удосконалення професійних навичок.</w:t>
            </w:r>
          </w:p>
        </w:tc>
        <w:tc>
          <w:tcPr>
            <w:tcW w:w="1275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370B3" w:rsidRPr="009D620F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FD76F4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2.2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>Правові основи перевезення вантажів. Особливості провадження господарської діяльності з перевезення вантажів. З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обов’язання за типовими 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 xml:space="preserve">(примірними)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договорами перевезення 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>вантажів. Товарно-транспортні накладні та інші супровідні документа на вантаж: основні вимоги до складання,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міжнародн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FD76F4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товарн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FD76F4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накладн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а,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br/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>е-ТТН.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 Особливості документального оформлення автомобільних перевезень у міжнародному сполученні: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міжнародні дозволи на перевезення,</w:t>
            </w:r>
            <w:r w:rsidR="005B33D5" w:rsidRPr="00F12993">
              <w:rPr>
                <w:lang w:val="ru-RU"/>
              </w:rPr>
              <w:t xml:space="preserve"> 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заборони на використання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автомобільних 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доріг,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особливості перевезення вантажів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платними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>автомобільними дорогами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, зобов</w:t>
            </w:r>
            <w:r w:rsidR="00FD76F4" w:rsidRPr="005B33D5">
              <w:rPr>
                <w:rFonts w:eastAsia="Times New Roman" w:cs="Times New Roman"/>
                <w:szCs w:val="28"/>
                <w:lang w:val="uk-UA" w:eastAsia="ru-RU"/>
              </w:rPr>
              <w:t>’язання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за договорами на перевезення вантажів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за</w:t>
            </w:r>
            <w:r w:rsidR="00EC747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EC7471" w:rsidRPr="00FF5ABF">
              <w:rPr>
                <w:rFonts w:cs="Times New Roman"/>
                <w:bCs/>
                <w:color w:val="292B2C"/>
                <w:szCs w:val="28"/>
                <w:lang w:val="uk-UA"/>
              </w:rPr>
              <w:t>Митно</w:t>
            </w:r>
            <w:r w:rsidR="00EC7471" w:rsidRPr="00F12993">
              <w:rPr>
                <w:rFonts w:cs="Times New Roman"/>
                <w:bCs/>
                <w:color w:val="292B2C"/>
                <w:szCs w:val="28"/>
                <w:lang w:val="uk-UA"/>
              </w:rPr>
              <w:t>ю</w:t>
            </w:r>
            <w:r w:rsidR="00EC7471" w:rsidRPr="00FF5ABF">
              <w:rPr>
                <w:rFonts w:cs="Times New Roman"/>
                <w:bCs/>
                <w:color w:val="292B2C"/>
                <w:szCs w:val="28"/>
                <w:lang w:val="uk-UA"/>
              </w:rPr>
              <w:t xml:space="preserve"> конвенцією</w:t>
            </w:r>
            <w:r w:rsidR="00EC7471" w:rsidRPr="00F12993">
              <w:rPr>
                <w:rFonts w:cs="Times New Roman"/>
                <w:bCs/>
                <w:color w:val="292B2C"/>
                <w:szCs w:val="28"/>
                <w:lang w:val="uk-UA"/>
              </w:rPr>
              <w:t xml:space="preserve"> про міжнародне перевезення вантажів із </w:t>
            </w:r>
            <w:r w:rsidR="00EC7471" w:rsidRPr="00F12993">
              <w:rPr>
                <w:rFonts w:cs="Times New Roman"/>
                <w:bCs/>
                <w:color w:val="292B2C"/>
                <w:szCs w:val="28"/>
                <w:lang w:val="uk-UA"/>
              </w:rPr>
              <w:br/>
              <w:t>застосуванням книжки МДП (Конвенція МДП) 1975 року</w:t>
            </w:r>
            <w:r w:rsidR="00FF5ABF" w:rsidRPr="00FF5ABF">
              <w:rPr>
                <w:rFonts w:cs="Times New Roman"/>
                <w:bCs/>
                <w:color w:val="292B2C"/>
                <w:szCs w:val="28"/>
                <w:lang w:val="uk-UA"/>
              </w:rPr>
              <w:t>,</w:t>
            </w:r>
            <w:r w:rsidR="005370B3" w:rsidRPr="00FF5ABF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F5ABF" w:rsidRPr="00FF5ABF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К</w:t>
            </w:r>
            <w:r w:rsidR="005370B3" w:rsidRPr="00FF5ABF">
              <w:rPr>
                <w:rFonts w:eastAsia="Times New Roman" w:cs="Times New Roman"/>
                <w:szCs w:val="28"/>
                <w:lang w:val="uk-UA" w:eastAsia="ru-RU"/>
              </w:rPr>
              <w:t>онвенцією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про договір міжнародного перевезення товарів автомобільним транспортом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, правила </w:t>
            </w:r>
          </w:p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перетин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кордон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у.</w:t>
            </w:r>
          </w:p>
        </w:tc>
        <w:tc>
          <w:tcPr>
            <w:tcW w:w="1275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</w:tr>
      <w:tr w:rsidR="005370B3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370B3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2.3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Правові основи перевезення пасажирів. Особливості перевезення організованих груп дітей та інших груп пасажирів.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Забезпечення дотримання вимог безпеки у транспортних засобах. Особливості перевезення стоячих пасажирів. </w:t>
            </w:r>
          </w:p>
        </w:tc>
        <w:tc>
          <w:tcPr>
            <w:tcW w:w="1275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84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370B3" w:rsidRPr="00E34AB1" w:rsidTr="002F251B">
        <w:trPr>
          <w:trHeight w:val="20"/>
        </w:trPr>
        <w:tc>
          <w:tcPr>
            <w:tcW w:w="9769" w:type="dxa"/>
            <w:gridSpan w:val="6"/>
            <w:vAlign w:val="center"/>
          </w:tcPr>
          <w:p w:rsidR="005370B3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 w:firstLine="567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Модуль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3. 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Громадське з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доров’я, безпека на дорозі і безпека навколишнього середовища, обслуговування, матеріально-технічне забезпечення</w:t>
            </w:r>
          </w:p>
        </w:tc>
      </w:tr>
      <w:tr w:rsidR="005370B3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370B3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3.1. 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С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>татистика аварій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ності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на 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автомобільних дорогах за участю автомобільного транспорту загального користування: методи зниження аварійності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>, наслідки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 xml:space="preserve"> та вплив на громадське здоров’я.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 xml:space="preserve">Виробничий травматизм. </w:t>
            </w:r>
          </w:p>
        </w:tc>
        <w:tc>
          <w:tcPr>
            <w:tcW w:w="1275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3.2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Запобігання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184D">
              <w:rPr>
                <w:rFonts w:eastAsia="Times New Roman" w:cs="Times New Roman"/>
                <w:szCs w:val="28"/>
                <w:lang w:val="uk-UA" w:eastAsia="ru-RU"/>
              </w:rPr>
              <w:t>злочинам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на транспорті</w:t>
            </w:r>
            <w:r w:rsidR="00FD7F29">
              <w:rPr>
                <w:rFonts w:eastAsia="Times New Roman" w:cs="Times New Roman"/>
                <w:szCs w:val="28"/>
                <w:lang w:val="uk-UA" w:eastAsia="ru-RU"/>
              </w:rPr>
              <w:t>. Н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елегальн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імміграці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я</w:t>
            </w:r>
            <w:r w:rsidR="00F972E4">
              <w:rPr>
                <w:rFonts w:eastAsia="Times New Roman" w:cs="Times New Roman"/>
                <w:szCs w:val="28"/>
                <w:lang w:val="uk-UA" w:eastAsia="ru-RU"/>
              </w:rPr>
              <w:t xml:space="preserve">: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загальні засади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участь водіїв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, запобіжні заходи,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 xml:space="preserve"> формування переліку нормативно-правових актів щодо відповідальності водіїв щодо сприяння нелегальній міграції. 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ідповідальність водіїв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 xml:space="preserve"> за порушення законодавства про автомобільний транспорт: загальні засади, формування пам’ятки про відповідальність.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3.3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184D">
              <w:rPr>
                <w:rFonts w:eastAsia="Times New Roman" w:cs="Times New Roman"/>
                <w:szCs w:val="28"/>
                <w:lang w:val="uk-UA" w:eastAsia="ru-RU"/>
              </w:rPr>
              <w:t>Особиста безпека: принципи ергономіки,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184D">
              <w:rPr>
                <w:rFonts w:eastAsia="Times New Roman" w:cs="Times New Roman"/>
                <w:szCs w:val="28"/>
                <w:lang w:val="uk-UA" w:eastAsia="ru-RU"/>
              </w:rPr>
              <w:t>профілактика професійних захворювань, основи</w:t>
            </w:r>
            <w:r w:rsidR="00D94025">
              <w:rPr>
                <w:rFonts w:eastAsia="Times New Roman" w:cs="Times New Roman"/>
                <w:szCs w:val="28"/>
                <w:lang w:val="uk-UA" w:eastAsia="ru-RU"/>
              </w:rPr>
              <w:t xml:space="preserve"> самозахисту, заходи (способи) психологічного розвантаження.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BB7161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 w:firstLine="22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3.4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 xml:space="preserve">Здорові люди — здорова країна. Загальні засади збереження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здоров’я людини: фізичний та розумовий розвиток, здорове харчування,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вплив алкоголю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>наркотичних засобів та прекурсорів на здоров’я людини, раціональне харчування, особиста гігієна та гігієна праці. Стрес: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симптоми, причини, вплив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>на професійну діяльність.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B7161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Фундаментальне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значення базового циклу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 xml:space="preserve"> «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роб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>ота —відпочинок» у житті людини.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5A0A10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3.5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5A0A10">
              <w:rPr>
                <w:rFonts w:eastAsia="Times New Roman" w:cs="Times New Roman"/>
                <w:szCs w:val="28"/>
                <w:lang w:val="uk-UA" w:eastAsia="ru-RU"/>
              </w:rPr>
              <w:t xml:space="preserve">Заходи забезпечення збереження громадського здоров’я: </w:t>
            </w:r>
          </w:p>
          <w:p w:rsidR="00E821CA" w:rsidRPr="009A7618" w:rsidRDefault="005A0A10" w:rsidP="0011000F">
            <w:pPr>
              <w:widowControl w:val="0"/>
              <w:autoSpaceDE w:val="0"/>
              <w:autoSpaceDN w:val="0"/>
              <w:adjustRightInd w:val="0"/>
              <w:ind w:right="49" w:firstLine="22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поведінка під час виникнення аварійно-небезпечних ситуацій, пожеж, стихійних лих, епідемій,  введення надзвичайного стану, переведення транспортної системи до функціонування в особливий період, тощо. Теоретичні та практичні навички евакуац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ії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пасажирів.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забезпечення безпеки пасаж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ирів, реакція у випадку агресії.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сновні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аспекти складання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міжнародного страхового сертифікату «Зелена картка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3.6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16BF0">
              <w:rPr>
                <w:rFonts w:eastAsia="Times New Roman" w:cs="Times New Roman"/>
                <w:szCs w:val="28"/>
                <w:lang w:val="uk-UA" w:eastAsia="ru-RU"/>
              </w:rPr>
              <w:t xml:space="preserve">Роль водія під час формування уявлення про автомобільного перевізника. Практичні навички спілкування. Стандарти автотранспортного обслуговування. Способи уникнення конфліктних ситуацій. Наслідки неврегульованого конфлікту. 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2D3C5E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3.7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07519">
              <w:rPr>
                <w:rFonts w:eastAsia="Times New Roman" w:cs="Times New Roman"/>
                <w:szCs w:val="28"/>
                <w:lang w:val="uk-UA" w:eastAsia="ru-RU"/>
              </w:rPr>
              <w:t xml:space="preserve">Основні засади функціонування ринку </w:t>
            </w:r>
            <w:r w:rsidR="002D3C5E">
              <w:rPr>
                <w:rFonts w:eastAsia="Times New Roman" w:cs="Times New Roman"/>
                <w:szCs w:val="28"/>
                <w:lang w:val="uk-UA" w:eastAsia="ru-RU"/>
              </w:rPr>
              <w:t xml:space="preserve">вантажних </w:t>
            </w:r>
            <w:r w:rsidR="00807519">
              <w:rPr>
                <w:rFonts w:eastAsia="Times New Roman" w:cs="Times New Roman"/>
                <w:szCs w:val="28"/>
                <w:lang w:val="uk-UA" w:eastAsia="ru-RU"/>
              </w:rPr>
              <w:t xml:space="preserve">автотранспортних послуг: економічний аспект. Способи формування прибутку автомобільного перевізника в умовах конкуренції. Логістика у </w:t>
            </w:r>
            <w:r w:rsidR="00807519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процесі перевезень. Основні засади спеціалізації автомобільних перевізників.</w:t>
            </w:r>
            <w:r w:rsidR="002D3C5E">
              <w:rPr>
                <w:rFonts w:eastAsia="Times New Roman" w:cs="Times New Roman"/>
                <w:szCs w:val="28"/>
                <w:lang w:val="uk-UA" w:eastAsia="ru-RU"/>
              </w:rPr>
              <w:t xml:space="preserve"> Співвідношення пасажирських та вантажних перевезень.</w:t>
            </w:r>
          </w:p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3.8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D3C5E">
              <w:rPr>
                <w:rFonts w:eastAsia="Times New Roman" w:cs="Times New Roman"/>
                <w:szCs w:val="28"/>
                <w:lang w:val="uk-UA" w:eastAsia="ru-RU"/>
              </w:rPr>
              <w:t>Основні засади функціонування ринку пасажирських автотранспортних послуг: економічний аспект. Способи формування прибутку автомобільного перевізника в умовах конкуренції. Основні засади спеціалізації автомобільних перевізників. Співвідношення пасажирських та вантажних перевезень.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C2C5F" w:rsidRPr="009A7618" w:rsidTr="002F251B">
        <w:trPr>
          <w:trHeight w:val="20"/>
        </w:trPr>
        <w:tc>
          <w:tcPr>
            <w:tcW w:w="9769" w:type="dxa"/>
            <w:gridSpan w:val="6"/>
          </w:tcPr>
          <w:p w:rsidR="00EC2C5F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Модуль 4</w:t>
            </w:r>
            <w:r w:rsidR="008E2D54" w:rsidRPr="009A7618">
              <w:rPr>
                <w:szCs w:val="28"/>
                <w:lang w:val="uk-UA"/>
              </w:rPr>
              <w:t>.</w:t>
            </w:r>
            <w:r w:rsidRPr="009A7618">
              <w:rPr>
                <w:szCs w:val="28"/>
                <w:lang w:val="uk-UA"/>
              </w:rPr>
              <w:t xml:space="preserve"> </w:t>
            </w:r>
            <w:r w:rsidRPr="009A7618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Домедична допомога </w:t>
            </w:r>
          </w:p>
        </w:tc>
      </w:tr>
      <w:tr w:rsidR="00EC2C5F" w:rsidRPr="00B45CA6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C2C5F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B43CF" w:rsidRPr="009A7618">
              <w:rPr>
                <w:rFonts w:eastAsia="Times New Roman" w:cs="Times New Roman"/>
                <w:szCs w:val="28"/>
                <w:lang w:val="uk-UA" w:eastAsia="ru-RU"/>
              </w:rPr>
              <w:t>4.1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B43CF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45CA6">
              <w:rPr>
                <w:rFonts w:eastAsia="Times New Roman" w:cs="Times New Roman"/>
                <w:szCs w:val="28"/>
                <w:lang w:val="uk-UA" w:eastAsia="ru-RU"/>
              </w:rPr>
              <w:t>Н</w:t>
            </w:r>
            <w:r w:rsidR="007854B7" w:rsidRPr="009A7618">
              <w:rPr>
                <w:color w:val="000000"/>
                <w:shd w:val="clear" w:color="auto" w:fill="FFFFFF"/>
                <w:lang w:val="uk-UA"/>
              </w:rPr>
              <w:t>евідкладний стан людини</w:t>
            </w:r>
            <w:r w:rsidR="00B45CA6">
              <w:rPr>
                <w:color w:val="000000"/>
                <w:shd w:val="clear" w:color="auto" w:fill="FFFFFF"/>
                <w:lang w:val="uk-UA"/>
              </w:rPr>
              <w:t>: основні аспекти. В</w:t>
            </w:r>
            <w:r w:rsidR="007854B7" w:rsidRPr="009A7618">
              <w:rPr>
                <w:color w:val="000000"/>
                <w:shd w:val="clear" w:color="auto" w:fill="FFFFFF"/>
                <w:lang w:val="uk-UA"/>
              </w:rPr>
              <w:t>изначення ознак зупинки серця, порушення дихання, правила дотримання власної безпеки, виклику бригади швидкої медичної допомоги та рятувальників, порядок надання домедичної допомоги при зупинці серця та порушенні дихання</w:t>
            </w:r>
          </w:p>
        </w:tc>
        <w:tc>
          <w:tcPr>
            <w:tcW w:w="1275" w:type="dxa"/>
            <w:vAlign w:val="center"/>
          </w:tcPr>
          <w:p w:rsidR="00EC2C5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C2C5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C2C5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C2C5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B43CF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B43CF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B43CF" w:rsidRPr="009A7618">
              <w:rPr>
                <w:rFonts w:eastAsia="Times New Roman" w:cs="Times New Roman"/>
                <w:szCs w:val="28"/>
                <w:lang w:val="uk-UA" w:eastAsia="ru-RU"/>
              </w:rPr>
              <w:t>4.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7854B7" w:rsidRPr="009A7618">
              <w:rPr>
                <w:lang w:val="uk-UA"/>
              </w:rPr>
              <w:t xml:space="preserve"> 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своєння і закріплення знань, отриманих на теоретичному курсі, оволодіння практичними навичками проведення серцево-легеневої реанімації дорослим, відновлення прохідності дихальних шляхів, вміння користуватися засобами, що входять до аптечок</w:t>
            </w:r>
          </w:p>
        </w:tc>
        <w:tc>
          <w:tcPr>
            <w:tcW w:w="1275" w:type="dxa"/>
            <w:vAlign w:val="center"/>
          </w:tcPr>
          <w:p w:rsidR="005B43C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5B43C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B43C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B43C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7854B7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7854B7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4.3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>Р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озгляд базових понять про будову тіла людини і роботу органів та систем, а також навчання основних принципів і навичок, необхідних для оцінки стану постраждалого і надання 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домедичної допомоги в екстремальних умовах до прибуття бригади екстреної медичної допомоги</w:t>
            </w:r>
          </w:p>
        </w:tc>
        <w:tc>
          <w:tcPr>
            <w:tcW w:w="1275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</w:tr>
      <w:tr w:rsidR="007854B7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7854B7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4.4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асвоєння знань і практичних навичок, необхідних для надання вчасної та якісної домедичної допомоги особам, що перебувають у невідкладному стані, до приїзду бригади </w:t>
            </w:r>
            <w:r w:rsidR="009C3FE1">
              <w:rPr>
                <w:rFonts w:eastAsia="Times New Roman" w:cs="Times New Roman"/>
                <w:szCs w:val="28"/>
                <w:lang w:val="uk-UA" w:eastAsia="ru-RU"/>
              </w:rPr>
              <w:t>екстреної медичної допомоги.</w:t>
            </w:r>
          </w:p>
        </w:tc>
        <w:tc>
          <w:tcPr>
            <w:tcW w:w="1275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</w:tr>
    </w:tbl>
    <w:p w:rsidR="00852E8B" w:rsidRPr="009A7618" w:rsidRDefault="00852E8B" w:rsidP="000D015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32"/>
          <w:szCs w:val="32"/>
          <w:lang w:val="uk-UA"/>
        </w:rPr>
      </w:pPr>
    </w:p>
    <w:sectPr w:rsidR="00852E8B" w:rsidRPr="009A7618" w:rsidSect="002F251B">
      <w:headerReference w:type="default" r:id="rId8"/>
      <w:pgSz w:w="11906" w:h="16838" w:code="9"/>
      <w:pgMar w:top="1134" w:right="567" w:bottom="1134" w:left="1701" w:header="73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40" w:rsidRDefault="00590D40" w:rsidP="00852E8B">
      <w:pPr>
        <w:spacing w:after="0" w:line="240" w:lineRule="auto"/>
      </w:pPr>
      <w:r>
        <w:separator/>
      </w:r>
    </w:p>
  </w:endnote>
  <w:endnote w:type="continuationSeparator" w:id="0">
    <w:p w:rsidR="00590D40" w:rsidRDefault="00590D40" w:rsidP="008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40" w:rsidRDefault="00590D40" w:rsidP="00852E8B">
      <w:pPr>
        <w:spacing w:after="0" w:line="240" w:lineRule="auto"/>
      </w:pPr>
      <w:r>
        <w:separator/>
      </w:r>
    </w:p>
  </w:footnote>
  <w:footnote w:type="continuationSeparator" w:id="0">
    <w:p w:rsidR="00590D40" w:rsidRDefault="00590D40" w:rsidP="0085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7941"/>
      <w:docPartObj>
        <w:docPartGallery w:val="Page Numbers (Top of Page)"/>
        <w:docPartUnique/>
      </w:docPartObj>
    </w:sdtPr>
    <w:sdtEndPr/>
    <w:sdtContent>
      <w:p w:rsidR="00020209" w:rsidRDefault="005A0A10" w:rsidP="003E23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75" w:rsidRPr="00914575">
          <w:rPr>
            <w:noProof/>
            <w:lang w:val="ru-RU"/>
          </w:rPr>
          <w:t>2</w:t>
        </w:r>
        <w:r>
          <w:fldChar w:fldCharType="end"/>
        </w:r>
        <w:r>
          <w:tab/>
        </w:r>
      </w:p>
      <w:p w:rsidR="0011000F" w:rsidRDefault="005A0A10" w:rsidP="00020209">
        <w:pPr>
          <w:pStyle w:val="a8"/>
          <w:jc w:val="right"/>
          <w:rPr>
            <w:lang w:val="uk-UA"/>
          </w:rPr>
        </w:pPr>
        <w:r>
          <w:rPr>
            <w:lang w:val="uk-UA"/>
          </w:rPr>
          <w:t>Продовження додатка 3</w:t>
        </w:r>
      </w:p>
      <w:p w:rsidR="005A0A10" w:rsidRDefault="00590D40" w:rsidP="00020209">
        <w:pPr>
          <w:pStyle w:val="a8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6BE07"/>
    <w:multiLevelType w:val="hybridMultilevel"/>
    <w:tmpl w:val="74573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7E0B"/>
    <w:multiLevelType w:val="hybridMultilevel"/>
    <w:tmpl w:val="205121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8702B6"/>
    <w:multiLevelType w:val="hybridMultilevel"/>
    <w:tmpl w:val="5EBDA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5B6AB1"/>
    <w:multiLevelType w:val="hybridMultilevel"/>
    <w:tmpl w:val="81A8F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E495BB"/>
    <w:multiLevelType w:val="hybridMultilevel"/>
    <w:tmpl w:val="0D11B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2BCFE0"/>
    <w:multiLevelType w:val="hybridMultilevel"/>
    <w:tmpl w:val="0CD18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A315EB"/>
    <w:multiLevelType w:val="hybridMultilevel"/>
    <w:tmpl w:val="73BB4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A603B8"/>
    <w:multiLevelType w:val="hybridMultilevel"/>
    <w:tmpl w:val="081C37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CAF962"/>
    <w:multiLevelType w:val="hybridMultilevel"/>
    <w:tmpl w:val="4D5B6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CF1BC94"/>
    <w:multiLevelType w:val="hybridMultilevel"/>
    <w:tmpl w:val="FC4F92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DE2919"/>
    <w:multiLevelType w:val="hybridMultilevel"/>
    <w:tmpl w:val="3599D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ACEFC7"/>
    <w:multiLevelType w:val="hybridMultilevel"/>
    <w:tmpl w:val="79008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6810FC"/>
    <w:multiLevelType w:val="hybridMultilevel"/>
    <w:tmpl w:val="24842BC2"/>
    <w:lvl w:ilvl="0" w:tplc="0540E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AFD901"/>
    <w:multiLevelType w:val="hybridMultilevel"/>
    <w:tmpl w:val="4344E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3D9B16"/>
    <w:multiLevelType w:val="hybridMultilevel"/>
    <w:tmpl w:val="69C6C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CD7550"/>
    <w:multiLevelType w:val="hybridMultilevel"/>
    <w:tmpl w:val="B280B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E53363D"/>
    <w:multiLevelType w:val="hybridMultilevel"/>
    <w:tmpl w:val="29C3A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FA8FCE"/>
    <w:multiLevelType w:val="hybridMultilevel"/>
    <w:tmpl w:val="FB704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4328F2"/>
    <w:multiLevelType w:val="hybridMultilevel"/>
    <w:tmpl w:val="495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86"/>
    <w:rsid w:val="000148BA"/>
    <w:rsid w:val="00020209"/>
    <w:rsid w:val="000363E0"/>
    <w:rsid w:val="00037B18"/>
    <w:rsid w:val="00045689"/>
    <w:rsid w:val="00064A74"/>
    <w:rsid w:val="00074441"/>
    <w:rsid w:val="00081494"/>
    <w:rsid w:val="000D0153"/>
    <w:rsid w:val="000D1181"/>
    <w:rsid w:val="00107B70"/>
    <w:rsid w:val="0011000F"/>
    <w:rsid w:val="001163E2"/>
    <w:rsid w:val="00151A1F"/>
    <w:rsid w:val="001D03B2"/>
    <w:rsid w:val="001F1C21"/>
    <w:rsid w:val="00207EA6"/>
    <w:rsid w:val="00221EBC"/>
    <w:rsid w:val="00295606"/>
    <w:rsid w:val="002A7D08"/>
    <w:rsid w:val="002C5E32"/>
    <w:rsid w:val="002D3C5E"/>
    <w:rsid w:val="002E3C90"/>
    <w:rsid w:val="002F06D8"/>
    <w:rsid w:val="002F251B"/>
    <w:rsid w:val="00301F33"/>
    <w:rsid w:val="003310A4"/>
    <w:rsid w:val="00340418"/>
    <w:rsid w:val="003A29A3"/>
    <w:rsid w:val="003D4C10"/>
    <w:rsid w:val="003D6286"/>
    <w:rsid w:val="003E234D"/>
    <w:rsid w:val="003E3410"/>
    <w:rsid w:val="003E7560"/>
    <w:rsid w:val="004B1193"/>
    <w:rsid w:val="004B7588"/>
    <w:rsid w:val="004C0E02"/>
    <w:rsid w:val="004D7CF0"/>
    <w:rsid w:val="004E1D89"/>
    <w:rsid w:val="0050500D"/>
    <w:rsid w:val="005370B3"/>
    <w:rsid w:val="00552C06"/>
    <w:rsid w:val="00590D40"/>
    <w:rsid w:val="005A0A10"/>
    <w:rsid w:val="005B33D5"/>
    <w:rsid w:val="005B43CF"/>
    <w:rsid w:val="005C1FF5"/>
    <w:rsid w:val="005D0942"/>
    <w:rsid w:val="005D239E"/>
    <w:rsid w:val="00663DB1"/>
    <w:rsid w:val="006929AF"/>
    <w:rsid w:val="006946B9"/>
    <w:rsid w:val="00697E1E"/>
    <w:rsid w:val="00711EB9"/>
    <w:rsid w:val="00716D14"/>
    <w:rsid w:val="00736080"/>
    <w:rsid w:val="00740672"/>
    <w:rsid w:val="0077716D"/>
    <w:rsid w:val="00782C56"/>
    <w:rsid w:val="007854B7"/>
    <w:rsid w:val="007A6E05"/>
    <w:rsid w:val="00807519"/>
    <w:rsid w:val="00825035"/>
    <w:rsid w:val="00827474"/>
    <w:rsid w:val="0083648D"/>
    <w:rsid w:val="00852E8B"/>
    <w:rsid w:val="008603D0"/>
    <w:rsid w:val="00883495"/>
    <w:rsid w:val="0089072D"/>
    <w:rsid w:val="00892B0D"/>
    <w:rsid w:val="00897BFA"/>
    <w:rsid w:val="008C5CEB"/>
    <w:rsid w:val="008E25AB"/>
    <w:rsid w:val="008E2D54"/>
    <w:rsid w:val="0090252D"/>
    <w:rsid w:val="00914575"/>
    <w:rsid w:val="00944163"/>
    <w:rsid w:val="009627CC"/>
    <w:rsid w:val="009801B7"/>
    <w:rsid w:val="009923E7"/>
    <w:rsid w:val="009A6600"/>
    <w:rsid w:val="009A7618"/>
    <w:rsid w:val="009B6666"/>
    <w:rsid w:val="009C3FE1"/>
    <w:rsid w:val="009C636D"/>
    <w:rsid w:val="009D11C7"/>
    <w:rsid w:val="009D620F"/>
    <w:rsid w:val="00A115F2"/>
    <w:rsid w:val="00A3037B"/>
    <w:rsid w:val="00A5104D"/>
    <w:rsid w:val="00A51773"/>
    <w:rsid w:val="00A76A35"/>
    <w:rsid w:val="00A81AE7"/>
    <w:rsid w:val="00AD61F5"/>
    <w:rsid w:val="00B10CC3"/>
    <w:rsid w:val="00B3111F"/>
    <w:rsid w:val="00B43B24"/>
    <w:rsid w:val="00B45CA6"/>
    <w:rsid w:val="00B8323F"/>
    <w:rsid w:val="00B95B46"/>
    <w:rsid w:val="00B96FEB"/>
    <w:rsid w:val="00BB7161"/>
    <w:rsid w:val="00C562A1"/>
    <w:rsid w:val="00C8184D"/>
    <w:rsid w:val="00C86660"/>
    <w:rsid w:val="00CC163D"/>
    <w:rsid w:val="00CD0902"/>
    <w:rsid w:val="00CD3E53"/>
    <w:rsid w:val="00D00B16"/>
    <w:rsid w:val="00D10EE6"/>
    <w:rsid w:val="00D1357B"/>
    <w:rsid w:val="00D3717B"/>
    <w:rsid w:val="00D54C6B"/>
    <w:rsid w:val="00D94025"/>
    <w:rsid w:val="00DA413C"/>
    <w:rsid w:val="00DE2616"/>
    <w:rsid w:val="00DE3BA8"/>
    <w:rsid w:val="00DF045E"/>
    <w:rsid w:val="00E03D76"/>
    <w:rsid w:val="00E14BBB"/>
    <w:rsid w:val="00E20630"/>
    <w:rsid w:val="00E25291"/>
    <w:rsid w:val="00E275CF"/>
    <w:rsid w:val="00E34AB1"/>
    <w:rsid w:val="00E55129"/>
    <w:rsid w:val="00E6294F"/>
    <w:rsid w:val="00E66940"/>
    <w:rsid w:val="00E821CA"/>
    <w:rsid w:val="00E85726"/>
    <w:rsid w:val="00EA4D85"/>
    <w:rsid w:val="00EC0466"/>
    <w:rsid w:val="00EC2C5F"/>
    <w:rsid w:val="00EC7471"/>
    <w:rsid w:val="00EE04C6"/>
    <w:rsid w:val="00EE12C6"/>
    <w:rsid w:val="00F12993"/>
    <w:rsid w:val="00F16878"/>
    <w:rsid w:val="00F16BF0"/>
    <w:rsid w:val="00F3148E"/>
    <w:rsid w:val="00F32580"/>
    <w:rsid w:val="00F65424"/>
    <w:rsid w:val="00F75F4B"/>
    <w:rsid w:val="00F8137F"/>
    <w:rsid w:val="00F94A73"/>
    <w:rsid w:val="00F972E4"/>
    <w:rsid w:val="00FA5862"/>
    <w:rsid w:val="00FD76F4"/>
    <w:rsid w:val="00FD7F29"/>
    <w:rsid w:val="00FF4397"/>
    <w:rsid w:val="00FF5AB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4A23"/>
  <w15:docId w15:val="{908B8BE4-9F76-483D-BD0C-8E687F1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3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rvps6">
    <w:name w:val="rvps6"/>
    <w:basedOn w:val="a"/>
    <w:rsid w:val="008250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23">
    <w:name w:val="rvts23"/>
    <w:basedOn w:val="a0"/>
    <w:rsid w:val="00825035"/>
  </w:style>
  <w:style w:type="paragraph" w:customStyle="1" w:styleId="rvps2">
    <w:name w:val="rvps2"/>
    <w:basedOn w:val="a"/>
    <w:rsid w:val="008250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852E8B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852E8B"/>
    <w:rPr>
      <w:rFonts w:eastAsia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852E8B"/>
    <w:rPr>
      <w:vertAlign w:val="superscript"/>
    </w:rPr>
  </w:style>
  <w:style w:type="table" w:styleId="a6">
    <w:name w:val="Table Grid"/>
    <w:basedOn w:val="a1"/>
    <w:uiPriority w:val="39"/>
    <w:rsid w:val="00EE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6600"/>
    <w:pPr>
      <w:ind w:left="720"/>
      <w:contextualSpacing/>
    </w:pPr>
  </w:style>
  <w:style w:type="paragraph" w:styleId="a8">
    <w:name w:val="header"/>
    <w:basedOn w:val="a"/>
    <w:link w:val="a9"/>
    <w:unhideWhenUsed/>
    <w:rsid w:val="003E23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E234D"/>
  </w:style>
  <w:style w:type="paragraph" w:styleId="aa">
    <w:name w:val="footer"/>
    <w:basedOn w:val="a"/>
    <w:link w:val="ab"/>
    <w:uiPriority w:val="99"/>
    <w:unhideWhenUsed/>
    <w:rsid w:val="003E23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34D"/>
  </w:style>
  <w:style w:type="paragraph" w:styleId="ac">
    <w:name w:val="Balloon Text"/>
    <w:basedOn w:val="a"/>
    <w:link w:val="ad"/>
    <w:uiPriority w:val="99"/>
    <w:semiHidden/>
    <w:unhideWhenUsed/>
    <w:rsid w:val="00E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471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202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02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02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02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0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D037-E757-4108-A450-1FF60E2A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6550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Сергій Васильович</dc:creator>
  <cp:lastModifiedBy>Александров Сергій Васильович</cp:lastModifiedBy>
  <cp:revision>37</cp:revision>
  <cp:lastPrinted>2019-08-15T17:55:00Z</cp:lastPrinted>
  <dcterms:created xsi:type="dcterms:W3CDTF">2019-07-30T09:32:00Z</dcterms:created>
  <dcterms:modified xsi:type="dcterms:W3CDTF">2019-08-15T17:55:00Z</dcterms:modified>
</cp:coreProperties>
</file>