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7A" w:rsidRPr="000C477A" w:rsidRDefault="000C477A" w:rsidP="000C477A">
      <w:pPr>
        <w:ind w:firstLine="8505"/>
        <w:rPr>
          <w:rFonts w:ascii="Times New Roman" w:hAnsi="Times New Roman" w:cs="Times New Roman"/>
          <w:sz w:val="28"/>
          <w:szCs w:val="28"/>
        </w:rPr>
      </w:pPr>
      <w:r w:rsidRPr="000C477A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C477A" w:rsidRPr="000C477A" w:rsidRDefault="000C477A" w:rsidP="000C477A">
      <w:pPr>
        <w:ind w:firstLine="8505"/>
        <w:rPr>
          <w:rFonts w:ascii="Times New Roman" w:hAnsi="Times New Roman" w:cs="Times New Roman"/>
          <w:sz w:val="28"/>
          <w:szCs w:val="28"/>
        </w:rPr>
      </w:pPr>
      <w:r w:rsidRPr="000C477A">
        <w:rPr>
          <w:rFonts w:ascii="Times New Roman" w:hAnsi="Times New Roman" w:cs="Times New Roman"/>
          <w:sz w:val="28"/>
          <w:szCs w:val="28"/>
        </w:rPr>
        <w:t>до пояснювальної записки</w:t>
      </w:r>
      <w:r>
        <w:rPr>
          <w:rFonts w:ascii="Times New Roman" w:hAnsi="Times New Roman" w:cs="Times New Roman"/>
          <w:sz w:val="28"/>
          <w:szCs w:val="28"/>
        </w:rPr>
        <w:t xml:space="preserve"> (пункт 7)</w:t>
      </w:r>
    </w:p>
    <w:p w:rsidR="009707BA" w:rsidRPr="00465A54" w:rsidRDefault="008B0111" w:rsidP="008B01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A54">
        <w:rPr>
          <w:rFonts w:ascii="Times New Roman" w:hAnsi="Times New Roman" w:cs="Times New Roman"/>
          <w:b/>
          <w:sz w:val="28"/>
          <w:szCs w:val="28"/>
        </w:rPr>
        <w:t>ПРОГНОЗ ВПЛИВУ</w:t>
      </w:r>
    </w:p>
    <w:p w:rsidR="008B0111" w:rsidRPr="00465A54" w:rsidRDefault="008B0111" w:rsidP="008B0111">
      <w:pPr>
        <w:pStyle w:val="rvps1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 w:rsidRPr="00465A5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реалізації </w:t>
      </w:r>
      <w:r w:rsidR="000C477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наказу </w:t>
      </w:r>
      <w:r w:rsidR="000C477A" w:rsidRPr="000C477A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Міністерства інфраструктури України «Про затвердження Змін до Порядку затвердження конструкції транспортних засобів, їх частин та обладнання» </w:t>
      </w:r>
      <w:r w:rsidRPr="00465A54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на ключові інтереси заінтересованих сторін</w:t>
      </w:r>
    </w:p>
    <w:p w:rsidR="008B0111" w:rsidRPr="00465A54" w:rsidRDefault="008B0111" w:rsidP="00465A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n1760"/>
      <w:bookmarkEnd w:id="0"/>
    </w:p>
    <w:p w:rsidR="002C569A" w:rsidRDefault="008B0111" w:rsidP="00465A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C569A">
        <w:rPr>
          <w:rFonts w:ascii="Times New Roman" w:eastAsia="Times New Roman" w:hAnsi="Times New Roman" w:cs="Times New Roman"/>
          <w:color w:val="000000"/>
          <w:sz w:val="28"/>
          <w:szCs w:val="28"/>
        </w:rPr>
        <w:t>Суть проекту наказу:</w:t>
      </w:r>
    </w:p>
    <w:p w:rsidR="002C569A" w:rsidRDefault="002C569A" w:rsidP="00781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спрощення процедур оцінки відповідності колісних транспортних засобів, які ввозяться </w:t>
      </w:r>
      <w:r w:rsidR="000C477A">
        <w:rPr>
          <w:rFonts w:ascii="Times New Roman" w:eastAsia="Times New Roman" w:hAnsi="Times New Roman"/>
          <w:sz w:val="28"/>
          <w:szCs w:val="28"/>
          <w:lang w:eastAsia="ru-RU"/>
        </w:rPr>
        <w:t>на територію</w:t>
      </w:r>
      <w:r w:rsidRPr="00F73B0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 країн </w:t>
      </w:r>
      <w:r w:rsidRPr="00F73B05">
        <w:rPr>
          <w:rFonts w:ascii="Times New Roman" w:eastAsia="Times New Roman" w:hAnsi="Times New Roman"/>
          <w:sz w:val="28"/>
          <w:szCs w:val="28"/>
          <w:lang w:eastAsia="ru-RU"/>
        </w:rPr>
        <w:t>поза меж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F73B05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0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3B05">
        <w:rPr>
          <w:rFonts w:ascii="Times New Roman" w:eastAsia="Times New Roman" w:hAnsi="Times New Roman"/>
          <w:sz w:val="28"/>
          <w:szCs w:val="28"/>
          <w:lang w:eastAsia="ru-RU"/>
        </w:rPr>
        <w:t>членів ЄС та договірних сторін Женевської Угоди 1958 року, зокрема Сполучених Штатів Америки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 Канади;</w:t>
      </w:r>
      <w:bookmarkStart w:id="1" w:name="_GoBack"/>
      <w:bookmarkEnd w:id="1"/>
    </w:p>
    <w:p w:rsidR="00D27D0E" w:rsidRDefault="00D27D0E" w:rsidP="00781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5F6">
        <w:rPr>
          <w:rFonts w:ascii="Times New Roman" w:eastAsia="Times New Roman" w:hAnsi="Times New Roman"/>
          <w:sz w:val="28"/>
          <w:szCs w:val="28"/>
          <w:lang w:eastAsia="ru-RU"/>
        </w:rPr>
        <w:t xml:space="preserve">врегулювання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деяких питань щодо переобладнани</w:t>
      </w:r>
      <w:r w:rsidR="00753E94">
        <w:rPr>
          <w:rFonts w:ascii="Times New Roman" w:eastAsia="Times New Roman" w:hAnsi="Times New Roman"/>
          <w:sz w:val="28"/>
          <w:szCs w:val="28"/>
          <w:lang w:eastAsia="ru-RU"/>
        </w:rPr>
        <w:t>х колісних транспортних засобів;</w:t>
      </w:r>
    </w:p>
    <w:p w:rsidR="00753E94" w:rsidRPr="00FA75F6" w:rsidRDefault="00753E94" w:rsidP="007818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3E9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поступове введення нових Правил ЄЕК ООН (вимоги щодо конструкції акумуляторних електромобілів та роботи безшумних колісних транспортних засобів) та поправок до Правил ЄЕК ООН (вимоги до ременів безпеки та їх кріплення, </w:t>
      </w:r>
      <w:proofErr w:type="spellStart"/>
      <w:r w:rsidRPr="00753E94">
        <w:rPr>
          <w:rFonts w:ascii="Times New Roman" w:eastAsia="Times New Roman" w:hAnsi="Times New Roman"/>
          <w:sz w:val="28"/>
          <w:szCs w:val="28"/>
          <w:lang w:eastAsia="ru-RU"/>
        </w:rPr>
        <w:t>світотехніки</w:t>
      </w:r>
      <w:proofErr w:type="spellEnd"/>
      <w:r w:rsidRPr="00753E94">
        <w:rPr>
          <w:rFonts w:ascii="Times New Roman" w:eastAsia="Times New Roman" w:hAnsi="Times New Roman"/>
          <w:sz w:val="28"/>
          <w:szCs w:val="28"/>
          <w:lang w:eastAsia="ru-RU"/>
        </w:rPr>
        <w:t>, дзеркал, безпеки вантажних автомобілів та інше.)</w:t>
      </w:r>
    </w:p>
    <w:p w:rsidR="00465A54" w:rsidRPr="008B0111" w:rsidRDefault="00465A54" w:rsidP="0078188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0111" w:rsidRPr="00465A54" w:rsidRDefault="008B0111" w:rsidP="00465A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n1761"/>
      <w:bookmarkEnd w:id="2"/>
      <w:r w:rsidRPr="008B01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2C569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0111">
        <w:rPr>
          <w:rFonts w:ascii="Times New Roman" w:eastAsia="Times New Roman" w:hAnsi="Times New Roman" w:cs="Times New Roman"/>
          <w:color w:val="000000"/>
          <w:sz w:val="28"/>
          <w:szCs w:val="28"/>
        </w:rPr>
        <w:t>плив на ключові інтер</w:t>
      </w:r>
      <w:r w:rsidR="002C569A">
        <w:rPr>
          <w:rFonts w:ascii="Times New Roman" w:eastAsia="Times New Roman" w:hAnsi="Times New Roman" w:cs="Times New Roman"/>
          <w:color w:val="000000"/>
          <w:sz w:val="28"/>
          <w:szCs w:val="28"/>
        </w:rPr>
        <w:t>еси усіх заінтересованих сторін</w:t>
      </w:r>
      <w:r w:rsidRPr="008B01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5004" w:type="pct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1"/>
        <w:gridCol w:w="3184"/>
        <w:gridCol w:w="1887"/>
        <w:gridCol w:w="1887"/>
        <w:gridCol w:w="4679"/>
      </w:tblGrid>
      <w:tr w:rsidR="004F1570" w:rsidRPr="008B0111" w:rsidTr="00D40532">
        <w:tc>
          <w:tcPr>
            <w:tcW w:w="936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B0111" w:rsidRPr="008B0111" w:rsidRDefault="008B0111" w:rsidP="008B011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n1762"/>
            <w:bookmarkEnd w:id="3"/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Заінтересована сторона</w:t>
            </w:r>
          </w:p>
        </w:tc>
        <w:tc>
          <w:tcPr>
            <w:tcW w:w="111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111" w:rsidRPr="008B0111" w:rsidRDefault="008B0111" w:rsidP="008B011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Ключовий інтерес</w:t>
            </w:r>
          </w:p>
        </w:tc>
        <w:tc>
          <w:tcPr>
            <w:tcW w:w="131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0111" w:rsidRPr="008B0111" w:rsidRDefault="008B0111" w:rsidP="008B011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 </w:t>
            </w: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 числовому або якісному вимірі)</w:t>
            </w:r>
          </w:p>
        </w:tc>
        <w:tc>
          <w:tcPr>
            <w:tcW w:w="163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B0111" w:rsidRPr="008B0111" w:rsidRDefault="008B0111" w:rsidP="008B0111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Пояснення (чому саме реалізація акта призведе до очікуваного впливу)</w:t>
            </w:r>
          </w:p>
        </w:tc>
      </w:tr>
      <w:tr w:rsidR="004F1570" w:rsidRPr="008B0111" w:rsidTr="00D40532">
        <w:tc>
          <w:tcPr>
            <w:tcW w:w="936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0111" w:rsidRPr="008B0111" w:rsidRDefault="008B0111" w:rsidP="008B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B0111" w:rsidRPr="008B0111" w:rsidRDefault="008B0111" w:rsidP="008B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71B1" w:rsidRDefault="00B570B8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B0111"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оротко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0111"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строковий вплив </w:t>
            </w:r>
          </w:p>
          <w:p w:rsidR="008B0111" w:rsidRPr="008B0111" w:rsidRDefault="008B0111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(до року)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4976" w:rsidRDefault="00B570B8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B0111"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ередньо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B0111"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строковий вплив </w:t>
            </w:r>
          </w:p>
          <w:p w:rsidR="008B0111" w:rsidRPr="008B0111" w:rsidRDefault="008B0111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111">
              <w:rPr>
                <w:rFonts w:ascii="Times New Roman" w:eastAsia="Times New Roman" w:hAnsi="Times New Roman" w:cs="Times New Roman"/>
                <w:sz w:val="24"/>
                <w:szCs w:val="24"/>
              </w:rPr>
              <w:t>(більше року)</w:t>
            </w:r>
          </w:p>
        </w:tc>
        <w:tc>
          <w:tcPr>
            <w:tcW w:w="163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B0111" w:rsidRPr="008B0111" w:rsidRDefault="008B0111" w:rsidP="008B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1570" w:rsidRPr="00465A54" w:rsidTr="00D40532">
        <w:tc>
          <w:tcPr>
            <w:tcW w:w="9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0111" w:rsidRPr="004F1570" w:rsidRDefault="004F1570" w:rsidP="00C6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F1570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ромадяни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111" w:rsidRPr="004F1570" w:rsidRDefault="004F1570" w:rsidP="00D2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Можливість о</w:t>
            </w:r>
            <w:r w:rsidRPr="004F1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тримання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транспортних засобів з високим рівнем безпеки </w:t>
            </w:r>
            <w:r w:rsidR="00D40532">
              <w:rPr>
                <w:rFonts w:ascii="Times New Roman" w:eastAsia="Times New Roman" w:hAnsi="Times New Roman" w:cs="Times New Roman"/>
                <w:sz w:val="24"/>
                <w:szCs w:val="24"/>
              </w:rPr>
              <w:t>та екологічності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111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Позитивний</w:t>
            </w:r>
          </w:p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</w:p>
          <w:p w:rsidR="000C477A" w:rsidRDefault="000C477A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77A" w:rsidRPr="004F1570" w:rsidRDefault="005750DC" w:rsidP="00D27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Більший вибір на ринку</w:t>
            </w:r>
            <w:r w:rsidR="000C477A"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транспортних засобів з високим рівнем безпеки 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Позитивний</w:t>
            </w:r>
          </w:p>
          <w:p w:rsidR="008B0111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</w:p>
          <w:p w:rsidR="005750DC" w:rsidRDefault="005750DC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DC" w:rsidRPr="004F1570" w:rsidRDefault="005750DC" w:rsidP="00D27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Більший вибір на ринку</w:t>
            </w:r>
            <w:r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транспортних засобів з високим рівнем безпеки 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0532" w:rsidRDefault="004F1570" w:rsidP="00D405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Транспортні засоби, які постачаються на український ринок, зокрема із США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Канади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підтверджені 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сертифікатами 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колісних 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транспортних засобів 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більш </w:t>
            </w:r>
            <w:r w:rsidR="00FF6DE7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жорстким вимогам</w:t>
            </w:r>
            <w:r w:rsidR="00753E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стандартів безпеки</w:t>
            </w:r>
            <w:r w:rsidR="00D405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екологічності, що у свою чергу сприятиме позитивному впливу на навколишнє природне середовище.</w:t>
            </w:r>
          </w:p>
          <w:p w:rsidR="00FF6DE7" w:rsidRDefault="00753E94" w:rsidP="00C668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685E" w:rsidRPr="004F1570" w:rsidRDefault="00C6685E" w:rsidP="00D27D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685E" w:rsidRPr="00465A54" w:rsidTr="00D40532">
        <w:tc>
          <w:tcPr>
            <w:tcW w:w="9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0111" w:rsidRPr="004F1570" w:rsidRDefault="00FF6DE7" w:rsidP="00FF6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Громадяни та суб’єкти господарювання, які постачають транспортні засоби на український ринок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111" w:rsidRPr="004F1570" w:rsidRDefault="00FF6DE7" w:rsidP="006C47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часу та коштів під час здійснення процедур оцінки відповідності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колісних транспортних засобів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</w:t>
            </w:r>
          </w:p>
          <w:p w:rsidR="008B0111" w:rsidRDefault="000C477A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6685E">
              <w:rPr>
                <w:rFonts w:ascii="Times New Roman" w:eastAsia="Times New Roman" w:hAnsi="Times New Roman" w:cs="Times New Roman"/>
                <w:sz w:val="24"/>
                <w:szCs w:val="24"/>
              </w:rPr>
              <w:t>плив</w:t>
            </w:r>
          </w:p>
          <w:p w:rsidR="000C477A" w:rsidRDefault="000C477A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77A" w:rsidRDefault="005750DC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77A"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приятливі умови розвитку малого та середнього бізнесу, а також поліпшення інвестиційного клімату у державі</w:t>
            </w:r>
          </w:p>
          <w:p w:rsidR="00D27D0E" w:rsidRPr="004F1570" w:rsidRDefault="00D27D0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</w:t>
            </w:r>
          </w:p>
          <w:p w:rsidR="008B0111" w:rsidRDefault="000C477A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6685E">
              <w:rPr>
                <w:rFonts w:ascii="Times New Roman" w:eastAsia="Times New Roman" w:hAnsi="Times New Roman" w:cs="Times New Roman"/>
                <w:sz w:val="24"/>
                <w:szCs w:val="24"/>
              </w:rPr>
              <w:t>плив</w:t>
            </w:r>
          </w:p>
          <w:p w:rsidR="000C477A" w:rsidRDefault="000C477A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477A" w:rsidRPr="004F1570" w:rsidRDefault="005750DC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C477A"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приятливі умови розвитку малого та середнього бізнесу, а також поліпшення інвестиційного клімату у державі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0111" w:rsidRPr="004F1570" w:rsidRDefault="00FF6DE7" w:rsidP="006C4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Спрощення процедури оцінки відповідності 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>колісних транспортних засобів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що постачаються із США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Канади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дозволить зекономити час та 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постачальник</w:t>
            </w:r>
            <w:r w:rsidR="00F43740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транспортних засобів</w:t>
            </w:r>
          </w:p>
        </w:tc>
      </w:tr>
      <w:tr w:rsidR="004F1570" w:rsidRPr="00465A54" w:rsidTr="00D40532">
        <w:tc>
          <w:tcPr>
            <w:tcW w:w="9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F1570" w:rsidRPr="004F1570" w:rsidRDefault="00D27D0E" w:rsidP="00D27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7D0E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ромадян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27D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суб’єктів господарювання, які у своїй діяльності здійснюють процедури переобладнання колісних транспортних засобів</w:t>
            </w:r>
          </w:p>
        </w:tc>
        <w:tc>
          <w:tcPr>
            <w:tcW w:w="11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570" w:rsidRPr="004F1570" w:rsidRDefault="00D27D0E" w:rsidP="008B0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Економія часу та коштів під час здійснення процедур оцінки відповідності</w:t>
            </w:r>
            <w:r w:rsidR="009C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переобладнаних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колісних транспортних засобів</w:t>
            </w: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</w:t>
            </w:r>
          </w:p>
          <w:p w:rsidR="004F1570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</w:p>
          <w:p w:rsidR="00D27D0E" w:rsidRDefault="00D27D0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DC" w:rsidRDefault="00D27D0E" w:rsidP="006C4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приятливі умови розвитку малого та середнього бізнесу, а також поліпшення інвестиційного клімату у державі</w:t>
            </w:r>
          </w:p>
          <w:p w:rsidR="00D27D0E" w:rsidRPr="004F1570" w:rsidRDefault="00D27D0E" w:rsidP="006C49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85E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Позитивний </w:t>
            </w:r>
          </w:p>
          <w:p w:rsidR="004F1570" w:rsidRDefault="00C6685E" w:rsidP="000C47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вплив</w:t>
            </w:r>
          </w:p>
          <w:p w:rsidR="00D27D0E" w:rsidRDefault="00D27D0E" w:rsidP="00D27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50DC" w:rsidRPr="004F1570" w:rsidRDefault="00D27D0E" w:rsidP="00D27D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C477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приятливі умови розвитку малого та середнього бізнесу, а також поліпшення інвестиційного клімату у державі</w:t>
            </w:r>
          </w:p>
        </w:tc>
        <w:tc>
          <w:tcPr>
            <w:tcW w:w="1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1570" w:rsidRPr="004F1570" w:rsidRDefault="009C5619" w:rsidP="009C56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ювання</w:t>
            </w: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отримання сертифікату відповідності щодо індивідуального затвердження переобладнаного колісного транспортного засобу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дозволить зекономити час та витрати  громадян, замовників послуги переобладнання колісного транспортного засобу, а також сприятиме розвитку бізнесу у сфері переобладнання колісних транспортних засобів</w:t>
            </w:r>
            <w:r w:rsidRPr="009C56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0111" w:rsidRPr="00465A54" w:rsidRDefault="008B0111" w:rsidP="00F4374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n1757"/>
      <w:bookmarkEnd w:id="4"/>
    </w:p>
    <w:sectPr w:rsidR="008B0111" w:rsidRPr="00465A54" w:rsidSect="00647DC5">
      <w:headerReference w:type="default" r:id="rId7"/>
      <w:headerReference w:type="first" r:id="rId8"/>
      <w:pgSz w:w="15840" w:h="12240" w:orient="landscape"/>
      <w:pgMar w:top="1135" w:right="38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80" w:rsidRDefault="00E17B80" w:rsidP="00E17B80">
      <w:pPr>
        <w:spacing w:after="0" w:line="240" w:lineRule="auto"/>
      </w:pPr>
      <w:r>
        <w:separator/>
      </w:r>
    </w:p>
  </w:endnote>
  <w:endnote w:type="continuationSeparator" w:id="0">
    <w:p w:rsidR="00E17B80" w:rsidRDefault="00E17B80" w:rsidP="00E1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80" w:rsidRDefault="00E17B80" w:rsidP="00E17B80">
      <w:pPr>
        <w:spacing w:after="0" w:line="240" w:lineRule="auto"/>
      </w:pPr>
      <w:r>
        <w:separator/>
      </w:r>
    </w:p>
  </w:footnote>
  <w:footnote w:type="continuationSeparator" w:id="0">
    <w:p w:rsidR="00E17B80" w:rsidRDefault="00E17B80" w:rsidP="00E1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B80" w:rsidRPr="00E17B80" w:rsidRDefault="00E17B80" w:rsidP="00E17B80">
    <w:pPr>
      <w:pStyle w:val="a7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DC5" w:rsidRDefault="00647DC5">
    <w:pPr>
      <w:pStyle w:val="a7"/>
      <w:jc w:val="center"/>
    </w:pPr>
  </w:p>
  <w:p w:rsidR="00647DC5" w:rsidRDefault="00647DC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111"/>
    <w:rsid w:val="000C477A"/>
    <w:rsid w:val="001E011A"/>
    <w:rsid w:val="002C569A"/>
    <w:rsid w:val="00465A54"/>
    <w:rsid w:val="0049006E"/>
    <w:rsid w:val="004F1570"/>
    <w:rsid w:val="005750DC"/>
    <w:rsid w:val="005771B1"/>
    <w:rsid w:val="005B583F"/>
    <w:rsid w:val="00625D19"/>
    <w:rsid w:val="00647DC5"/>
    <w:rsid w:val="006C47C3"/>
    <w:rsid w:val="006C4976"/>
    <w:rsid w:val="00753E94"/>
    <w:rsid w:val="00781883"/>
    <w:rsid w:val="00823B0F"/>
    <w:rsid w:val="008B0111"/>
    <w:rsid w:val="009707BA"/>
    <w:rsid w:val="009C5619"/>
    <w:rsid w:val="00A215A5"/>
    <w:rsid w:val="00B570B8"/>
    <w:rsid w:val="00C5621A"/>
    <w:rsid w:val="00C6685E"/>
    <w:rsid w:val="00D27D0E"/>
    <w:rsid w:val="00D40532"/>
    <w:rsid w:val="00E17B80"/>
    <w:rsid w:val="00F43740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ACDB3B0-218A-4E25-8EB2-409057B4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8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0"/>
    <w:rsid w:val="008B0111"/>
  </w:style>
  <w:style w:type="paragraph" w:customStyle="1" w:styleId="rvps2">
    <w:name w:val="rvps2"/>
    <w:basedOn w:val="a"/>
    <w:rsid w:val="008B0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6">
    <w:name w:val="rvts46"/>
    <w:basedOn w:val="a0"/>
    <w:rsid w:val="008B0111"/>
  </w:style>
  <w:style w:type="character" w:customStyle="1" w:styleId="rvts37">
    <w:name w:val="rvts37"/>
    <w:basedOn w:val="a0"/>
    <w:rsid w:val="008B0111"/>
  </w:style>
  <w:style w:type="character" w:styleId="a3">
    <w:name w:val="Hyperlink"/>
    <w:basedOn w:val="a0"/>
    <w:uiPriority w:val="99"/>
    <w:semiHidden/>
    <w:unhideWhenUsed/>
    <w:rsid w:val="008B01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5A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685E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E17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7B80"/>
    <w:rPr>
      <w:lang w:val="uk-UA"/>
    </w:rPr>
  </w:style>
  <w:style w:type="paragraph" w:styleId="a9">
    <w:name w:val="footer"/>
    <w:basedOn w:val="a"/>
    <w:link w:val="aa"/>
    <w:uiPriority w:val="99"/>
    <w:unhideWhenUsed/>
    <w:rsid w:val="00E17B8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7B80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619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43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95F1-6C61-477F-BF24-FE053875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Сулицька Ірина Анатоліївна</dc:creator>
  <cp:keywords/>
  <dc:description/>
  <cp:lastModifiedBy>Сулицька Ірина Анатоліївна</cp:lastModifiedBy>
  <cp:revision>9</cp:revision>
  <cp:lastPrinted>2019-08-06T07:33:00Z</cp:lastPrinted>
  <dcterms:created xsi:type="dcterms:W3CDTF">2019-07-11T11:14:00Z</dcterms:created>
  <dcterms:modified xsi:type="dcterms:W3CDTF">2019-08-06T07:35:00Z</dcterms:modified>
</cp:coreProperties>
</file>