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A9" w:rsidRPr="005F37A9" w:rsidRDefault="005F37A9" w:rsidP="005F37A9">
      <w:pPr>
        <w:tabs>
          <w:tab w:val="left" w:pos="5828"/>
        </w:tabs>
        <w:spacing w:after="0" w:line="240" w:lineRule="auto"/>
        <w:rPr>
          <w:lang w:val="uk-UA"/>
        </w:rPr>
      </w:pPr>
      <w:r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Pr="005F37A9">
        <w:rPr>
          <w:lang w:val="uk-UA"/>
        </w:rPr>
        <w:t>Додаток до пояснювальної</w:t>
      </w:r>
    </w:p>
    <w:p w:rsidR="005F37A9" w:rsidRPr="00EA5723" w:rsidRDefault="005F37A9" w:rsidP="00EA5723">
      <w:pPr>
        <w:tabs>
          <w:tab w:val="left" w:pos="5828"/>
        </w:tabs>
        <w:spacing w:after="0" w:line="240" w:lineRule="auto"/>
        <w:rPr>
          <w:lang w:val="uk-UA"/>
        </w:rPr>
      </w:pPr>
      <w:r w:rsidRPr="00AB73F1">
        <w:rPr>
          <w:b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="00AB73F1">
        <w:rPr>
          <w:b/>
          <w:lang w:val="en-US"/>
        </w:rPr>
        <w:tab/>
      </w:r>
      <w:r w:rsidRPr="005F37A9">
        <w:rPr>
          <w:lang w:val="uk-UA"/>
        </w:rPr>
        <w:t>записки (пункт 7)</w:t>
      </w:r>
    </w:p>
    <w:p w:rsidR="005F37A9" w:rsidRPr="00AB73F1" w:rsidRDefault="005F37A9" w:rsidP="00BF07D6">
      <w:pPr>
        <w:spacing w:after="0" w:line="240" w:lineRule="auto"/>
        <w:jc w:val="center"/>
        <w:rPr>
          <w:b/>
        </w:rPr>
      </w:pPr>
    </w:p>
    <w:p w:rsidR="00EE5CCE" w:rsidRPr="00BF07D6" w:rsidRDefault="00B502DB" w:rsidP="00BF07D6">
      <w:pPr>
        <w:spacing w:after="0" w:line="240" w:lineRule="auto"/>
        <w:jc w:val="center"/>
        <w:rPr>
          <w:b/>
          <w:lang w:val="uk-UA"/>
        </w:rPr>
      </w:pPr>
      <w:r w:rsidRPr="00BF07D6">
        <w:rPr>
          <w:b/>
          <w:lang w:val="uk-UA"/>
        </w:rPr>
        <w:t>ПРОГНОЗ ВПЛИВУ</w:t>
      </w:r>
    </w:p>
    <w:p w:rsidR="008B014D" w:rsidRPr="00BF07D6" w:rsidRDefault="009A6DFF" w:rsidP="00B45BD8">
      <w:pPr>
        <w:spacing w:after="0" w:line="276" w:lineRule="auto"/>
        <w:jc w:val="center"/>
        <w:rPr>
          <w:b/>
          <w:lang w:val="uk-UA"/>
        </w:rPr>
      </w:pPr>
      <w:r w:rsidRPr="00BF07D6">
        <w:rPr>
          <w:b/>
          <w:lang w:val="uk-UA"/>
        </w:rPr>
        <w:t>р</w:t>
      </w:r>
      <w:r w:rsidR="005F37A9">
        <w:rPr>
          <w:b/>
          <w:lang w:val="uk-UA"/>
        </w:rPr>
        <w:t>еалізації</w:t>
      </w:r>
      <w:r w:rsidR="008B014D" w:rsidRPr="00BF07D6">
        <w:rPr>
          <w:b/>
          <w:lang w:val="uk-UA"/>
        </w:rPr>
        <w:t xml:space="preserve"> наказу Міністерства інфраструктури України</w:t>
      </w:r>
    </w:p>
    <w:p w:rsidR="00E30050" w:rsidRPr="00AB73F1" w:rsidRDefault="004A5611" w:rsidP="00AB73F1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A5611">
        <w:rPr>
          <w:rFonts w:cs="Times New Roman"/>
          <w:b/>
          <w:szCs w:val="28"/>
          <w:lang w:val="uk-UA"/>
        </w:rPr>
        <w:t>«Про внесення зміни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послуги, щодо уніфікації тарифної політики на перевезення порожніх вагонів»</w:t>
      </w:r>
      <w:r w:rsidR="00AB73F1" w:rsidRPr="00AB73F1">
        <w:rPr>
          <w:rFonts w:cs="Times New Roman"/>
          <w:b/>
          <w:szCs w:val="28"/>
          <w:lang w:val="uk-UA"/>
        </w:rPr>
        <w:t xml:space="preserve"> </w:t>
      </w:r>
      <w:r w:rsidR="00B502DB" w:rsidRPr="00BF07D6">
        <w:rPr>
          <w:b/>
          <w:lang w:val="uk-UA"/>
        </w:rPr>
        <w:t>на ключові інтереси заінтересованих сторін</w:t>
      </w:r>
    </w:p>
    <w:p w:rsidR="00AB73F1" w:rsidRPr="00AB73F1" w:rsidRDefault="00AB73F1" w:rsidP="00AB73F1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</w:p>
    <w:p w:rsidR="00672E30" w:rsidRPr="00BF07D6" w:rsidRDefault="00B502DB" w:rsidP="00CF125B">
      <w:pPr>
        <w:spacing w:after="0"/>
        <w:ind w:firstLine="567"/>
        <w:jc w:val="both"/>
        <w:outlineLvl w:val="3"/>
        <w:rPr>
          <w:rFonts w:eastAsia="Times New Roman" w:cs="Times New Roman"/>
          <w:szCs w:val="28"/>
          <w:lang w:val="uk-UA" w:eastAsia="ru-RU"/>
        </w:rPr>
      </w:pPr>
      <w:r w:rsidRPr="00BF07D6">
        <w:rPr>
          <w:lang w:val="uk-UA"/>
        </w:rPr>
        <w:t xml:space="preserve">1. </w:t>
      </w:r>
      <w:r w:rsidR="00672E30" w:rsidRPr="00BF07D6">
        <w:rPr>
          <w:rFonts w:eastAsia="Times New Roman" w:cs="Times New Roman"/>
          <w:szCs w:val="28"/>
          <w:lang w:val="uk-UA" w:eastAsia="ru-RU"/>
        </w:rPr>
        <w:t xml:space="preserve">Основними положеннями наказу є </w:t>
      </w:r>
      <w:r w:rsidR="0008427F">
        <w:rPr>
          <w:rFonts w:eastAsia="Times New Roman" w:cs="Times New Roman"/>
          <w:szCs w:val="28"/>
          <w:lang w:val="uk-UA" w:eastAsia="ru-RU"/>
        </w:rPr>
        <w:t>в</w:t>
      </w:r>
      <w:r w:rsidR="00672E30" w:rsidRPr="00BF07D6">
        <w:rPr>
          <w:rFonts w:eastAsia="Times New Roman" w:cs="Times New Roman"/>
          <w:szCs w:val="28"/>
          <w:lang w:val="uk-UA" w:eastAsia="ru-RU"/>
        </w:rPr>
        <w:t>досконалення тарифної політики, уніфікація тарифів на перевезення порожніх вагонів та встановлення єдиного коефіцієнт</w:t>
      </w:r>
      <w:r w:rsidR="00245F87">
        <w:rPr>
          <w:rFonts w:eastAsia="Times New Roman" w:cs="Times New Roman"/>
          <w:szCs w:val="28"/>
          <w:lang w:val="uk-UA" w:eastAsia="ru-RU"/>
        </w:rPr>
        <w:t>а</w:t>
      </w:r>
      <w:r w:rsidR="00672E30" w:rsidRPr="00BF07D6">
        <w:rPr>
          <w:rFonts w:eastAsia="Times New Roman" w:cs="Times New Roman"/>
          <w:szCs w:val="28"/>
          <w:lang w:val="uk-UA" w:eastAsia="ru-RU"/>
        </w:rPr>
        <w:t xml:space="preserve"> до тарифів Збірника тарифів, які </w:t>
      </w:r>
      <w:r w:rsidR="0008427F">
        <w:rPr>
          <w:rFonts w:eastAsia="Times New Roman" w:cs="Times New Roman"/>
          <w:szCs w:val="28"/>
          <w:lang w:val="uk-UA" w:eastAsia="ru-RU"/>
        </w:rPr>
        <w:t>реаліз</w:t>
      </w:r>
      <w:r w:rsidR="00672E30" w:rsidRPr="00BF07D6">
        <w:rPr>
          <w:rFonts w:eastAsia="Times New Roman" w:cs="Times New Roman"/>
          <w:szCs w:val="28"/>
          <w:lang w:val="uk-UA" w:eastAsia="ru-RU"/>
        </w:rPr>
        <w:t>уються тільки шляхом внесення відповідним проектом наказу Мінінфраструктури змін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послуги.</w:t>
      </w:r>
    </w:p>
    <w:p w:rsidR="00672E30" w:rsidRPr="00BF07D6" w:rsidRDefault="0013748D" w:rsidP="00CF125B">
      <w:pPr>
        <w:spacing w:after="0"/>
        <w:ind w:firstLine="567"/>
        <w:jc w:val="both"/>
        <w:outlineLvl w:val="3"/>
        <w:rPr>
          <w:rFonts w:cs="Times New Roman"/>
          <w:iCs/>
          <w:szCs w:val="28"/>
          <w:lang w:val="uk-UA"/>
        </w:rPr>
      </w:pPr>
      <w:r>
        <w:rPr>
          <w:rFonts w:cs="Times New Roman"/>
          <w:iCs/>
          <w:szCs w:val="28"/>
          <w:lang w:val="uk-UA"/>
        </w:rPr>
        <w:t>Реалізація</w:t>
      </w:r>
      <w:r w:rsidR="00672E30" w:rsidRPr="00BF07D6">
        <w:rPr>
          <w:rFonts w:cs="Times New Roman"/>
          <w:iCs/>
          <w:szCs w:val="28"/>
          <w:lang w:val="uk-UA"/>
        </w:rPr>
        <w:t xml:space="preserve"> наказу дозволить:</w:t>
      </w:r>
    </w:p>
    <w:p w:rsidR="00672E30" w:rsidRPr="00BF07D6" w:rsidRDefault="00672E30" w:rsidP="00CF125B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07D6">
        <w:rPr>
          <w:rFonts w:eastAsia="Times New Roman" w:cs="Times New Roman"/>
          <w:szCs w:val="28"/>
          <w:lang w:val="uk-UA" w:eastAsia="ru-RU"/>
        </w:rPr>
        <w:t>частково зменшити збитковість перевезень порожніх вагонів, скоротити перехресне субсидування між вантажами;</w:t>
      </w:r>
    </w:p>
    <w:p w:rsidR="00672E30" w:rsidRPr="00BF07D6" w:rsidRDefault="00672E30" w:rsidP="00CF125B">
      <w:pPr>
        <w:spacing w:after="0"/>
        <w:ind w:firstLine="567"/>
        <w:jc w:val="both"/>
        <w:rPr>
          <w:rFonts w:eastAsia="Calibri" w:cs="Times New Roman"/>
          <w:szCs w:val="28"/>
          <w:lang w:val="uk-UA"/>
        </w:rPr>
      </w:pPr>
      <w:r w:rsidRPr="00BF07D6">
        <w:rPr>
          <w:rFonts w:eastAsia="Calibri" w:cs="Times New Roman"/>
          <w:szCs w:val="28"/>
          <w:lang w:val="uk-UA"/>
        </w:rPr>
        <w:t>уніфікувати тарифи для порожнього пробігу вагонів;</w:t>
      </w:r>
    </w:p>
    <w:p w:rsidR="00672E30" w:rsidRPr="00BF07D6" w:rsidRDefault="00672E30" w:rsidP="00CF125B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07D6">
        <w:rPr>
          <w:rFonts w:cs="Times New Roman"/>
          <w:iCs/>
          <w:szCs w:val="28"/>
          <w:lang w:val="uk-UA"/>
        </w:rPr>
        <w:t xml:space="preserve">одержати </w:t>
      </w:r>
      <w:r w:rsidRPr="00BF07D6">
        <w:rPr>
          <w:rFonts w:eastAsia="Times New Roman" w:cs="Times New Roman"/>
          <w:szCs w:val="28"/>
          <w:lang w:val="uk-UA" w:eastAsia="ru-RU"/>
        </w:rPr>
        <w:t xml:space="preserve">доходи ПАТ «Укрзалізниця» від перевезень з 01 вересня 2018 року до кінця поточного року в розмірі 0,972 млрд. грн., що складає майже </w:t>
      </w:r>
      <w:r w:rsidR="00C367AA">
        <w:rPr>
          <w:rFonts w:eastAsia="Times New Roman" w:cs="Times New Roman"/>
          <w:szCs w:val="28"/>
          <w:lang w:val="uk-UA" w:eastAsia="ru-RU"/>
        </w:rPr>
        <w:t>1,6</w:t>
      </w:r>
      <w:r w:rsidRPr="00BF07D6">
        <w:rPr>
          <w:rFonts w:eastAsia="Times New Roman" w:cs="Times New Roman"/>
          <w:szCs w:val="28"/>
          <w:lang w:val="uk-UA" w:eastAsia="ru-RU"/>
        </w:rPr>
        <w:t>% доходних надходжень від перевезень вантажів у межах України;</w:t>
      </w:r>
    </w:p>
    <w:p w:rsidR="00672E30" w:rsidRPr="00BF07D6" w:rsidRDefault="00672E30" w:rsidP="00CF125B">
      <w:pPr>
        <w:tabs>
          <w:tab w:val="left" w:pos="-3686"/>
        </w:tabs>
        <w:spacing w:after="0"/>
        <w:ind w:right="45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07D6">
        <w:rPr>
          <w:rFonts w:eastAsia="Times New Roman" w:cs="Times New Roman"/>
          <w:szCs w:val="28"/>
          <w:lang w:val="uk-UA" w:eastAsia="ru-RU"/>
        </w:rPr>
        <w:t>збільшити додаткові податкові надходження до Державного бюджету України в сумі 87,9 млн. грн.;</w:t>
      </w:r>
    </w:p>
    <w:p w:rsidR="00672E30" w:rsidRDefault="00672E30" w:rsidP="007D30E3">
      <w:pPr>
        <w:spacing w:after="0" w:line="240" w:lineRule="auto"/>
        <w:ind w:firstLine="567"/>
        <w:jc w:val="both"/>
        <w:outlineLvl w:val="3"/>
        <w:rPr>
          <w:rFonts w:eastAsia="Times New Roman" w:cs="Times New Roman"/>
          <w:szCs w:val="28"/>
          <w:lang w:val="en-US" w:eastAsia="ru-RU"/>
        </w:rPr>
      </w:pPr>
      <w:r w:rsidRPr="00BF07D6">
        <w:rPr>
          <w:rFonts w:eastAsia="Times New Roman" w:cs="Times New Roman"/>
          <w:szCs w:val="28"/>
          <w:lang w:val="uk-UA" w:eastAsia="ru-RU"/>
        </w:rPr>
        <w:t>здійснити модернізацію 2707 од. вантажних вагонів та 557 од. виготовити.</w:t>
      </w:r>
    </w:p>
    <w:p w:rsidR="00A7371D" w:rsidRDefault="00A7371D" w:rsidP="007D30E3">
      <w:pPr>
        <w:spacing w:after="0" w:line="240" w:lineRule="auto"/>
        <w:ind w:firstLine="567"/>
        <w:jc w:val="both"/>
        <w:outlineLvl w:val="3"/>
        <w:rPr>
          <w:rFonts w:eastAsia="Times New Roman" w:cs="Times New Roman"/>
          <w:szCs w:val="28"/>
          <w:lang w:val="en-US" w:eastAsia="ru-RU"/>
        </w:rPr>
      </w:pPr>
    </w:p>
    <w:p w:rsidR="00A7371D" w:rsidRPr="00A7371D" w:rsidRDefault="00A7371D" w:rsidP="007D30E3">
      <w:pPr>
        <w:spacing w:after="0" w:line="240" w:lineRule="auto"/>
        <w:ind w:firstLine="567"/>
        <w:jc w:val="both"/>
        <w:outlineLvl w:val="3"/>
        <w:rPr>
          <w:rFonts w:eastAsia="Times New Roman" w:cs="Times New Roman"/>
          <w:szCs w:val="28"/>
          <w:lang w:val="en-US" w:eastAsia="ru-RU"/>
        </w:rPr>
      </w:pPr>
      <w:bookmarkStart w:id="0" w:name="_GoBack"/>
      <w:bookmarkEnd w:id="0"/>
    </w:p>
    <w:p w:rsidR="009A6DFF" w:rsidRPr="00AB73F1" w:rsidRDefault="009A6DFF" w:rsidP="00AB73F1">
      <w:pPr>
        <w:spacing w:after="0" w:line="240" w:lineRule="auto"/>
        <w:ind w:firstLine="567"/>
        <w:rPr>
          <w:lang w:val="uk-UA"/>
        </w:rPr>
      </w:pPr>
      <w:r w:rsidRPr="00BF07D6">
        <w:rPr>
          <w:lang w:val="uk-UA"/>
        </w:rPr>
        <w:t>2. В</w:t>
      </w:r>
      <w:r w:rsidR="008A69B3" w:rsidRPr="00BF07D6">
        <w:rPr>
          <w:lang w:val="uk-UA"/>
        </w:rPr>
        <w:t>п</w:t>
      </w:r>
      <w:r w:rsidRPr="00BF07D6">
        <w:rPr>
          <w:lang w:val="uk-UA"/>
        </w:rPr>
        <w:t xml:space="preserve">лив на ключові інтереси </w:t>
      </w:r>
      <w:r w:rsidR="008A69B3" w:rsidRPr="00BF07D6">
        <w:rPr>
          <w:lang w:val="uk-UA"/>
        </w:rPr>
        <w:t>в</w:t>
      </w:r>
      <w:r w:rsidRPr="00BF07D6">
        <w:rPr>
          <w:lang w:val="uk-UA"/>
        </w:rPr>
        <w:t>сіх заінтересованих сторін</w:t>
      </w:r>
    </w:p>
    <w:tbl>
      <w:tblPr>
        <w:tblStyle w:val="a4"/>
        <w:tblW w:w="15086" w:type="dxa"/>
        <w:tblLook w:val="04A0" w:firstRow="1" w:lastRow="0" w:firstColumn="1" w:lastColumn="0" w:noHBand="0" w:noVBand="1"/>
      </w:tblPr>
      <w:tblGrid>
        <w:gridCol w:w="2144"/>
        <w:gridCol w:w="1641"/>
        <w:gridCol w:w="3836"/>
        <w:gridCol w:w="3213"/>
        <w:gridCol w:w="4252"/>
      </w:tblGrid>
      <w:tr w:rsidR="00672E30" w:rsidRPr="00BF07D6" w:rsidTr="00AB73F1">
        <w:tc>
          <w:tcPr>
            <w:tcW w:w="2144" w:type="dxa"/>
            <w:vMerge w:val="restart"/>
            <w:vAlign w:val="center"/>
          </w:tcPr>
          <w:p w:rsidR="002C2CFA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Заінтересована сторона</w:t>
            </w:r>
          </w:p>
        </w:tc>
        <w:tc>
          <w:tcPr>
            <w:tcW w:w="1641" w:type="dxa"/>
            <w:vMerge w:val="restart"/>
            <w:vAlign w:val="center"/>
          </w:tcPr>
          <w:p w:rsidR="002C2CFA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Ключовий інтерес</w:t>
            </w:r>
          </w:p>
        </w:tc>
        <w:tc>
          <w:tcPr>
            <w:tcW w:w="7049" w:type="dxa"/>
            <w:gridSpan w:val="2"/>
            <w:vAlign w:val="center"/>
          </w:tcPr>
          <w:p w:rsidR="008403E1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2C2CFA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(у числовому або якісному вимірі)</w:t>
            </w:r>
          </w:p>
        </w:tc>
        <w:tc>
          <w:tcPr>
            <w:tcW w:w="4252" w:type="dxa"/>
            <w:vMerge w:val="restart"/>
            <w:vAlign w:val="center"/>
          </w:tcPr>
          <w:p w:rsidR="002C2CFA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 xml:space="preserve">Пояснення (чому саме реалізація </w:t>
            </w:r>
            <w:proofErr w:type="spellStart"/>
            <w:r w:rsidRPr="00BF07D6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BF07D6">
              <w:rPr>
                <w:sz w:val="24"/>
                <w:szCs w:val="24"/>
                <w:lang w:val="uk-UA"/>
              </w:rPr>
              <w:t xml:space="preserve"> призведе до очікуваного впливу)</w:t>
            </w:r>
          </w:p>
        </w:tc>
      </w:tr>
      <w:tr w:rsidR="00BF07D6" w:rsidRPr="00BF07D6" w:rsidTr="00AB73F1">
        <w:tc>
          <w:tcPr>
            <w:tcW w:w="2144" w:type="dxa"/>
            <w:vMerge/>
          </w:tcPr>
          <w:p w:rsidR="002C2CFA" w:rsidRPr="00BF07D6" w:rsidRDefault="002C2CFA" w:rsidP="00BF07D6">
            <w:pPr>
              <w:tabs>
                <w:tab w:val="left" w:pos="-3686"/>
              </w:tabs>
              <w:ind w:right="4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Merge/>
          </w:tcPr>
          <w:p w:rsidR="002C2CFA" w:rsidRPr="00BF07D6" w:rsidRDefault="002C2CFA" w:rsidP="00BF07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36" w:type="dxa"/>
          </w:tcPr>
          <w:p w:rsidR="002C2CFA" w:rsidRPr="00BF07D6" w:rsidRDefault="005C23B9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короткостроковий вплив (до року)</w:t>
            </w:r>
          </w:p>
        </w:tc>
        <w:tc>
          <w:tcPr>
            <w:tcW w:w="3213" w:type="dxa"/>
          </w:tcPr>
          <w:p w:rsidR="005C23B9" w:rsidRPr="00BF07D6" w:rsidRDefault="005C23B9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середньостроковий вплив</w:t>
            </w:r>
          </w:p>
          <w:p w:rsidR="002C2CFA" w:rsidRPr="00BF07D6" w:rsidRDefault="005C23B9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(більше року)</w:t>
            </w:r>
          </w:p>
        </w:tc>
        <w:tc>
          <w:tcPr>
            <w:tcW w:w="4252" w:type="dxa"/>
            <w:vMerge/>
          </w:tcPr>
          <w:p w:rsidR="002C2CFA" w:rsidRPr="00BF07D6" w:rsidRDefault="002C2CFA" w:rsidP="00BF07D6">
            <w:pPr>
              <w:rPr>
                <w:sz w:val="24"/>
                <w:szCs w:val="24"/>
                <w:lang w:val="uk-UA"/>
              </w:rPr>
            </w:pPr>
          </w:p>
        </w:tc>
      </w:tr>
      <w:tr w:rsidR="00BF07D6" w:rsidRPr="00BF07D6" w:rsidTr="00AB73F1">
        <w:tc>
          <w:tcPr>
            <w:tcW w:w="2144" w:type="dxa"/>
          </w:tcPr>
          <w:p w:rsidR="009A6DFF" w:rsidRPr="00BF07D6" w:rsidRDefault="008B559E" w:rsidP="00BF07D6">
            <w:pPr>
              <w:tabs>
                <w:tab w:val="left" w:pos="-3686"/>
              </w:tabs>
              <w:ind w:right="45"/>
              <w:jc w:val="both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lastRenderedPageBreak/>
              <w:t>ПАТ «</w:t>
            </w:r>
            <w:proofErr w:type="spellStart"/>
            <w:r w:rsidRPr="00BF07D6">
              <w:rPr>
                <w:sz w:val="24"/>
                <w:szCs w:val="24"/>
                <w:lang w:val="uk-UA"/>
              </w:rPr>
              <w:t>Укрза</w:t>
            </w:r>
            <w:r w:rsidR="00F56FF6" w:rsidRPr="00BF07D6">
              <w:rPr>
                <w:sz w:val="24"/>
                <w:szCs w:val="24"/>
                <w:lang w:val="uk-UA"/>
              </w:rPr>
              <w:t>-</w:t>
            </w:r>
            <w:r w:rsidRPr="00BF07D6">
              <w:rPr>
                <w:sz w:val="24"/>
                <w:szCs w:val="24"/>
                <w:lang w:val="uk-UA"/>
              </w:rPr>
              <w:t>лізниця</w:t>
            </w:r>
            <w:proofErr w:type="spellEnd"/>
            <w:r w:rsidRPr="00BF07D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41" w:type="dxa"/>
          </w:tcPr>
          <w:p w:rsidR="009A6DFF" w:rsidRPr="00BF07D6" w:rsidRDefault="00672E30" w:rsidP="00715DD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F07D6">
              <w:rPr>
                <w:sz w:val="24"/>
                <w:szCs w:val="24"/>
                <w:lang w:val="uk-UA"/>
              </w:rPr>
              <w:t>Удосконален</w:t>
            </w:r>
            <w:proofErr w:type="spellEnd"/>
            <w:r w:rsidRPr="00BF07D6">
              <w:rPr>
                <w:sz w:val="24"/>
                <w:szCs w:val="24"/>
                <w:lang w:val="uk-UA"/>
              </w:rPr>
              <w:t>-ня тарифної політики</w:t>
            </w:r>
            <w:r w:rsidR="00715DD4">
              <w:rPr>
                <w:sz w:val="24"/>
                <w:szCs w:val="24"/>
                <w:lang w:val="uk-UA"/>
              </w:rPr>
              <w:t xml:space="preserve"> та</w:t>
            </w:r>
            <w:r w:rsidRPr="00BF07D6">
              <w:rPr>
                <w:sz w:val="24"/>
                <w:szCs w:val="24"/>
                <w:lang w:val="uk-UA"/>
              </w:rPr>
              <w:t xml:space="preserve"> уніфікація тарифів на перевезення порожніх вагонів</w:t>
            </w:r>
          </w:p>
        </w:tc>
        <w:tc>
          <w:tcPr>
            <w:tcW w:w="3836" w:type="dxa"/>
          </w:tcPr>
          <w:p w:rsidR="009A6DFF" w:rsidRPr="00BF07D6" w:rsidRDefault="00672E30" w:rsidP="00BF07D6">
            <w:pPr>
              <w:jc w:val="both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0,972</w:t>
            </w:r>
            <w:r w:rsidR="00D76AF2" w:rsidRPr="00BF07D6">
              <w:rPr>
                <w:sz w:val="24"/>
                <w:szCs w:val="24"/>
                <w:lang w:val="uk-UA"/>
              </w:rPr>
              <w:t xml:space="preserve"> млрд. грн. буде </w:t>
            </w:r>
            <w:r w:rsidR="008A69B3" w:rsidRPr="00BF07D6">
              <w:rPr>
                <w:sz w:val="24"/>
                <w:szCs w:val="24"/>
                <w:lang w:val="uk-UA"/>
              </w:rPr>
              <w:t xml:space="preserve">витрачено на </w:t>
            </w:r>
            <w:r w:rsidRPr="00BF07D6">
              <w:rPr>
                <w:sz w:val="24"/>
                <w:szCs w:val="24"/>
                <w:lang w:val="uk-UA"/>
              </w:rPr>
              <w:t xml:space="preserve">модернізацію 2707 од. вантажних вагонів та </w:t>
            </w:r>
            <w:r w:rsidR="009C2213" w:rsidRPr="00BF07D6">
              <w:rPr>
                <w:sz w:val="24"/>
                <w:szCs w:val="24"/>
                <w:lang w:val="uk-UA"/>
              </w:rPr>
              <w:t>виготовлен</w:t>
            </w:r>
            <w:r w:rsidR="008A69B3" w:rsidRPr="00BF07D6">
              <w:rPr>
                <w:sz w:val="24"/>
                <w:szCs w:val="24"/>
                <w:lang w:val="uk-UA"/>
              </w:rPr>
              <w:t>ня</w:t>
            </w:r>
            <w:r w:rsidR="009C2213" w:rsidRPr="00BF07D6">
              <w:rPr>
                <w:sz w:val="24"/>
                <w:szCs w:val="24"/>
                <w:lang w:val="uk-UA"/>
              </w:rPr>
              <w:t xml:space="preserve"> 557 од. вантажних вагонів</w:t>
            </w:r>
          </w:p>
        </w:tc>
        <w:tc>
          <w:tcPr>
            <w:tcW w:w="3213" w:type="dxa"/>
          </w:tcPr>
          <w:p w:rsidR="009A6DFF" w:rsidRPr="00BF07D6" w:rsidRDefault="009C2213" w:rsidP="00BF07D6">
            <w:pPr>
              <w:jc w:val="both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 xml:space="preserve">Буде </w:t>
            </w:r>
            <w:r w:rsidR="008A69B3" w:rsidRPr="00BF07D6">
              <w:rPr>
                <w:sz w:val="24"/>
                <w:szCs w:val="24"/>
                <w:lang w:val="uk-UA"/>
              </w:rPr>
              <w:t>в</w:t>
            </w:r>
            <w:r w:rsidRPr="00BF07D6">
              <w:rPr>
                <w:sz w:val="24"/>
                <w:szCs w:val="24"/>
                <w:lang w:val="uk-UA"/>
              </w:rPr>
              <w:t>досконалюватися тарифна політика на залізничному транспорті</w:t>
            </w:r>
          </w:p>
        </w:tc>
        <w:tc>
          <w:tcPr>
            <w:tcW w:w="4252" w:type="dxa"/>
          </w:tcPr>
          <w:p w:rsidR="0021544A" w:rsidRDefault="0013748D" w:rsidP="00BF07D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Наказом </w:t>
            </w:r>
            <w:r w:rsidR="009C2213" w:rsidRPr="00BF07D6">
              <w:rPr>
                <w:sz w:val="24"/>
                <w:szCs w:val="24"/>
                <w:lang w:val="uk-UA"/>
              </w:rPr>
              <w:t xml:space="preserve">будуть внесені зміни до Коефіцієнтів, </w:t>
            </w:r>
          </w:p>
          <w:p w:rsidR="009A6DFF" w:rsidRPr="00BF07D6" w:rsidRDefault="009C2213" w:rsidP="00BF07D6">
            <w:pPr>
              <w:jc w:val="both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 xml:space="preserve">що застосовуються до тарифів Збірника тарифів на перевезення вантажів залізничним транспортом у межах України та пов’язані з ними послуги, які дозволять </w:t>
            </w:r>
            <w:r w:rsidR="00672E30" w:rsidRPr="00BF07D6">
              <w:rPr>
                <w:sz w:val="24"/>
                <w:szCs w:val="24"/>
                <w:lang w:val="uk-UA"/>
              </w:rPr>
              <w:t>встановити єдиний коефіцієнт до тарифів</w:t>
            </w:r>
          </w:p>
        </w:tc>
      </w:tr>
      <w:tr w:rsidR="00672E30" w:rsidRPr="00AB73F1" w:rsidTr="00AB73F1">
        <w:tc>
          <w:tcPr>
            <w:tcW w:w="2144" w:type="dxa"/>
          </w:tcPr>
          <w:p w:rsidR="008B559E" w:rsidRPr="00BF07D6" w:rsidRDefault="008B559E" w:rsidP="00BF07D6">
            <w:pPr>
              <w:tabs>
                <w:tab w:val="left" w:pos="-3686"/>
              </w:tabs>
              <w:ind w:right="45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F07D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Суб’єкти господарювання, що є учасниками процесу перевезення залізничним транспортом </w:t>
            </w:r>
            <w:r w:rsidR="00672E30" w:rsidRPr="00BF07D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порожніх вагонів, власники вагонів та оператор</w:t>
            </w:r>
            <w:r w:rsidR="00BF07D6" w:rsidRPr="00BF07D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641" w:type="dxa"/>
          </w:tcPr>
          <w:p w:rsidR="0039592E" w:rsidRPr="00BF07D6" w:rsidRDefault="0039592E" w:rsidP="00BF07D6">
            <w:pPr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 xml:space="preserve">Покращення якості послуг за рахунок  проведення запланованих модернізації </w:t>
            </w:r>
            <w:r w:rsidR="00672E30" w:rsidRPr="00BF07D6">
              <w:rPr>
                <w:sz w:val="24"/>
                <w:szCs w:val="24"/>
                <w:lang w:val="uk-UA"/>
              </w:rPr>
              <w:t xml:space="preserve">вантажних вагонів та їх </w:t>
            </w:r>
            <w:r w:rsidRPr="00BF07D6">
              <w:rPr>
                <w:sz w:val="24"/>
                <w:szCs w:val="24"/>
                <w:lang w:val="uk-UA"/>
              </w:rPr>
              <w:t xml:space="preserve">виготовлення  </w:t>
            </w:r>
          </w:p>
        </w:tc>
        <w:tc>
          <w:tcPr>
            <w:tcW w:w="3836" w:type="dxa"/>
          </w:tcPr>
          <w:p w:rsidR="008B559E" w:rsidRPr="00BF07D6" w:rsidRDefault="0039592E" w:rsidP="00BF07D6">
            <w:pPr>
              <w:jc w:val="both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 xml:space="preserve">Збільшення рівня державно регульованих тарифів у середньорічному розрахунку відбудеться </w:t>
            </w:r>
            <w:r w:rsidR="00021AF2" w:rsidRPr="00BF07D6">
              <w:rPr>
                <w:sz w:val="24"/>
                <w:szCs w:val="24"/>
                <w:lang w:val="uk-UA"/>
              </w:rPr>
              <w:t xml:space="preserve">на 17,8%, а не </w:t>
            </w:r>
            <w:r w:rsidR="009C2213" w:rsidRPr="00BF07D6">
              <w:rPr>
                <w:sz w:val="24"/>
                <w:szCs w:val="24"/>
                <w:lang w:val="uk-UA"/>
              </w:rPr>
              <w:t xml:space="preserve">на </w:t>
            </w:r>
            <w:r w:rsidR="00021AF2" w:rsidRPr="00BF07D6">
              <w:rPr>
                <w:sz w:val="24"/>
                <w:szCs w:val="24"/>
                <w:lang w:val="uk-UA"/>
              </w:rPr>
              <w:t xml:space="preserve">34%, як  </w:t>
            </w:r>
            <w:r w:rsidRPr="00BF07D6">
              <w:rPr>
                <w:sz w:val="24"/>
                <w:szCs w:val="24"/>
                <w:lang w:val="uk-UA"/>
              </w:rPr>
              <w:t>запланован</w:t>
            </w:r>
            <w:r w:rsidR="00021AF2" w:rsidRPr="00BF07D6">
              <w:rPr>
                <w:sz w:val="24"/>
                <w:szCs w:val="24"/>
                <w:lang w:val="uk-UA"/>
              </w:rPr>
              <w:t>о</w:t>
            </w:r>
            <w:r w:rsidR="008A69B3" w:rsidRPr="00BF07D6">
              <w:rPr>
                <w:sz w:val="24"/>
                <w:szCs w:val="24"/>
                <w:lang w:val="uk-UA"/>
              </w:rPr>
              <w:t xml:space="preserve"> в </w:t>
            </w:r>
            <w:r w:rsidRPr="00BF07D6">
              <w:rPr>
                <w:sz w:val="24"/>
                <w:szCs w:val="24"/>
                <w:lang w:val="uk-UA"/>
              </w:rPr>
              <w:t xml:space="preserve">кількісних припущеннях прогнозу основних </w:t>
            </w:r>
            <w:proofErr w:type="spellStart"/>
            <w:r w:rsidRPr="00BF07D6">
              <w:rPr>
                <w:sz w:val="24"/>
                <w:szCs w:val="24"/>
                <w:lang w:val="uk-UA"/>
              </w:rPr>
              <w:t>макропоказників</w:t>
            </w:r>
            <w:proofErr w:type="spellEnd"/>
            <w:r w:rsidRPr="00BF07D6">
              <w:rPr>
                <w:sz w:val="24"/>
                <w:szCs w:val="24"/>
                <w:lang w:val="uk-UA"/>
              </w:rPr>
              <w:t xml:space="preserve"> економічного </w:t>
            </w:r>
            <w:r w:rsidR="008A69B3" w:rsidRPr="00BF07D6">
              <w:rPr>
                <w:sz w:val="24"/>
                <w:szCs w:val="24"/>
                <w:lang w:val="uk-UA"/>
              </w:rPr>
              <w:t>й</w:t>
            </w:r>
            <w:r w:rsidRPr="00BF07D6">
              <w:rPr>
                <w:sz w:val="24"/>
                <w:szCs w:val="24"/>
                <w:lang w:val="uk-UA"/>
              </w:rPr>
              <w:t xml:space="preserve"> соціального розвитку України на 2018 рік, схвалених постановою Кабінету Міністрів України від </w:t>
            </w:r>
            <w:r w:rsidR="00C86B74">
              <w:rPr>
                <w:sz w:val="24"/>
                <w:szCs w:val="24"/>
                <w:lang w:val="uk-UA"/>
              </w:rPr>
              <w:br/>
            </w:r>
            <w:r w:rsidRPr="00BF07D6">
              <w:rPr>
                <w:sz w:val="24"/>
                <w:szCs w:val="24"/>
                <w:lang w:val="uk-UA"/>
              </w:rPr>
              <w:t>01 грудня 2017 року «Про внесення змін у додатки 1 і 2 до постанови Кабінету Міністрів України</w:t>
            </w:r>
            <w:r w:rsidR="008A69B3" w:rsidRPr="00BF07D6">
              <w:rPr>
                <w:sz w:val="24"/>
                <w:szCs w:val="24"/>
                <w:lang w:val="uk-UA"/>
              </w:rPr>
              <w:t xml:space="preserve"> від </w:t>
            </w:r>
            <w:r w:rsidR="00C86B74">
              <w:rPr>
                <w:sz w:val="24"/>
                <w:szCs w:val="24"/>
                <w:lang w:val="uk-UA"/>
              </w:rPr>
              <w:br/>
            </w:r>
            <w:r w:rsidR="008A69B3" w:rsidRPr="00BF07D6">
              <w:rPr>
                <w:sz w:val="24"/>
                <w:szCs w:val="24"/>
                <w:lang w:val="uk-UA"/>
              </w:rPr>
              <w:t>31 травня 2017 року № 411»</w:t>
            </w:r>
          </w:p>
        </w:tc>
        <w:tc>
          <w:tcPr>
            <w:tcW w:w="3213" w:type="dxa"/>
          </w:tcPr>
          <w:p w:rsidR="008B559E" w:rsidRPr="00BF07D6" w:rsidRDefault="00FC2CBE" w:rsidP="00BF07D6">
            <w:pPr>
              <w:jc w:val="both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За наявн</w:t>
            </w:r>
            <w:r w:rsidR="008A69B3" w:rsidRPr="00BF07D6">
              <w:rPr>
                <w:sz w:val="24"/>
                <w:szCs w:val="24"/>
                <w:lang w:val="uk-UA"/>
              </w:rPr>
              <w:t xml:space="preserve">ості </w:t>
            </w:r>
            <w:r w:rsidRPr="00BF07D6">
              <w:rPr>
                <w:sz w:val="24"/>
                <w:szCs w:val="24"/>
                <w:lang w:val="uk-UA"/>
              </w:rPr>
              <w:t xml:space="preserve">коштів будуть поліпшуватися умови </w:t>
            </w:r>
            <w:r w:rsidR="0008427F">
              <w:rPr>
                <w:sz w:val="24"/>
                <w:szCs w:val="24"/>
                <w:lang w:val="uk-UA"/>
              </w:rPr>
              <w:t>і</w:t>
            </w:r>
            <w:r w:rsidRPr="00BF07D6">
              <w:rPr>
                <w:sz w:val="24"/>
                <w:szCs w:val="24"/>
                <w:lang w:val="uk-UA"/>
              </w:rPr>
              <w:t>з  забезпечення здійснення перевезень вантажів залізничним транспортом</w:t>
            </w:r>
          </w:p>
        </w:tc>
        <w:tc>
          <w:tcPr>
            <w:tcW w:w="4252" w:type="dxa"/>
          </w:tcPr>
          <w:p w:rsidR="008B559E" w:rsidRPr="00BF07D6" w:rsidRDefault="00FC2CBE" w:rsidP="00BF07D6">
            <w:pPr>
              <w:jc w:val="both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 xml:space="preserve">Кошти, одержані від </w:t>
            </w:r>
            <w:r w:rsidR="00672E30" w:rsidRPr="00BF07D6">
              <w:rPr>
                <w:sz w:val="24"/>
                <w:szCs w:val="24"/>
                <w:lang w:val="uk-UA"/>
              </w:rPr>
              <w:t>уніфікації тарифів на перевезення порожніх вагонів,</w:t>
            </w:r>
            <w:r w:rsidRPr="00BF07D6">
              <w:rPr>
                <w:sz w:val="24"/>
                <w:szCs w:val="24"/>
                <w:lang w:val="uk-UA"/>
              </w:rPr>
              <w:t xml:space="preserve"> дозволять здійснити заплановані </w:t>
            </w:r>
            <w:r w:rsidR="00672E30" w:rsidRPr="00BF07D6">
              <w:rPr>
                <w:sz w:val="24"/>
                <w:szCs w:val="24"/>
                <w:lang w:val="uk-UA"/>
              </w:rPr>
              <w:t xml:space="preserve">модернізацію вантажних вагонів та їх виготовлення </w:t>
            </w:r>
          </w:p>
        </w:tc>
      </w:tr>
    </w:tbl>
    <w:p w:rsidR="009A6DFF" w:rsidRPr="00BF07D6" w:rsidRDefault="009A6DFF" w:rsidP="00BF07D6">
      <w:pPr>
        <w:spacing w:after="0" w:line="240" w:lineRule="auto"/>
        <w:rPr>
          <w:lang w:val="uk-UA"/>
        </w:rPr>
      </w:pPr>
    </w:p>
    <w:sectPr w:rsidR="009A6DFF" w:rsidRPr="00BF07D6" w:rsidSect="00AB73F1">
      <w:headerReference w:type="default" r:id="rId8"/>
      <w:pgSz w:w="16838" w:h="11906" w:orient="landscape" w:code="9"/>
      <w:pgMar w:top="1701" w:right="1134" w:bottom="567" w:left="1134" w:header="346" w:footer="2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8B" w:rsidRDefault="0055758B" w:rsidP="008B014D">
      <w:pPr>
        <w:spacing w:after="0" w:line="240" w:lineRule="auto"/>
      </w:pPr>
      <w:r>
        <w:separator/>
      </w:r>
    </w:p>
  </w:endnote>
  <w:endnote w:type="continuationSeparator" w:id="0">
    <w:p w:rsidR="0055758B" w:rsidRDefault="0055758B" w:rsidP="008B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8B" w:rsidRDefault="0055758B" w:rsidP="008B014D">
      <w:pPr>
        <w:spacing w:after="0" w:line="240" w:lineRule="auto"/>
      </w:pPr>
      <w:r>
        <w:separator/>
      </w:r>
    </w:p>
  </w:footnote>
  <w:footnote w:type="continuationSeparator" w:id="0">
    <w:p w:rsidR="0055758B" w:rsidRDefault="0055758B" w:rsidP="008B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4276"/>
      <w:docPartObj>
        <w:docPartGallery w:val="Page Numbers (Top of Page)"/>
        <w:docPartUnique/>
      </w:docPartObj>
    </w:sdtPr>
    <w:sdtEndPr/>
    <w:sdtContent>
      <w:p w:rsidR="008B014D" w:rsidRDefault="008B01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1D">
          <w:rPr>
            <w:noProof/>
          </w:rPr>
          <w:t>2</w:t>
        </w:r>
        <w:r>
          <w:fldChar w:fldCharType="end"/>
        </w:r>
      </w:p>
    </w:sdtContent>
  </w:sdt>
  <w:p w:rsidR="00DA0F7C" w:rsidRDefault="0021544A" w:rsidP="00DA0F7C">
    <w:pPr>
      <w:pStyle w:val="a7"/>
      <w:tabs>
        <w:tab w:val="left" w:pos="5882"/>
        <w:tab w:val="left" w:pos="7051"/>
      </w:tabs>
      <w:rPr>
        <w:lang w:val="uk-UA"/>
      </w:rPr>
    </w:pPr>
    <w:r>
      <w:rPr>
        <w:lang w:val="uk-UA"/>
      </w:rPr>
      <w:tab/>
    </w:r>
    <w:r>
      <w:rPr>
        <w:lang w:val="uk-UA"/>
      </w:rPr>
      <w:tab/>
    </w:r>
  </w:p>
  <w:p w:rsidR="00DA0F7C" w:rsidRDefault="00DA0F7C" w:rsidP="00AB73F1">
    <w:pPr>
      <w:pStyle w:val="a7"/>
      <w:tabs>
        <w:tab w:val="clear" w:pos="4677"/>
        <w:tab w:val="clear" w:pos="9355"/>
        <w:tab w:val="left" w:pos="6460"/>
        <w:tab w:val="left" w:pos="6589"/>
      </w:tabs>
      <w:rPr>
        <w:lang w:val="uk-UA"/>
      </w:rPr>
    </w:pPr>
    <w:r>
      <w:rPr>
        <w:lang w:val="uk-UA"/>
      </w:rPr>
      <w:tab/>
    </w:r>
    <w:r w:rsidR="00AB73F1">
      <w:rPr>
        <w:lang w:val="en-US"/>
      </w:rPr>
      <w:tab/>
    </w:r>
    <w:r w:rsidR="00AB73F1">
      <w:rPr>
        <w:lang w:val="en-US"/>
      </w:rPr>
      <w:tab/>
    </w:r>
    <w:r w:rsidR="00AB73F1">
      <w:rPr>
        <w:lang w:val="en-US"/>
      </w:rPr>
      <w:tab/>
    </w:r>
    <w:r w:rsidR="00AB73F1">
      <w:rPr>
        <w:lang w:val="en-US"/>
      </w:rPr>
      <w:tab/>
    </w:r>
    <w:r w:rsidR="00AB73F1">
      <w:rPr>
        <w:lang w:val="en-US"/>
      </w:rPr>
      <w:tab/>
    </w:r>
    <w:r w:rsidR="00AB73F1">
      <w:rPr>
        <w:lang w:val="en-US"/>
      </w:rPr>
      <w:tab/>
    </w:r>
    <w:r w:rsidR="00AB73F1">
      <w:rPr>
        <w:lang w:val="en-US"/>
      </w:rPr>
      <w:tab/>
    </w:r>
    <w:r w:rsidR="00AB73F1">
      <w:rPr>
        <w:lang w:val="uk-UA"/>
      </w:rPr>
      <w:tab/>
    </w:r>
    <w:r>
      <w:rPr>
        <w:lang w:val="uk-UA"/>
      </w:rPr>
      <w:t>Продовження додатка</w:t>
    </w:r>
  </w:p>
  <w:p w:rsidR="008B014D" w:rsidRPr="0021544A" w:rsidRDefault="00DA0F7C" w:rsidP="00DA0F7C">
    <w:pPr>
      <w:pStyle w:val="a7"/>
      <w:tabs>
        <w:tab w:val="left" w:pos="5882"/>
        <w:tab w:val="left" w:pos="7051"/>
      </w:tabs>
      <w:rPr>
        <w:lang w:val="uk-UA"/>
      </w:rPr>
    </w:pPr>
    <w:r>
      <w:rPr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DB"/>
    <w:rsid w:val="00021AF2"/>
    <w:rsid w:val="0008427F"/>
    <w:rsid w:val="000D4152"/>
    <w:rsid w:val="000E2DC1"/>
    <w:rsid w:val="0013748D"/>
    <w:rsid w:val="00193577"/>
    <w:rsid w:val="0021544A"/>
    <w:rsid w:val="00220A63"/>
    <w:rsid w:val="00245F87"/>
    <w:rsid w:val="002C2CFA"/>
    <w:rsid w:val="0039592E"/>
    <w:rsid w:val="004050D7"/>
    <w:rsid w:val="00454D0D"/>
    <w:rsid w:val="004A5611"/>
    <w:rsid w:val="0055758B"/>
    <w:rsid w:val="005C23B9"/>
    <w:rsid w:val="005F37A9"/>
    <w:rsid w:val="00611571"/>
    <w:rsid w:val="00634838"/>
    <w:rsid w:val="00672E30"/>
    <w:rsid w:val="00715DD4"/>
    <w:rsid w:val="00757193"/>
    <w:rsid w:val="007D30E3"/>
    <w:rsid w:val="008403E1"/>
    <w:rsid w:val="00855532"/>
    <w:rsid w:val="008A69B3"/>
    <w:rsid w:val="008B014D"/>
    <w:rsid w:val="008B559E"/>
    <w:rsid w:val="008C20FA"/>
    <w:rsid w:val="00903610"/>
    <w:rsid w:val="009A6DFF"/>
    <w:rsid w:val="009C2213"/>
    <w:rsid w:val="00A126FF"/>
    <w:rsid w:val="00A329EE"/>
    <w:rsid w:val="00A7371D"/>
    <w:rsid w:val="00AB73F1"/>
    <w:rsid w:val="00AE0E0F"/>
    <w:rsid w:val="00B44A88"/>
    <w:rsid w:val="00B45BD8"/>
    <w:rsid w:val="00B502DB"/>
    <w:rsid w:val="00B73276"/>
    <w:rsid w:val="00B735F7"/>
    <w:rsid w:val="00BC088E"/>
    <w:rsid w:val="00BF07D6"/>
    <w:rsid w:val="00C13E87"/>
    <w:rsid w:val="00C367AA"/>
    <w:rsid w:val="00C86B74"/>
    <w:rsid w:val="00C92EA7"/>
    <w:rsid w:val="00CF125B"/>
    <w:rsid w:val="00D76AF2"/>
    <w:rsid w:val="00DA0F7C"/>
    <w:rsid w:val="00E30050"/>
    <w:rsid w:val="00EA5723"/>
    <w:rsid w:val="00EE5CCE"/>
    <w:rsid w:val="00F56FF6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DB"/>
    <w:pPr>
      <w:ind w:left="720"/>
      <w:contextualSpacing/>
    </w:pPr>
  </w:style>
  <w:style w:type="table" w:styleId="a4">
    <w:name w:val="Table Grid"/>
    <w:basedOn w:val="a1"/>
    <w:uiPriority w:val="39"/>
    <w:rsid w:val="009A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1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14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DB"/>
    <w:pPr>
      <w:ind w:left="720"/>
      <w:contextualSpacing/>
    </w:pPr>
  </w:style>
  <w:style w:type="table" w:styleId="a4">
    <w:name w:val="Table Grid"/>
    <w:basedOn w:val="a1"/>
    <w:uiPriority w:val="39"/>
    <w:rsid w:val="009A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1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14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1B19-8C1B-4691-82E7-0C1CB358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Наталія Миколаївна</dc:creator>
  <cp:keywords/>
  <dc:description/>
  <cp:lastModifiedBy>Бєлінська Ольга Миколаївна</cp:lastModifiedBy>
  <cp:revision>93</cp:revision>
  <cp:lastPrinted>2018-07-13T12:57:00Z</cp:lastPrinted>
  <dcterms:created xsi:type="dcterms:W3CDTF">2018-06-26T14:49:00Z</dcterms:created>
  <dcterms:modified xsi:type="dcterms:W3CDTF">2018-07-13T13:11:00Z</dcterms:modified>
</cp:coreProperties>
</file>