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231A" w14:textId="77777777" w:rsidR="00692B86" w:rsidRPr="00023035" w:rsidRDefault="00692B86" w:rsidP="00692B86">
      <w:pPr>
        <w:pStyle w:val="p1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ПОЯСНЮВАЛЬНА ЗАПИСКА</w:t>
      </w:r>
    </w:p>
    <w:p w14:paraId="171C6428" w14:textId="77777777" w:rsidR="00692B86" w:rsidRPr="00023035" w:rsidRDefault="00692B86" w:rsidP="00692B86">
      <w:pPr>
        <w:pStyle w:val="p1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до проекту постанови Кабінету Міністрів України</w:t>
      </w:r>
      <w:r w:rsidRPr="00023035">
        <w:rPr>
          <w:rStyle w:val="apple-converted-space"/>
          <w:b/>
          <w:bCs/>
          <w:sz w:val="28"/>
          <w:szCs w:val="28"/>
          <w:lang w:val="uk-UA"/>
        </w:rPr>
        <w:t> </w:t>
      </w:r>
    </w:p>
    <w:p w14:paraId="373AFF7D" w14:textId="4C66BE9B" w:rsidR="00557F27" w:rsidRPr="00023035" w:rsidRDefault="00023035" w:rsidP="00557F27">
      <w:pPr>
        <w:pStyle w:val="p1"/>
        <w:rPr>
          <w:b/>
          <w:bCs/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«</w:t>
      </w:r>
      <w:r w:rsidR="00557F27" w:rsidRPr="00023035">
        <w:rPr>
          <w:b/>
          <w:bCs/>
          <w:sz w:val="28"/>
          <w:szCs w:val="28"/>
          <w:lang w:val="uk-UA"/>
        </w:rPr>
        <w:t>Про внесення змін до деяких поста</w:t>
      </w:r>
      <w:r w:rsidRPr="00023035">
        <w:rPr>
          <w:b/>
          <w:bCs/>
          <w:sz w:val="28"/>
          <w:szCs w:val="28"/>
          <w:lang w:val="uk-UA"/>
        </w:rPr>
        <w:t xml:space="preserve">нов </w:t>
      </w:r>
      <w:r w:rsidRPr="00023035">
        <w:rPr>
          <w:b/>
          <w:bCs/>
          <w:sz w:val="28"/>
          <w:szCs w:val="28"/>
          <w:lang w:val="uk-UA"/>
        </w:rPr>
        <w:br/>
        <w:t>Кабінету Міністрів України»</w:t>
      </w:r>
    </w:p>
    <w:p w14:paraId="6D6837A6" w14:textId="322A299B" w:rsidR="00692B86" w:rsidRDefault="00692B86" w:rsidP="00251B52">
      <w:pPr>
        <w:pStyle w:val="p2"/>
        <w:ind w:firstLine="709"/>
        <w:jc w:val="left"/>
        <w:rPr>
          <w:sz w:val="28"/>
          <w:szCs w:val="28"/>
          <w:lang w:val="uk-UA"/>
        </w:rPr>
      </w:pPr>
    </w:p>
    <w:p w14:paraId="168AF747" w14:textId="77777777" w:rsidR="0092287F" w:rsidRPr="00023035" w:rsidRDefault="0092287F" w:rsidP="00251B52">
      <w:pPr>
        <w:pStyle w:val="p2"/>
        <w:ind w:firstLine="709"/>
        <w:jc w:val="left"/>
        <w:rPr>
          <w:sz w:val="28"/>
          <w:szCs w:val="28"/>
          <w:lang w:val="uk-UA"/>
        </w:rPr>
      </w:pPr>
    </w:p>
    <w:p w14:paraId="73BCA825" w14:textId="77777777" w:rsidR="00692B86" w:rsidRPr="00023035" w:rsidRDefault="00692B86" w:rsidP="00251B52">
      <w:pPr>
        <w:pStyle w:val="p3"/>
        <w:numPr>
          <w:ilvl w:val="0"/>
          <w:numId w:val="1"/>
        </w:numPr>
        <w:ind w:left="0" w:firstLine="709"/>
        <w:rPr>
          <w:b/>
          <w:bCs/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Обґрунтування необхідності прийняття акта</w:t>
      </w:r>
    </w:p>
    <w:p w14:paraId="41A56A4D" w14:textId="77777777" w:rsidR="00ED51D4" w:rsidRPr="00023035" w:rsidRDefault="00ED51D4" w:rsidP="00251B52">
      <w:pPr>
        <w:pStyle w:val="p3"/>
        <w:ind w:firstLine="709"/>
        <w:rPr>
          <w:sz w:val="28"/>
          <w:szCs w:val="28"/>
          <w:lang w:val="uk-UA"/>
        </w:rPr>
      </w:pPr>
    </w:p>
    <w:p w14:paraId="0C5955C4" w14:textId="75D89BFE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54D48">
        <w:rPr>
          <w:sz w:val="28"/>
          <w:szCs w:val="28"/>
          <w:lang w:val="uk-UA"/>
        </w:rPr>
        <w:t xml:space="preserve">Проект постанови Кабінету Міністрів України </w:t>
      </w:r>
      <w:r w:rsidRPr="00054D48">
        <w:rPr>
          <w:color w:val="000000"/>
          <w:sz w:val="28"/>
          <w:szCs w:val="28"/>
          <w:lang w:val="uk-UA"/>
        </w:rPr>
        <w:t>«</w:t>
      </w:r>
      <w:r w:rsidRPr="00054D48">
        <w:rPr>
          <w:bCs/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Pr="00054D48">
        <w:rPr>
          <w:color w:val="000000"/>
          <w:sz w:val="28"/>
          <w:szCs w:val="28"/>
          <w:lang w:val="uk-UA"/>
        </w:rPr>
        <w:t>»</w:t>
      </w:r>
      <w:r w:rsidRPr="00054D48">
        <w:rPr>
          <w:bCs/>
          <w:sz w:val="28"/>
          <w:szCs w:val="28"/>
          <w:lang w:val="uk-UA"/>
        </w:rPr>
        <w:t>, що стосується внесення змін до 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ними, затвердженої постановою Кабінету Міністрів України від 21 травня 2012 року № 451</w:t>
      </w:r>
      <w:r w:rsidR="0092287F">
        <w:rPr>
          <w:bCs/>
          <w:sz w:val="28"/>
          <w:szCs w:val="28"/>
          <w:lang w:val="uk-UA"/>
        </w:rPr>
        <w:t>,</w:t>
      </w:r>
      <w:r w:rsidRPr="00054D48">
        <w:rPr>
          <w:bCs/>
          <w:sz w:val="28"/>
          <w:szCs w:val="28"/>
          <w:lang w:val="uk-UA"/>
        </w:rPr>
        <w:t xml:space="preserve"> та Порядку  інформаційного обміну між органами доходів і зборів, іншими державними органами та підприємствами за принципом </w:t>
      </w:r>
      <w:r>
        <w:rPr>
          <w:sz w:val="28"/>
          <w:szCs w:val="28"/>
          <w:lang w:val="uk-UA" w:bidi="uk-UA"/>
        </w:rPr>
        <w:t xml:space="preserve">«єдиного вікна» </w:t>
      </w:r>
      <w:r w:rsidRPr="00054D48">
        <w:rPr>
          <w:bCs/>
          <w:sz w:val="28"/>
          <w:szCs w:val="28"/>
          <w:lang w:val="uk-UA"/>
        </w:rPr>
        <w:t>з використанням електронних засобів передачі інформації, затвердженого постановою Кабінету Міністрів України від 25 травня 2016 року № 364</w:t>
      </w:r>
      <w:r w:rsidR="0092287F">
        <w:rPr>
          <w:bCs/>
          <w:sz w:val="28"/>
          <w:szCs w:val="28"/>
          <w:lang w:val="uk-UA"/>
        </w:rPr>
        <w:t>,</w:t>
      </w:r>
      <w:r w:rsidRPr="00054D48">
        <w:rPr>
          <w:sz w:val="28"/>
          <w:szCs w:val="28"/>
          <w:lang w:val="uk-UA"/>
        </w:rPr>
        <w:t xml:space="preserve"> розроблено з метою сприяння розвитку конкуренції, справляння позитивного впливу на конкурентне середовище в морських портах, а також знешкодження корупційних ризиків та підвищення довіри до держави.</w:t>
      </w:r>
    </w:p>
    <w:p w14:paraId="5A3BF926" w14:textId="77777777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54D48">
        <w:rPr>
          <w:sz w:val="28"/>
          <w:szCs w:val="28"/>
          <w:lang w:val="uk-UA"/>
        </w:rPr>
        <w:t>Саме вищевказані нормативно-правові акти є правовими підставами створення та функціонування Інформаційної системи портового співтовариства (далі – ІСПС).</w:t>
      </w:r>
    </w:p>
    <w:p w14:paraId="49D20271" w14:textId="77777777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/>
        </w:rPr>
      </w:pPr>
      <w:r w:rsidRPr="00054D48">
        <w:rPr>
          <w:sz w:val="28"/>
          <w:szCs w:val="28"/>
          <w:lang w:val="uk-UA"/>
        </w:rPr>
        <w:t xml:space="preserve">Відповідно до </w:t>
      </w:r>
      <w:r w:rsidRPr="00054D48">
        <w:rPr>
          <w:bCs/>
          <w:sz w:val="28"/>
          <w:szCs w:val="28"/>
          <w:lang w:val="uk-UA"/>
        </w:rPr>
        <w:t xml:space="preserve">Типової технологічної схеми пропуску ІСПС </w:t>
      </w:r>
      <w:r w:rsidRPr="00054D48">
        <w:rPr>
          <w:sz w:val="28"/>
          <w:szCs w:val="28"/>
          <w:lang w:val="uk-UA"/>
        </w:rPr>
        <w:t>- організаційно-технічна система, що дає можливість портовому співтовариству за допомогою технічних і програмних засобів накопичувати, перевіряти, обробляти, зберігати, обмінюватися та передавати в електронній формі інформацію і документи, необхідні для здійснення прикордонного, митного та інших видів контролю та оформлення осіб, товарів, у тому числі вантажу і багажу, і транспортних засобів, відповідає законодавству про електронний документообіг та враховує принцип “єдиного вікна” міжнародної практики, рекомендації міжнародних організацій;</w:t>
      </w:r>
    </w:p>
    <w:p w14:paraId="18B48883" w14:textId="3A432FA4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>ІСПС впроваджена в 2013 році під гаслом національного проекту «Єдине вікно</w:t>
      </w:r>
      <w:r w:rsidR="0092287F">
        <w:rPr>
          <w:sz w:val="28"/>
          <w:szCs w:val="28"/>
          <w:lang w:val="uk-UA" w:bidi="uk-UA"/>
        </w:rPr>
        <w:t xml:space="preserve"> </w:t>
      </w:r>
      <w:r w:rsidRPr="00054D48">
        <w:rPr>
          <w:sz w:val="28"/>
          <w:szCs w:val="28"/>
          <w:lang w:val="uk-UA" w:bidi="uk-UA"/>
        </w:rPr>
        <w:t>-</w:t>
      </w:r>
      <w:r w:rsidR="0092287F">
        <w:rPr>
          <w:sz w:val="28"/>
          <w:szCs w:val="28"/>
          <w:lang w:val="uk-UA" w:bidi="uk-UA"/>
        </w:rPr>
        <w:t xml:space="preserve"> </w:t>
      </w:r>
      <w:r w:rsidRPr="00054D48">
        <w:rPr>
          <w:sz w:val="28"/>
          <w:szCs w:val="28"/>
          <w:lang w:val="uk-UA" w:bidi="uk-UA"/>
        </w:rPr>
        <w:t>локальне рішення», спрямованого створити можливість для усіх учасників транспортного процесу надавати інформацію одночасно, в єдине місце, в стандартній формі та одному агентству, установі, організації, як це відбувається у найрозвинутіших країнах світу.</w:t>
      </w:r>
    </w:p>
    <w:p w14:paraId="60E5CCCD" w14:textId="77777777" w:rsidR="0039708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 xml:space="preserve">Проте, реальне функціонування ІСПС не відповідає проголошеній меті та первісним принципам, закріпленим у Рекомендаціях </w:t>
      </w:r>
      <w:r w:rsidRPr="00054D48">
        <w:rPr>
          <w:sz w:val="28"/>
          <w:szCs w:val="28"/>
          <w:lang w:val="uk-UA" w:bidi="ru-RU"/>
        </w:rPr>
        <w:t xml:space="preserve">СЕК ООН </w:t>
      </w:r>
      <w:r w:rsidRPr="00054D48">
        <w:rPr>
          <w:sz w:val="28"/>
          <w:szCs w:val="28"/>
          <w:lang w:val="uk-UA" w:bidi="uk-UA"/>
        </w:rPr>
        <w:t>№ 33. Вона являє собою інформатизацію та переведення в електрону форму внутрішнього портового документообігу. Для всіх користувачів портового співтовариства вона є безкоштовною, окрім експедиторів.</w:t>
      </w:r>
    </w:p>
    <w:p w14:paraId="6AEEABB0" w14:textId="029129F5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lastRenderedPageBreak/>
        <w:t>В</w:t>
      </w:r>
      <w:r w:rsidRPr="009C2906">
        <w:rPr>
          <w:sz w:val="28"/>
          <w:szCs w:val="28"/>
          <w:lang w:val="uk-UA" w:bidi="uk-UA"/>
        </w:rPr>
        <w:t>итрати транспортно - експедиторських організацій, які скористалися послугами Одеського морського порту у період з 01.01.2017 по 21.08.2017 з використанням ІСПС становлять 12 830 597,1 грн з ПДВ.</w:t>
      </w:r>
    </w:p>
    <w:p w14:paraId="613D6942" w14:textId="04B2A440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 xml:space="preserve">Отримавши 100 % монополію на </w:t>
      </w:r>
      <w:r w:rsidR="0092287F">
        <w:rPr>
          <w:sz w:val="28"/>
          <w:szCs w:val="28"/>
          <w:lang w:val="uk-UA" w:bidi="uk-UA"/>
        </w:rPr>
        <w:t>цей</w:t>
      </w:r>
      <w:r w:rsidRPr="00054D48">
        <w:rPr>
          <w:sz w:val="28"/>
          <w:szCs w:val="28"/>
          <w:lang w:val="uk-UA" w:bidi="uk-UA"/>
        </w:rPr>
        <w:t xml:space="preserve"> вид послуг приватна компанія встановлює самостійно тариф, який наразі становить 98,1 гривень з ПДВ за одиницю виміру - контейнер. До теперішнього часу обґрунтування чому оплата здійснюється за контейнер, а не за документ (оскільки для обробки подається саме документ) отримати не вда</w:t>
      </w:r>
      <w:r>
        <w:rPr>
          <w:sz w:val="28"/>
          <w:szCs w:val="28"/>
          <w:lang w:val="uk-UA" w:bidi="uk-UA"/>
        </w:rPr>
        <w:t>лося</w:t>
      </w:r>
      <w:r w:rsidRPr="00054D48">
        <w:rPr>
          <w:sz w:val="28"/>
          <w:szCs w:val="28"/>
          <w:lang w:val="uk-UA" w:bidi="uk-UA"/>
        </w:rPr>
        <w:t xml:space="preserve">. </w:t>
      </w:r>
    </w:p>
    <w:p w14:paraId="0BFBFF97" w14:textId="77777777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>Експедитори, які не погоджується - отримують повідомлення від постачальника послуг про відключення, після чого відключаються від доступу до ІСПС. Отримати саме таку послугу у іншого суб’єкту неможливо.</w:t>
      </w:r>
    </w:p>
    <w:p w14:paraId="5D890BEF" w14:textId="77034021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>До того ж, ІСПС не відповідає нормам законодавства України, зокрема</w:t>
      </w:r>
      <w:r w:rsidR="0092287F">
        <w:rPr>
          <w:sz w:val="28"/>
          <w:szCs w:val="28"/>
          <w:lang w:val="uk-UA" w:bidi="uk-UA"/>
        </w:rPr>
        <w:t>,</w:t>
      </w:r>
      <w:r w:rsidRPr="00054D48">
        <w:rPr>
          <w:sz w:val="28"/>
          <w:szCs w:val="28"/>
          <w:lang w:val="uk-UA" w:bidi="uk-UA"/>
        </w:rPr>
        <w:t xml:space="preserve"> нормам Митного кодексу України, відповідно до яких, контроль за переміщенням через митний кордон України може проводитись виключно державними органами за допомогою інформаційних систем та принципу «єдиного вікна». </w:t>
      </w:r>
    </w:p>
    <w:p w14:paraId="6D9BC5FC" w14:textId="19359583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 xml:space="preserve">Відповідно до п. 4 ст. 319 Митного кодексу України (далі - </w:t>
      </w:r>
      <w:r w:rsidR="0092287F">
        <w:rPr>
          <w:sz w:val="28"/>
          <w:szCs w:val="28"/>
          <w:lang w:val="uk-UA" w:bidi="uk-UA"/>
        </w:rPr>
        <w:t xml:space="preserve">                </w:t>
      </w:r>
      <w:r w:rsidRPr="00054D48">
        <w:rPr>
          <w:sz w:val="28"/>
          <w:szCs w:val="28"/>
          <w:lang w:val="uk-UA" w:bidi="uk-UA"/>
        </w:rPr>
        <w:t xml:space="preserve">МК України), контроль за переміщенням через митний кордон України окремих видів товарів, що проводиться іншими державними органами, здійснюється за принципом «єдиного вікна» відповідно до міжнародної </w:t>
      </w:r>
      <w:r w:rsidRPr="00054D48">
        <w:rPr>
          <w:sz w:val="28"/>
          <w:szCs w:val="28"/>
          <w:lang w:val="uk-UA" w:bidi="ru-RU"/>
        </w:rPr>
        <w:t xml:space="preserve">практики та </w:t>
      </w:r>
      <w:r w:rsidRPr="00054D48">
        <w:rPr>
          <w:sz w:val="28"/>
          <w:szCs w:val="28"/>
          <w:lang w:val="uk-UA" w:bidi="uk-UA"/>
        </w:rPr>
        <w:t>рекомендацій міжнародних організацій із застосуванням єдиної з органами доходів і зборів інформаційно-телекомунікаційної системи.</w:t>
      </w:r>
    </w:p>
    <w:p w14:paraId="0C073F8C" w14:textId="77777777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 w:bidi="uk-UA"/>
        </w:rPr>
        <w:t>У випадку з ІСПС контроль за переміщенням через митний кордон України проводиться за участю приватної юридичної особи, що є прямим порушенням зазначених вище норм МК України.</w:t>
      </w:r>
    </w:p>
    <w:p w14:paraId="0D1DA006" w14:textId="17165FFC" w:rsidR="00397088" w:rsidRPr="00054D48" w:rsidRDefault="00397088" w:rsidP="00251B52">
      <w:pPr>
        <w:pStyle w:val="a6"/>
        <w:ind w:firstLine="709"/>
        <w:contextualSpacing/>
        <w:jc w:val="both"/>
        <w:rPr>
          <w:sz w:val="28"/>
          <w:szCs w:val="28"/>
          <w:lang w:val="uk-UA" w:bidi="uk-UA"/>
        </w:rPr>
      </w:pPr>
      <w:r w:rsidRPr="00054D48">
        <w:rPr>
          <w:sz w:val="28"/>
          <w:szCs w:val="28"/>
          <w:lang w:val="uk-UA"/>
        </w:rPr>
        <w:t xml:space="preserve">Таким чином, </w:t>
      </w:r>
      <w:r w:rsidRPr="00054D48">
        <w:rPr>
          <w:sz w:val="28"/>
          <w:szCs w:val="28"/>
          <w:lang w:val="uk-UA" w:bidi="uk-UA"/>
        </w:rPr>
        <w:t>ІСПС є програмою, яка суперечить положенням М</w:t>
      </w:r>
      <w:r w:rsidR="0092287F">
        <w:rPr>
          <w:sz w:val="28"/>
          <w:szCs w:val="28"/>
          <w:lang w:val="uk-UA" w:bidi="uk-UA"/>
        </w:rPr>
        <w:t>К</w:t>
      </w:r>
      <w:r w:rsidRPr="00054D48">
        <w:rPr>
          <w:sz w:val="28"/>
          <w:szCs w:val="28"/>
          <w:lang w:val="uk-UA" w:bidi="uk-UA"/>
        </w:rPr>
        <w:t xml:space="preserve"> України з наведених вище підстав, функціонує на засадах монополії, оплата за послуги формується неконтрольовано, економічно необґрунтовано та не прозоро, що в цілому свідчить про неефективне функціонування ІСПС в морських портах України та невідповідність її напрямкам економічного розвитку країни.</w:t>
      </w:r>
    </w:p>
    <w:p w14:paraId="4490C891" w14:textId="79672841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54D48">
        <w:rPr>
          <w:sz w:val="28"/>
          <w:szCs w:val="28"/>
          <w:lang w:val="uk-UA"/>
        </w:rPr>
        <w:t xml:space="preserve">Разом з цим, проект акта розроблено на виконання </w:t>
      </w:r>
      <w:r w:rsidRPr="00054D48">
        <w:rPr>
          <w:bCs/>
          <w:sz w:val="28"/>
          <w:szCs w:val="28"/>
          <w:lang w:val="uk-UA"/>
        </w:rPr>
        <w:t>статті 138</w:t>
      </w:r>
      <w:r w:rsidRPr="00054D48">
        <w:rPr>
          <w:sz w:val="28"/>
          <w:szCs w:val="28"/>
          <w:lang w:val="uk-UA"/>
        </w:rPr>
        <w:t xml:space="preserve"> Угоди про асоціацію між Україною, з однієї сторони, та Європейським Союзом, Європейським співтовариством з атомної енергії ї їхніми державами-членами, з іншої сторони, а також з метою реалізації </w:t>
      </w:r>
      <w:r w:rsidRPr="00054D48">
        <w:rPr>
          <w:color w:val="000000"/>
          <w:sz w:val="28"/>
          <w:szCs w:val="28"/>
          <w:lang w:val="uk-UA"/>
        </w:rPr>
        <w:t>пунктів 106 та 114 Плану заходів з імплементації розділу IV «Торгівля і питання, пов’язані з торгівлею»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на 2016</w:t>
      </w:r>
      <w:r w:rsidR="0092287F">
        <w:rPr>
          <w:color w:val="000000"/>
          <w:sz w:val="28"/>
          <w:szCs w:val="28"/>
          <w:lang w:val="uk-UA"/>
        </w:rPr>
        <w:t xml:space="preserve"> </w:t>
      </w:r>
      <w:r w:rsidRPr="00054D48">
        <w:rPr>
          <w:color w:val="000000"/>
          <w:sz w:val="28"/>
          <w:szCs w:val="28"/>
          <w:lang w:val="uk-UA"/>
        </w:rPr>
        <w:t>-</w:t>
      </w:r>
      <w:r w:rsidR="0092287F">
        <w:rPr>
          <w:color w:val="000000"/>
          <w:sz w:val="28"/>
          <w:szCs w:val="28"/>
          <w:lang w:val="uk-UA"/>
        </w:rPr>
        <w:t xml:space="preserve"> </w:t>
      </w:r>
      <w:r w:rsidRPr="00054D48">
        <w:rPr>
          <w:color w:val="000000"/>
          <w:sz w:val="28"/>
          <w:szCs w:val="28"/>
          <w:lang w:val="uk-UA"/>
        </w:rPr>
        <w:t>2019 роки, затвердженого розпорядженням Кабінету Міністрів України від 18 лютого 2016 року № 217, з метою імплементації положень Директиви № 2002/59/ЄС Європейського Парламенту та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054D48">
        <w:rPr>
          <w:color w:val="000000"/>
          <w:sz w:val="28"/>
          <w:szCs w:val="28"/>
          <w:lang w:val="uk-UA"/>
        </w:rPr>
        <w:t xml:space="preserve"> від 27 червня 2002 року, що засновує Систему Співтовариства з нагляду за рухом суден та інформування і скасовує Директиву Ради 93/75/ЄEC та Директиви № 2010/65/ЄС Європейського Парламенту та Ради від 20 жовтня 2010 року про </w:t>
      </w:r>
      <w:r w:rsidRPr="00054D48">
        <w:rPr>
          <w:color w:val="000000"/>
          <w:sz w:val="28"/>
          <w:szCs w:val="28"/>
          <w:lang w:val="uk-UA"/>
        </w:rPr>
        <w:lastRenderedPageBreak/>
        <w:t xml:space="preserve">формальності </w:t>
      </w:r>
      <w:r w:rsidRPr="00054D48">
        <w:rPr>
          <w:bCs/>
          <w:color w:val="000000"/>
          <w:sz w:val="28"/>
          <w:szCs w:val="28"/>
          <w:lang w:val="uk-UA"/>
        </w:rPr>
        <w:t>з надання відомостей про судна</w:t>
      </w:r>
      <w:r w:rsidRPr="00054D48">
        <w:rPr>
          <w:color w:val="000000"/>
          <w:sz w:val="28"/>
          <w:szCs w:val="28"/>
          <w:lang w:val="uk-UA"/>
        </w:rPr>
        <w:t>, які прибувають та/або відбувають з портів держав-членів</w:t>
      </w:r>
      <w:r w:rsidRPr="00054D48">
        <w:rPr>
          <w:b/>
          <w:color w:val="000000"/>
          <w:sz w:val="28"/>
          <w:szCs w:val="28"/>
          <w:lang w:val="uk-UA"/>
        </w:rPr>
        <w:t>,</w:t>
      </w:r>
      <w:r w:rsidRPr="00054D48">
        <w:rPr>
          <w:color w:val="000000"/>
          <w:sz w:val="28"/>
          <w:szCs w:val="28"/>
          <w:lang w:val="uk-UA"/>
        </w:rPr>
        <w:t xml:space="preserve"> яка скасовує Директиву 2002/6/ЄС</w:t>
      </w:r>
      <w:r w:rsidRPr="00054D48">
        <w:rPr>
          <w:sz w:val="28"/>
          <w:szCs w:val="28"/>
          <w:lang w:val="uk-UA"/>
        </w:rPr>
        <w:t>.</w:t>
      </w:r>
    </w:p>
    <w:p w14:paraId="016B39F9" w14:textId="0B773C52" w:rsidR="00397088" w:rsidRPr="00054D48" w:rsidRDefault="0092287F" w:rsidP="00251B52">
      <w:pPr>
        <w:pStyle w:val="a6"/>
        <w:spacing w:before="0" w:beforeAutospacing="0" w:after="0" w:afterAutospacing="0"/>
        <w:ind w:right="-2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Адже станом на сьогодні</w:t>
      </w:r>
      <w:r w:rsidR="00397088" w:rsidRPr="00054D48">
        <w:rPr>
          <w:sz w:val="28"/>
          <w:szCs w:val="28"/>
          <w:lang w:val="uk-UA"/>
        </w:rPr>
        <w:t xml:space="preserve"> в Україні не реалізований </w:t>
      </w:r>
      <w:r w:rsidR="00397088" w:rsidRPr="00054D48">
        <w:rPr>
          <w:bCs/>
          <w:sz w:val="28"/>
          <w:szCs w:val="28"/>
          <w:lang w:val="uk-UA"/>
        </w:rPr>
        <w:t xml:space="preserve">принцип </w:t>
      </w:r>
      <w:r w:rsidR="00397088" w:rsidRPr="00054D48">
        <w:rPr>
          <w:color w:val="000000"/>
          <w:sz w:val="28"/>
          <w:szCs w:val="28"/>
          <w:lang w:val="uk-UA"/>
        </w:rPr>
        <w:t>«</w:t>
      </w:r>
      <w:r w:rsidR="00397088" w:rsidRPr="00054D48">
        <w:rPr>
          <w:bCs/>
          <w:sz w:val="28"/>
          <w:szCs w:val="28"/>
          <w:lang w:val="uk-UA"/>
        </w:rPr>
        <w:t>єдиного вікна</w:t>
      </w:r>
      <w:r w:rsidR="00397088" w:rsidRPr="00054D48">
        <w:rPr>
          <w:color w:val="000000"/>
          <w:sz w:val="28"/>
          <w:szCs w:val="28"/>
          <w:lang w:val="uk-UA"/>
        </w:rPr>
        <w:t>»</w:t>
      </w:r>
      <w:r w:rsidR="00397088" w:rsidRPr="00054D48">
        <w:rPr>
          <w:bCs/>
          <w:sz w:val="28"/>
          <w:szCs w:val="28"/>
          <w:lang w:val="uk-UA"/>
        </w:rPr>
        <w:t xml:space="preserve"> </w:t>
      </w:r>
      <w:r w:rsidR="00397088" w:rsidRPr="00054D48">
        <w:rPr>
          <w:sz w:val="28"/>
          <w:szCs w:val="28"/>
          <w:lang w:val="uk-UA"/>
        </w:rPr>
        <w:t>при наданні послуг сфери морських портів України.</w:t>
      </w:r>
    </w:p>
    <w:p w14:paraId="1BC04991" w14:textId="77777777" w:rsidR="00692B86" w:rsidRPr="00023035" w:rsidRDefault="00692B86" w:rsidP="00251B52">
      <w:pPr>
        <w:pStyle w:val="p5"/>
        <w:ind w:firstLine="709"/>
        <w:rPr>
          <w:sz w:val="28"/>
          <w:szCs w:val="28"/>
          <w:lang w:val="uk-UA"/>
        </w:rPr>
      </w:pPr>
    </w:p>
    <w:p w14:paraId="3AD30536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2. Мета і шляхи її досягнення</w:t>
      </w:r>
    </w:p>
    <w:p w14:paraId="4C7BB1AC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2DE840F0" w14:textId="420FF48E" w:rsidR="00397088" w:rsidRPr="00054D48" w:rsidRDefault="00397088" w:rsidP="00251B52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54D48">
        <w:rPr>
          <w:sz w:val="28"/>
          <w:szCs w:val="28"/>
          <w:lang w:val="uk-UA"/>
        </w:rPr>
        <w:t>Метою державного регулювання є вдосконалення законодавчого врегулювання ринку послуг сфери морських портів в Україні, задоволення потреб суспільства та економіки у перевезенні вантажів, шляхом сприяння розвитку конкуренції, справляння позитивного впливу на конкурентне середовище в морських портах, знешкодження корупційних ризиків,  підвищення довіри до держави, а також шляхом впровадження до законодавства України норм актів Європейського Союзу відповідно до Угоди про асоціацію між Україною, з однієї сторони, та Європейським Союзом, Європейським співтовариством з атомної енергії ї їхніми державами-членами, з іншої сторони.</w:t>
      </w:r>
    </w:p>
    <w:p w14:paraId="3B4CEB48" w14:textId="77777777" w:rsidR="00545DE5" w:rsidRPr="00023035" w:rsidRDefault="00545DE5" w:rsidP="00251B52">
      <w:pPr>
        <w:pStyle w:val="p3"/>
        <w:ind w:firstLine="709"/>
        <w:rPr>
          <w:sz w:val="28"/>
          <w:szCs w:val="28"/>
          <w:lang w:val="uk-UA"/>
        </w:rPr>
      </w:pPr>
    </w:p>
    <w:p w14:paraId="10FEB091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3. Правові аспекти</w:t>
      </w:r>
    </w:p>
    <w:p w14:paraId="15C85C48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4288F313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У сфері </w:t>
      </w:r>
      <w:r w:rsidR="0002683C" w:rsidRPr="00023035">
        <w:rPr>
          <w:sz w:val="28"/>
          <w:szCs w:val="28"/>
          <w:lang w:val="uk-UA"/>
        </w:rPr>
        <w:t>правового регулювання діють такі нормативно-правові акти:</w:t>
      </w:r>
    </w:p>
    <w:p w14:paraId="1AE1ED3B" w14:textId="77777777" w:rsidR="0002683C" w:rsidRPr="00023035" w:rsidRDefault="0002683C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Кодекс торговельного мореплавства України;</w:t>
      </w:r>
    </w:p>
    <w:p w14:paraId="6856B54A" w14:textId="1D198FA0" w:rsidR="0002683C" w:rsidRPr="00023035" w:rsidRDefault="0002683C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За</w:t>
      </w:r>
      <w:r w:rsidR="009B33FE" w:rsidRPr="00023035">
        <w:rPr>
          <w:sz w:val="28"/>
          <w:szCs w:val="28"/>
          <w:lang w:val="uk-UA"/>
        </w:rPr>
        <w:t>кон України «Про морські порті України»;</w:t>
      </w:r>
    </w:p>
    <w:p w14:paraId="6175D550" w14:textId="5186E897" w:rsidR="00692B86" w:rsidRPr="00023035" w:rsidRDefault="009B33FE" w:rsidP="00251B52">
      <w:pPr>
        <w:pStyle w:val="p5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Закон України «Про транспорт».</w:t>
      </w:r>
    </w:p>
    <w:p w14:paraId="78A79EE0" w14:textId="77777777" w:rsidR="009B33FE" w:rsidRPr="00023035" w:rsidRDefault="009B33FE" w:rsidP="00251B52">
      <w:pPr>
        <w:pStyle w:val="p5"/>
        <w:ind w:firstLine="709"/>
        <w:rPr>
          <w:sz w:val="28"/>
          <w:szCs w:val="28"/>
          <w:lang w:val="uk-UA"/>
        </w:rPr>
      </w:pPr>
    </w:p>
    <w:p w14:paraId="00853A74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4. Фінансово-економічне обґрунтування</w:t>
      </w:r>
    </w:p>
    <w:p w14:paraId="12202632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76660C87" w14:textId="77777777" w:rsidR="00692B86" w:rsidRPr="00023035" w:rsidRDefault="0002683C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Реалізація </w:t>
      </w:r>
      <w:r w:rsidR="00692B86" w:rsidRPr="00023035">
        <w:rPr>
          <w:sz w:val="28"/>
          <w:szCs w:val="28"/>
          <w:lang w:val="uk-UA"/>
        </w:rPr>
        <w:t xml:space="preserve">акта не потребує </w:t>
      </w:r>
      <w:r w:rsidRPr="00023035">
        <w:rPr>
          <w:sz w:val="28"/>
          <w:szCs w:val="28"/>
          <w:lang w:val="uk-UA"/>
        </w:rPr>
        <w:t>витрат з Державного бюджету України та місцевих бюджетів</w:t>
      </w:r>
      <w:r w:rsidR="00692B86" w:rsidRPr="00023035">
        <w:rPr>
          <w:sz w:val="28"/>
          <w:szCs w:val="28"/>
          <w:lang w:val="uk-UA"/>
        </w:rPr>
        <w:t>.</w:t>
      </w:r>
    </w:p>
    <w:p w14:paraId="10EB0120" w14:textId="77777777" w:rsidR="00545DE5" w:rsidRDefault="00545DE5" w:rsidP="00251B52">
      <w:pPr>
        <w:pStyle w:val="p5"/>
        <w:ind w:firstLine="709"/>
        <w:rPr>
          <w:sz w:val="28"/>
          <w:szCs w:val="28"/>
          <w:lang w:val="uk-UA"/>
        </w:rPr>
      </w:pPr>
    </w:p>
    <w:p w14:paraId="7925BC5B" w14:textId="77777777" w:rsidR="00397088" w:rsidRPr="00023035" w:rsidRDefault="00397088" w:rsidP="00251B52">
      <w:pPr>
        <w:pStyle w:val="p5"/>
        <w:ind w:firstLine="709"/>
        <w:rPr>
          <w:sz w:val="28"/>
          <w:szCs w:val="28"/>
          <w:lang w:val="uk-UA"/>
        </w:rPr>
      </w:pPr>
    </w:p>
    <w:p w14:paraId="220ABA06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5. Позиція заінтересованих органів</w:t>
      </w:r>
    </w:p>
    <w:p w14:paraId="108F2AD6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1EB46E3B" w14:textId="16044F8E" w:rsidR="00FB1AFB" w:rsidRPr="00873E2A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Проект акта п</w:t>
      </w:r>
      <w:r w:rsidR="00577642" w:rsidRPr="00023035">
        <w:rPr>
          <w:sz w:val="28"/>
          <w:szCs w:val="28"/>
          <w:lang w:val="uk-UA"/>
        </w:rPr>
        <w:t>отребує погодження</w:t>
      </w:r>
      <w:r w:rsidRPr="00023035">
        <w:rPr>
          <w:sz w:val="28"/>
          <w:szCs w:val="28"/>
          <w:lang w:val="uk-UA"/>
        </w:rPr>
        <w:t xml:space="preserve"> з Міністерством фінансів України, Міністерством економічно</w:t>
      </w:r>
      <w:r w:rsidR="00545DE5" w:rsidRPr="00023035">
        <w:rPr>
          <w:sz w:val="28"/>
          <w:szCs w:val="28"/>
          <w:lang w:val="uk-UA"/>
        </w:rPr>
        <w:t>го розвитку і торгівлі України</w:t>
      </w:r>
      <w:r w:rsidR="0002683C" w:rsidRPr="00023035">
        <w:rPr>
          <w:sz w:val="28"/>
          <w:szCs w:val="28"/>
          <w:lang w:val="uk-UA"/>
        </w:rPr>
        <w:t xml:space="preserve">, </w:t>
      </w:r>
      <w:r w:rsidR="0092287F">
        <w:rPr>
          <w:sz w:val="28"/>
          <w:szCs w:val="28"/>
          <w:lang w:val="uk-UA"/>
        </w:rPr>
        <w:t>Міністерством аграрної політики та продовольства України</w:t>
      </w:r>
      <w:r w:rsidR="0092287F">
        <w:rPr>
          <w:sz w:val="28"/>
          <w:szCs w:val="28"/>
          <w:lang w:val="uk-UA"/>
        </w:rPr>
        <w:t xml:space="preserve">, Міністерством внутрішніх справ України, </w:t>
      </w:r>
      <w:r w:rsidRPr="00023035">
        <w:rPr>
          <w:sz w:val="28"/>
          <w:szCs w:val="28"/>
          <w:lang w:val="uk-UA"/>
        </w:rPr>
        <w:t>Державною регуляторною службою України</w:t>
      </w:r>
      <w:r w:rsidR="00A70122" w:rsidRPr="00023035">
        <w:rPr>
          <w:sz w:val="28"/>
          <w:szCs w:val="28"/>
          <w:lang w:val="uk-UA"/>
        </w:rPr>
        <w:t xml:space="preserve">, </w:t>
      </w:r>
      <w:r w:rsidR="00A70122" w:rsidRPr="00023035">
        <w:rPr>
          <w:sz w:val="28"/>
          <w:szCs w:val="28"/>
        </w:rPr>
        <w:t>Державною службою України з б</w:t>
      </w:r>
      <w:r w:rsidR="009B33FE" w:rsidRPr="00023035">
        <w:rPr>
          <w:sz w:val="28"/>
          <w:szCs w:val="28"/>
        </w:rPr>
        <w:t>езпеки на транспорті</w:t>
      </w:r>
      <w:r w:rsidR="00A70122" w:rsidRPr="00023035">
        <w:rPr>
          <w:sz w:val="28"/>
          <w:szCs w:val="28"/>
        </w:rPr>
        <w:t xml:space="preserve">, Державним агентством рибного </w:t>
      </w:r>
      <w:r w:rsidR="009B33FE" w:rsidRPr="00023035">
        <w:rPr>
          <w:sz w:val="28"/>
          <w:szCs w:val="28"/>
        </w:rPr>
        <w:t>господарства України</w:t>
      </w:r>
      <w:r w:rsidR="0092287F">
        <w:rPr>
          <w:sz w:val="28"/>
          <w:szCs w:val="28"/>
        </w:rPr>
        <w:t xml:space="preserve"> та</w:t>
      </w:r>
      <w:r w:rsidR="00A70122" w:rsidRPr="00023035">
        <w:rPr>
          <w:sz w:val="28"/>
          <w:szCs w:val="28"/>
        </w:rPr>
        <w:t xml:space="preserve"> Державною установ</w:t>
      </w:r>
      <w:r w:rsidR="007A6C40" w:rsidRPr="00023035">
        <w:rPr>
          <w:sz w:val="28"/>
          <w:szCs w:val="28"/>
        </w:rPr>
        <w:t xml:space="preserve">ою </w:t>
      </w:r>
      <w:r w:rsidR="007A6C40" w:rsidRPr="00023035">
        <w:rPr>
          <w:sz w:val="28"/>
          <w:szCs w:val="28"/>
          <w:lang w:val="uk-UA"/>
        </w:rPr>
        <w:t>«</w:t>
      </w:r>
      <w:r w:rsidR="009B33FE" w:rsidRPr="00023035">
        <w:rPr>
          <w:sz w:val="28"/>
          <w:szCs w:val="28"/>
        </w:rPr>
        <w:t>Держгідрографія</w:t>
      </w:r>
      <w:r w:rsidR="007A6C40" w:rsidRPr="00023035">
        <w:rPr>
          <w:sz w:val="28"/>
          <w:szCs w:val="28"/>
          <w:lang w:val="uk-UA"/>
        </w:rPr>
        <w:t>»</w:t>
      </w:r>
      <w:r w:rsidR="0092287F">
        <w:rPr>
          <w:sz w:val="28"/>
          <w:szCs w:val="28"/>
          <w:lang w:val="uk-UA"/>
        </w:rPr>
        <w:t>.</w:t>
      </w:r>
    </w:p>
    <w:p w14:paraId="731709B2" w14:textId="42E19FD7" w:rsidR="00A70122" w:rsidRDefault="00A70122" w:rsidP="00251B52">
      <w:pPr>
        <w:pStyle w:val="p3"/>
        <w:ind w:firstLine="709"/>
        <w:rPr>
          <w:sz w:val="28"/>
          <w:szCs w:val="28"/>
          <w:lang w:val="uk-UA"/>
        </w:rPr>
      </w:pPr>
    </w:p>
    <w:p w14:paraId="64BDE307" w14:textId="15A4CA59" w:rsidR="0092287F" w:rsidRDefault="0092287F" w:rsidP="00251B52">
      <w:pPr>
        <w:pStyle w:val="p3"/>
        <w:ind w:firstLine="709"/>
        <w:rPr>
          <w:sz w:val="28"/>
          <w:szCs w:val="28"/>
          <w:lang w:val="uk-UA"/>
        </w:rPr>
      </w:pPr>
    </w:p>
    <w:p w14:paraId="6DF3643D" w14:textId="3C02D6E8" w:rsidR="0092287F" w:rsidRDefault="0092287F" w:rsidP="00251B52">
      <w:pPr>
        <w:pStyle w:val="p3"/>
        <w:ind w:firstLine="709"/>
        <w:rPr>
          <w:sz w:val="28"/>
          <w:szCs w:val="28"/>
          <w:lang w:val="uk-UA"/>
        </w:rPr>
      </w:pPr>
    </w:p>
    <w:p w14:paraId="53FB5A79" w14:textId="77777777" w:rsidR="0092287F" w:rsidRPr="00FB1AFB" w:rsidRDefault="0092287F" w:rsidP="00251B52">
      <w:pPr>
        <w:pStyle w:val="p3"/>
        <w:ind w:firstLine="709"/>
        <w:rPr>
          <w:sz w:val="28"/>
          <w:szCs w:val="28"/>
          <w:lang w:val="uk-UA"/>
        </w:rPr>
      </w:pPr>
    </w:p>
    <w:p w14:paraId="3A44E3A7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6. Регіональний аспект</w:t>
      </w:r>
    </w:p>
    <w:p w14:paraId="7FDE49CB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0DC1DF92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Проект акта не стосується </w:t>
      </w:r>
      <w:r w:rsidR="00577642" w:rsidRPr="00023035">
        <w:rPr>
          <w:sz w:val="28"/>
          <w:szCs w:val="28"/>
          <w:lang w:val="uk-UA"/>
        </w:rPr>
        <w:t xml:space="preserve">питань </w:t>
      </w:r>
      <w:r w:rsidRPr="00023035">
        <w:rPr>
          <w:sz w:val="28"/>
          <w:szCs w:val="28"/>
          <w:lang w:val="uk-UA"/>
        </w:rPr>
        <w:t>розвитку адміністративно-територіальних одиниць.</w:t>
      </w:r>
    </w:p>
    <w:p w14:paraId="50DA0FDD" w14:textId="77777777" w:rsidR="0092287F" w:rsidRPr="00023035" w:rsidRDefault="0092287F" w:rsidP="00251B52">
      <w:pPr>
        <w:pStyle w:val="p7"/>
        <w:ind w:firstLine="709"/>
        <w:rPr>
          <w:sz w:val="28"/>
          <w:szCs w:val="28"/>
          <w:lang w:val="uk-UA"/>
        </w:rPr>
      </w:pPr>
    </w:p>
    <w:p w14:paraId="667E0BE7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6</w:t>
      </w:r>
      <w:r w:rsidRPr="00023035">
        <w:rPr>
          <w:b/>
          <w:bCs/>
          <w:sz w:val="28"/>
          <w:szCs w:val="28"/>
          <w:vertAlign w:val="superscript"/>
          <w:lang w:val="uk-UA"/>
        </w:rPr>
        <w:t>1</w:t>
      </w:r>
      <w:r w:rsidRPr="00023035">
        <w:rPr>
          <w:b/>
          <w:bCs/>
          <w:sz w:val="28"/>
          <w:szCs w:val="28"/>
          <w:lang w:val="uk-UA"/>
        </w:rPr>
        <w:t>. Запобігання дискримінації</w:t>
      </w:r>
    </w:p>
    <w:p w14:paraId="0C9B8333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4504ECAE" w14:textId="201151A9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У проекті відсутні положення, які містять ознаки дискримінації. </w:t>
      </w:r>
      <w:r w:rsidR="00030AE2" w:rsidRPr="00023035">
        <w:rPr>
          <w:sz w:val="28"/>
          <w:szCs w:val="28"/>
          <w:lang w:val="uk-UA"/>
        </w:rPr>
        <w:t>Проект акта не потребує проведення антидискримінаційної експертизи.</w:t>
      </w:r>
    </w:p>
    <w:p w14:paraId="616D383E" w14:textId="77777777" w:rsidR="00C80308" w:rsidRPr="00023035" w:rsidRDefault="00C80308" w:rsidP="00251B52">
      <w:pPr>
        <w:pStyle w:val="p3"/>
        <w:ind w:firstLine="709"/>
        <w:rPr>
          <w:b/>
          <w:bCs/>
          <w:sz w:val="28"/>
          <w:szCs w:val="28"/>
          <w:lang w:val="uk-UA"/>
        </w:rPr>
      </w:pPr>
    </w:p>
    <w:p w14:paraId="27601F0D" w14:textId="6101B711" w:rsidR="00692B86" w:rsidRPr="00023035" w:rsidRDefault="00692B86" w:rsidP="00251B52">
      <w:pPr>
        <w:pStyle w:val="p3"/>
        <w:tabs>
          <w:tab w:val="center" w:pos="4941"/>
        </w:tabs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7. Запобігання корупції</w:t>
      </w:r>
      <w:r w:rsidR="00023035" w:rsidRPr="00023035">
        <w:rPr>
          <w:b/>
          <w:bCs/>
          <w:sz w:val="28"/>
          <w:szCs w:val="28"/>
          <w:lang w:val="uk-UA"/>
        </w:rPr>
        <w:tab/>
      </w:r>
    </w:p>
    <w:p w14:paraId="2D93F856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20AAC114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У проекті акта відсутні правила і процедури, які можуть містити ризики</w:t>
      </w:r>
      <w:r w:rsidRPr="00023035">
        <w:rPr>
          <w:rStyle w:val="apple-converted-space"/>
          <w:sz w:val="28"/>
          <w:szCs w:val="28"/>
          <w:lang w:val="uk-UA"/>
        </w:rPr>
        <w:t xml:space="preserve">  </w:t>
      </w:r>
      <w:r w:rsidRPr="00023035">
        <w:rPr>
          <w:sz w:val="28"/>
          <w:szCs w:val="28"/>
          <w:lang w:val="uk-UA"/>
        </w:rPr>
        <w:t>вчинення корупційних правопорушень.</w:t>
      </w:r>
    </w:p>
    <w:p w14:paraId="51BDDAD4" w14:textId="77777777" w:rsidR="00692B86" w:rsidRPr="00023035" w:rsidRDefault="00692B86" w:rsidP="00251B52">
      <w:pPr>
        <w:pStyle w:val="p8"/>
        <w:ind w:firstLine="709"/>
        <w:rPr>
          <w:sz w:val="28"/>
          <w:szCs w:val="28"/>
          <w:lang w:val="uk-UA"/>
        </w:rPr>
      </w:pPr>
    </w:p>
    <w:p w14:paraId="7B80EA8D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8. Громадське обговорення</w:t>
      </w:r>
    </w:p>
    <w:p w14:paraId="1BB326E0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42E71865" w14:textId="04C913A5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З метою громадського обговорення пр</w:t>
      </w:r>
      <w:r w:rsidR="00577642" w:rsidRPr="00023035">
        <w:rPr>
          <w:sz w:val="28"/>
          <w:szCs w:val="28"/>
          <w:lang w:val="uk-UA"/>
        </w:rPr>
        <w:t>оект акта розміщено на офіційному веб-сайті</w:t>
      </w:r>
      <w:r w:rsidRPr="00023035">
        <w:rPr>
          <w:sz w:val="28"/>
          <w:szCs w:val="28"/>
          <w:lang w:val="uk-UA"/>
        </w:rPr>
        <w:t xml:space="preserve"> </w:t>
      </w:r>
      <w:r w:rsidR="00577642" w:rsidRPr="00023035">
        <w:rPr>
          <w:sz w:val="28"/>
          <w:szCs w:val="28"/>
          <w:lang w:val="uk-UA"/>
        </w:rPr>
        <w:t>Міністерства інфраст</w:t>
      </w:r>
      <w:r w:rsidR="0092287F">
        <w:rPr>
          <w:sz w:val="28"/>
          <w:szCs w:val="28"/>
          <w:lang w:val="uk-UA"/>
        </w:rPr>
        <w:t>р</w:t>
      </w:r>
      <w:r w:rsidR="00577642" w:rsidRPr="00023035">
        <w:rPr>
          <w:sz w:val="28"/>
          <w:szCs w:val="28"/>
          <w:lang w:val="uk-UA"/>
        </w:rPr>
        <w:t xml:space="preserve">уктури України у </w:t>
      </w:r>
      <w:r w:rsidR="000244BF" w:rsidRPr="00023035">
        <w:rPr>
          <w:sz w:val="28"/>
          <w:szCs w:val="28"/>
          <w:lang w:val="uk-UA"/>
        </w:rPr>
        <w:t>розділі «Регуляторна діяльність»</w:t>
      </w:r>
      <w:r w:rsidR="00577642" w:rsidRPr="00023035">
        <w:rPr>
          <w:sz w:val="28"/>
          <w:szCs w:val="28"/>
          <w:lang w:val="uk-UA"/>
        </w:rPr>
        <w:t xml:space="preserve"> (</w:t>
      </w:r>
      <w:r w:rsidR="00577642" w:rsidRPr="00023035">
        <w:rPr>
          <w:sz w:val="28"/>
          <w:szCs w:val="28"/>
          <w:lang w:val="en-US"/>
        </w:rPr>
        <w:t>www</w:t>
      </w:r>
      <w:r w:rsidR="00577642" w:rsidRPr="00023035">
        <w:rPr>
          <w:sz w:val="28"/>
          <w:szCs w:val="28"/>
          <w:lang w:val="uk-UA"/>
        </w:rPr>
        <w:t>.</w:t>
      </w:r>
      <w:r w:rsidR="00577642" w:rsidRPr="00023035">
        <w:rPr>
          <w:sz w:val="28"/>
          <w:szCs w:val="28"/>
          <w:lang w:val="en-US"/>
        </w:rPr>
        <w:t>mtu</w:t>
      </w:r>
      <w:r w:rsidR="00577642" w:rsidRPr="00023035">
        <w:rPr>
          <w:sz w:val="28"/>
          <w:szCs w:val="28"/>
          <w:lang w:val="uk-UA"/>
        </w:rPr>
        <w:t>.</w:t>
      </w:r>
      <w:r w:rsidR="00577642" w:rsidRPr="00023035">
        <w:rPr>
          <w:sz w:val="28"/>
          <w:szCs w:val="28"/>
          <w:lang w:val="en-US"/>
        </w:rPr>
        <w:t>gov</w:t>
      </w:r>
      <w:r w:rsidR="00577642" w:rsidRPr="00023035">
        <w:rPr>
          <w:sz w:val="28"/>
          <w:szCs w:val="28"/>
          <w:lang w:val="uk-UA"/>
        </w:rPr>
        <w:t>.</w:t>
      </w:r>
      <w:r w:rsidR="00577642" w:rsidRPr="00023035">
        <w:rPr>
          <w:sz w:val="28"/>
          <w:szCs w:val="28"/>
          <w:lang w:val="en-US"/>
        </w:rPr>
        <w:t>ua</w:t>
      </w:r>
      <w:r w:rsidR="00577642" w:rsidRPr="00023035">
        <w:rPr>
          <w:sz w:val="28"/>
          <w:szCs w:val="28"/>
          <w:lang w:val="uk-UA"/>
        </w:rPr>
        <w:t>).</w:t>
      </w:r>
    </w:p>
    <w:p w14:paraId="369FBD4C" w14:textId="77777777" w:rsidR="00692B86" w:rsidRPr="00023035" w:rsidRDefault="00692B86" w:rsidP="00251B52">
      <w:pPr>
        <w:pStyle w:val="p5"/>
        <w:ind w:firstLine="709"/>
        <w:rPr>
          <w:sz w:val="28"/>
          <w:szCs w:val="28"/>
          <w:lang w:val="uk-UA"/>
        </w:rPr>
      </w:pPr>
    </w:p>
    <w:p w14:paraId="292DE7F3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9. Позиція соціальних партнерів</w:t>
      </w:r>
    </w:p>
    <w:p w14:paraId="612818DC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5A4EA9FB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Проект акта не стосується соціально-трудової сфери.</w:t>
      </w:r>
    </w:p>
    <w:p w14:paraId="16DBD7E8" w14:textId="77777777" w:rsidR="00692B86" w:rsidRPr="00023035" w:rsidRDefault="00692B86" w:rsidP="00251B52">
      <w:pPr>
        <w:pStyle w:val="p5"/>
        <w:ind w:firstLine="709"/>
        <w:rPr>
          <w:sz w:val="28"/>
          <w:szCs w:val="28"/>
          <w:lang w:val="uk-UA"/>
        </w:rPr>
      </w:pPr>
    </w:p>
    <w:p w14:paraId="0AF68AF8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10. Оцінка регуляторного впливу</w:t>
      </w:r>
    </w:p>
    <w:p w14:paraId="2F3DFB9A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77E9FC90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Проект постанови є регуляторним актом.</w:t>
      </w:r>
    </w:p>
    <w:p w14:paraId="668B144D" w14:textId="77777777" w:rsidR="00692B86" w:rsidRPr="00023035" w:rsidRDefault="00692B86" w:rsidP="00251B52">
      <w:pPr>
        <w:pStyle w:val="p8"/>
        <w:ind w:firstLine="709"/>
        <w:rPr>
          <w:sz w:val="28"/>
          <w:szCs w:val="28"/>
          <w:lang w:val="uk-UA"/>
        </w:rPr>
      </w:pPr>
    </w:p>
    <w:p w14:paraId="0096AEB6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10</w:t>
      </w:r>
      <w:r w:rsidRPr="00023035">
        <w:rPr>
          <w:b/>
          <w:bCs/>
          <w:sz w:val="28"/>
          <w:szCs w:val="28"/>
          <w:vertAlign w:val="superscript"/>
          <w:lang w:val="uk-UA"/>
        </w:rPr>
        <w:t>1</w:t>
      </w:r>
      <w:r w:rsidRPr="00023035">
        <w:rPr>
          <w:b/>
          <w:bCs/>
          <w:sz w:val="28"/>
          <w:szCs w:val="28"/>
          <w:lang w:val="uk-UA"/>
        </w:rPr>
        <w:t>. Вплив реалізації акта на ринок праці</w:t>
      </w:r>
    </w:p>
    <w:p w14:paraId="2FB91C56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6B80ED20" w14:textId="77777777" w:rsidR="00692B86" w:rsidRPr="00023035" w:rsidRDefault="00577642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Реалізація акта</w:t>
      </w:r>
      <w:r w:rsidR="00692B86" w:rsidRPr="00023035">
        <w:rPr>
          <w:sz w:val="28"/>
          <w:szCs w:val="28"/>
          <w:lang w:val="uk-UA"/>
        </w:rPr>
        <w:t xml:space="preserve"> не впливає на ринок праці.</w:t>
      </w:r>
    </w:p>
    <w:p w14:paraId="4C15E0D1" w14:textId="77777777" w:rsidR="00692B86" w:rsidRDefault="00692B86" w:rsidP="00251B52">
      <w:pPr>
        <w:pStyle w:val="p5"/>
        <w:ind w:firstLine="709"/>
        <w:rPr>
          <w:sz w:val="28"/>
          <w:szCs w:val="28"/>
          <w:lang w:val="uk-UA"/>
        </w:rPr>
      </w:pPr>
    </w:p>
    <w:p w14:paraId="7E5EA1A4" w14:textId="77777777" w:rsidR="00692B86" w:rsidRPr="00023035" w:rsidRDefault="00692B86" w:rsidP="00251B52">
      <w:pPr>
        <w:pStyle w:val="p3"/>
        <w:ind w:firstLine="709"/>
        <w:rPr>
          <w:sz w:val="28"/>
          <w:szCs w:val="28"/>
          <w:lang w:val="uk-UA"/>
        </w:rPr>
      </w:pPr>
      <w:r w:rsidRPr="00023035">
        <w:rPr>
          <w:b/>
          <w:bCs/>
          <w:sz w:val="28"/>
          <w:szCs w:val="28"/>
          <w:lang w:val="uk-UA"/>
        </w:rPr>
        <w:t>11. Прогноз результатів</w:t>
      </w:r>
    </w:p>
    <w:p w14:paraId="0F6C0A1D" w14:textId="77777777" w:rsidR="00692B86" w:rsidRPr="00023035" w:rsidRDefault="00692B86" w:rsidP="00251B52">
      <w:pPr>
        <w:pStyle w:val="p4"/>
        <w:ind w:firstLine="709"/>
        <w:rPr>
          <w:sz w:val="28"/>
          <w:szCs w:val="28"/>
          <w:lang w:val="uk-UA"/>
        </w:rPr>
      </w:pPr>
    </w:p>
    <w:p w14:paraId="045164AF" w14:textId="69CBAC32" w:rsidR="00397088" w:rsidRDefault="00030AE2" w:rsidP="00251B52">
      <w:pPr>
        <w:pStyle w:val="ad"/>
        <w:ind w:left="0" w:right="-2" w:firstLine="709"/>
        <w:jc w:val="both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Прийняття акта </w:t>
      </w:r>
      <w:r w:rsidR="00397088" w:rsidRPr="00827B3F">
        <w:rPr>
          <w:sz w:val="28"/>
          <w:szCs w:val="28"/>
          <w:lang w:val="uk-UA"/>
        </w:rPr>
        <w:t>забезпечить</w:t>
      </w:r>
      <w:r w:rsidR="00397088">
        <w:rPr>
          <w:sz w:val="28"/>
          <w:szCs w:val="28"/>
          <w:lang w:val="uk-UA"/>
        </w:rPr>
        <w:t>:</w:t>
      </w:r>
    </w:p>
    <w:p w14:paraId="3C5AB39A" w14:textId="4190501C" w:rsidR="00397088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 w:rsidRPr="00827B3F">
        <w:rPr>
          <w:sz w:val="28"/>
          <w:szCs w:val="28"/>
          <w:lang w:val="uk-UA"/>
        </w:rPr>
        <w:t xml:space="preserve"> вдосконалення законодавчого врегулювання ринку послуг с</w:t>
      </w:r>
      <w:r>
        <w:rPr>
          <w:sz w:val="28"/>
          <w:szCs w:val="28"/>
          <w:lang w:val="uk-UA"/>
        </w:rPr>
        <w:t>фери морських портів в Україні;</w:t>
      </w:r>
    </w:p>
    <w:p w14:paraId="7EA8FB4D" w14:textId="77777777" w:rsidR="00397088" w:rsidRPr="00827B3F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 w:rsidRPr="00827B3F">
        <w:rPr>
          <w:sz w:val="28"/>
          <w:szCs w:val="28"/>
          <w:lang w:val="uk-UA"/>
        </w:rPr>
        <w:t>задоволення потреб суспільства, економіки у перевезенні вантажів та контролю з боку держ</w:t>
      </w:r>
      <w:r>
        <w:rPr>
          <w:sz w:val="28"/>
          <w:szCs w:val="28"/>
          <w:lang w:val="uk-UA"/>
        </w:rPr>
        <w:t>ави у галузі надання цих послуг;</w:t>
      </w:r>
    </w:p>
    <w:p w14:paraId="33BDA971" w14:textId="77777777" w:rsidR="00397088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 w:rsidRPr="00827B3F">
        <w:rPr>
          <w:sz w:val="28"/>
          <w:szCs w:val="28"/>
          <w:lang w:val="uk-UA"/>
        </w:rPr>
        <w:t xml:space="preserve">виключення штучних перепон у вільному здійсненні господарської діяльності та лобіювання інтересів </w:t>
      </w:r>
      <w:r>
        <w:rPr>
          <w:sz w:val="28"/>
          <w:szCs w:val="28"/>
          <w:lang w:val="uk-UA"/>
        </w:rPr>
        <w:t>приватного сектору;</w:t>
      </w:r>
    </w:p>
    <w:p w14:paraId="0E1A2042" w14:textId="77777777" w:rsidR="00397088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 w:rsidRPr="00827B3F">
        <w:rPr>
          <w:sz w:val="28"/>
          <w:szCs w:val="28"/>
          <w:lang w:val="uk-UA"/>
        </w:rPr>
        <w:t xml:space="preserve">викорінення корумпованої економічної моделі, яка не має на меті створення сильної економіки та </w:t>
      </w:r>
      <w:r>
        <w:rPr>
          <w:sz w:val="28"/>
          <w:szCs w:val="28"/>
          <w:lang w:val="uk-UA"/>
        </w:rPr>
        <w:t>спрощення умов ведення бізнесу;</w:t>
      </w:r>
    </w:p>
    <w:p w14:paraId="1B542D0A" w14:textId="77777777" w:rsidR="00397088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зовнішньоекономічної діяльності країни;</w:t>
      </w:r>
    </w:p>
    <w:p w14:paraId="27FC3A8C" w14:textId="7D187A26" w:rsidR="00692B86" w:rsidRPr="00397088" w:rsidRDefault="00397088" w:rsidP="00251B52">
      <w:pPr>
        <w:pStyle w:val="p9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покращення </w:t>
      </w:r>
      <w:r w:rsidRPr="007A7798">
        <w:rPr>
          <w:sz w:val="28"/>
          <w:szCs w:val="28"/>
          <w:lang w:val="uk-UA"/>
        </w:rPr>
        <w:t>інвестиційної привабливості України</w:t>
      </w:r>
      <w:r>
        <w:rPr>
          <w:sz w:val="28"/>
          <w:szCs w:val="28"/>
        </w:rPr>
        <w:t>;</w:t>
      </w:r>
    </w:p>
    <w:p w14:paraId="60963267" w14:textId="6C8A8C79" w:rsidR="00397088" w:rsidRPr="00397088" w:rsidRDefault="00397088" w:rsidP="00251B52">
      <w:pPr>
        <w:pStyle w:val="ad"/>
        <w:numPr>
          <w:ilvl w:val="0"/>
          <w:numId w:val="3"/>
        </w:numPr>
        <w:ind w:left="0" w:right="-2" w:firstLine="709"/>
        <w:jc w:val="both"/>
        <w:rPr>
          <w:sz w:val="28"/>
          <w:szCs w:val="28"/>
          <w:lang w:val="uk-UA"/>
        </w:rPr>
      </w:pPr>
      <w:r w:rsidRPr="00397088">
        <w:rPr>
          <w:sz w:val="28"/>
          <w:szCs w:val="28"/>
          <w:lang w:val="uk-UA"/>
        </w:rPr>
        <w:t>впровад</w:t>
      </w:r>
      <w:r w:rsidR="0092287F">
        <w:rPr>
          <w:sz w:val="28"/>
          <w:szCs w:val="28"/>
          <w:lang w:val="uk-UA"/>
        </w:rPr>
        <w:t xml:space="preserve">ження до </w:t>
      </w:r>
      <w:bookmarkStart w:id="0" w:name="_GoBack"/>
      <w:bookmarkEnd w:id="0"/>
      <w:r w:rsidR="0092287F">
        <w:rPr>
          <w:sz w:val="28"/>
          <w:szCs w:val="28"/>
          <w:lang w:val="uk-UA"/>
        </w:rPr>
        <w:t xml:space="preserve">законодавства України </w:t>
      </w:r>
      <w:r w:rsidRPr="00397088">
        <w:rPr>
          <w:sz w:val="28"/>
          <w:szCs w:val="28"/>
          <w:lang w:val="uk-UA"/>
        </w:rPr>
        <w:t>норм актів Європейського Союзу відповідно до Угоди про асоціацію між Україною, з однієї сторони, та Європейським Союзом, Європейським співтовариством з атомної енергії ї їхніми державами-членами, з іншої сторони</w:t>
      </w:r>
      <w:r>
        <w:rPr>
          <w:sz w:val="28"/>
          <w:szCs w:val="28"/>
          <w:lang w:val="uk-UA"/>
        </w:rPr>
        <w:t>.</w:t>
      </w:r>
    </w:p>
    <w:p w14:paraId="03B30904" w14:textId="77777777" w:rsidR="00FC155B" w:rsidRDefault="00FC15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A907C6" w14:textId="77777777" w:rsidR="00397088" w:rsidRPr="00023035" w:rsidRDefault="0039708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F1BB3D" w14:textId="748962CC" w:rsidR="00FC155B" w:rsidRPr="00023035" w:rsidRDefault="009228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r w:rsidR="00FC155B" w:rsidRPr="00023035">
        <w:rPr>
          <w:rFonts w:ascii="Times New Roman" w:hAnsi="Times New Roman" w:cs="Times New Roman"/>
          <w:sz w:val="28"/>
          <w:szCs w:val="28"/>
          <w:lang w:val="uk-UA"/>
        </w:rPr>
        <w:t>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 інфраструктури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Ю. Лавренюк</w:t>
      </w:r>
    </w:p>
    <w:p w14:paraId="2704AF69" w14:textId="77777777" w:rsidR="00FC155B" w:rsidRPr="00023035" w:rsidRDefault="00FC155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CA1353" w14:textId="65F5A227" w:rsidR="00FC155B" w:rsidRPr="001304B8" w:rsidRDefault="00FC15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035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92287F">
        <w:rPr>
          <w:rFonts w:ascii="Times New Roman" w:hAnsi="Times New Roman" w:cs="Times New Roman"/>
          <w:sz w:val="28"/>
          <w:szCs w:val="28"/>
          <w:lang w:val="uk-UA"/>
        </w:rPr>
        <w:t xml:space="preserve">  вересня </w:t>
      </w:r>
      <w:r w:rsidRPr="00023035">
        <w:rPr>
          <w:rFonts w:ascii="Times New Roman" w:hAnsi="Times New Roman" w:cs="Times New Roman"/>
          <w:sz w:val="28"/>
          <w:szCs w:val="28"/>
          <w:lang w:val="uk-UA"/>
        </w:rPr>
        <w:t>2017 року</w:t>
      </w:r>
    </w:p>
    <w:sectPr w:rsidR="00FC155B" w:rsidRPr="001304B8" w:rsidSect="00023035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4699" w14:textId="77777777" w:rsidR="009D3CF9" w:rsidRDefault="009D3CF9" w:rsidP="00023035">
      <w:r>
        <w:separator/>
      </w:r>
    </w:p>
  </w:endnote>
  <w:endnote w:type="continuationSeparator" w:id="0">
    <w:p w14:paraId="4F7E33A1" w14:textId="77777777" w:rsidR="009D3CF9" w:rsidRDefault="009D3CF9" w:rsidP="000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9E67" w14:textId="77777777" w:rsidR="009D3CF9" w:rsidRDefault="009D3CF9" w:rsidP="00023035">
      <w:r>
        <w:separator/>
      </w:r>
    </w:p>
  </w:footnote>
  <w:footnote w:type="continuationSeparator" w:id="0">
    <w:p w14:paraId="7C5E6AE6" w14:textId="77777777" w:rsidR="009D3CF9" w:rsidRDefault="009D3CF9" w:rsidP="0002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F6FD7E" w14:textId="73A2ACFE" w:rsidR="00023035" w:rsidRPr="00023035" w:rsidRDefault="000230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0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30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0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87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230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3891C0" w14:textId="77777777" w:rsidR="00023035" w:rsidRDefault="000230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7050055"/>
    <w:multiLevelType w:val="hybridMultilevel"/>
    <w:tmpl w:val="6622BB6C"/>
    <w:lvl w:ilvl="0" w:tplc="1548E5D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1F470EF"/>
    <w:multiLevelType w:val="multilevel"/>
    <w:tmpl w:val="071E433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3C45F7B"/>
    <w:multiLevelType w:val="hybridMultilevel"/>
    <w:tmpl w:val="EBCC7220"/>
    <w:lvl w:ilvl="0" w:tplc="AA9C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86"/>
    <w:rsid w:val="00023035"/>
    <w:rsid w:val="000244BF"/>
    <w:rsid w:val="0002683C"/>
    <w:rsid w:val="00030AE2"/>
    <w:rsid w:val="00035D7B"/>
    <w:rsid w:val="000673D3"/>
    <w:rsid w:val="000E1130"/>
    <w:rsid w:val="000E532D"/>
    <w:rsid w:val="001148A2"/>
    <w:rsid w:val="001304B8"/>
    <w:rsid w:val="00251B52"/>
    <w:rsid w:val="00331513"/>
    <w:rsid w:val="00366015"/>
    <w:rsid w:val="00397088"/>
    <w:rsid w:val="004359CE"/>
    <w:rsid w:val="004E1E11"/>
    <w:rsid w:val="00545DE5"/>
    <w:rsid w:val="00557F27"/>
    <w:rsid w:val="00577642"/>
    <w:rsid w:val="00605201"/>
    <w:rsid w:val="00664689"/>
    <w:rsid w:val="006706B8"/>
    <w:rsid w:val="00692B86"/>
    <w:rsid w:val="006F448D"/>
    <w:rsid w:val="00725B5F"/>
    <w:rsid w:val="00770054"/>
    <w:rsid w:val="007A6C40"/>
    <w:rsid w:val="00874D01"/>
    <w:rsid w:val="008B7566"/>
    <w:rsid w:val="0092287F"/>
    <w:rsid w:val="009B33FE"/>
    <w:rsid w:val="009D3CF9"/>
    <w:rsid w:val="009D3DE8"/>
    <w:rsid w:val="00A70122"/>
    <w:rsid w:val="00BD6E18"/>
    <w:rsid w:val="00C34745"/>
    <w:rsid w:val="00C80308"/>
    <w:rsid w:val="00CB6ACD"/>
    <w:rsid w:val="00CF423E"/>
    <w:rsid w:val="00D509CA"/>
    <w:rsid w:val="00DD7900"/>
    <w:rsid w:val="00DF40AC"/>
    <w:rsid w:val="00EC687D"/>
    <w:rsid w:val="00ED51D4"/>
    <w:rsid w:val="00FB1AFB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28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B86"/>
    <w:pPr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2">
    <w:name w:val="p2"/>
    <w:basedOn w:val="a"/>
    <w:rsid w:val="00692B86"/>
    <w:pPr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3">
    <w:name w:val="p3"/>
    <w:basedOn w:val="a"/>
    <w:rsid w:val="00692B86"/>
    <w:pPr>
      <w:ind w:firstLine="533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4">
    <w:name w:val="p4"/>
    <w:basedOn w:val="a"/>
    <w:rsid w:val="00692B86"/>
    <w:pPr>
      <w:ind w:firstLine="533"/>
      <w:jc w:val="both"/>
    </w:pPr>
    <w:rPr>
      <w:rFonts w:ascii="Times New Roman" w:hAnsi="Times New Roman" w:cs="Times New Roman"/>
      <w:sz w:val="12"/>
      <w:szCs w:val="12"/>
      <w:lang w:eastAsia="ru-RU"/>
    </w:rPr>
  </w:style>
  <w:style w:type="paragraph" w:customStyle="1" w:styleId="p5">
    <w:name w:val="p5"/>
    <w:basedOn w:val="a"/>
    <w:rsid w:val="00692B86"/>
    <w:pPr>
      <w:ind w:firstLine="533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6">
    <w:name w:val="p6"/>
    <w:basedOn w:val="a"/>
    <w:rsid w:val="00692B86"/>
    <w:pPr>
      <w:ind w:firstLine="531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7">
    <w:name w:val="p7"/>
    <w:basedOn w:val="a"/>
    <w:rsid w:val="00692B86"/>
    <w:pPr>
      <w:ind w:firstLine="533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8">
    <w:name w:val="p8"/>
    <w:basedOn w:val="a"/>
    <w:rsid w:val="00692B86"/>
    <w:pPr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p9">
    <w:name w:val="p9"/>
    <w:basedOn w:val="a"/>
    <w:rsid w:val="00692B86"/>
    <w:pPr>
      <w:ind w:firstLine="533"/>
      <w:jc w:val="both"/>
    </w:pPr>
    <w:rPr>
      <w:rFonts w:ascii="Times" w:hAnsi="Times" w:cs="Times New Roman"/>
      <w:sz w:val="21"/>
      <w:szCs w:val="21"/>
      <w:lang w:eastAsia="ru-RU"/>
    </w:rPr>
  </w:style>
  <w:style w:type="paragraph" w:customStyle="1" w:styleId="p10">
    <w:name w:val="p10"/>
    <w:basedOn w:val="a"/>
    <w:rsid w:val="00692B86"/>
    <w:pPr>
      <w:ind w:firstLine="540"/>
      <w:jc w:val="both"/>
    </w:pPr>
    <w:rPr>
      <w:rFonts w:ascii="Times" w:hAnsi="Times" w:cs="Times New Roman"/>
      <w:sz w:val="21"/>
      <w:szCs w:val="21"/>
      <w:lang w:eastAsia="ru-RU"/>
    </w:rPr>
  </w:style>
  <w:style w:type="character" w:customStyle="1" w:styleId="s1">
    <w:name w:val="s1"/>
    <w:basedOn w:val="a0"/>
    <w:rsid w:val="00692B86"/>
    <w:rPr>
      <w:rFonts w:ascii="Times" w:hAnsi="Times" w:hint="default"/>
      <w:sz w:val="21"/>
      <w:szCs w:val="21"/>
    </w:rPr>
  </w:style>
  <w:style w:type="character" w:customStyle="1" w:styleId="apple-converted-space">
    <w:name w:val="apple-converted-space"/>
    <w:basedOn w:val="a0"/>
    <w:rsid w:val="00692B86"/>
  </w:style>
  <w:style w:type="character" w:styleId="a3">
    <w:name w:val="Hyperlink"/>
    <w:basedOn w:val="a0"/>
    <w:uiPriority w:val="99"/>
    <w:unhideWhenUsed/>
    <w:rsid w:val="00692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B8"/>
    <w:rPr>
      <w:rFonts w:ascii="Segoe UI" w:hAnsi="Segoe UI" w:cs="Segoe UI"/>
      <w:sz w:val="18"/>
      <w:szCs w:val="18"/>
    </w:rPr>
  </w:style>
  <w:style w:type="character" w:customStyle="1" w:styleId="20">
    <w:name w:val="Пункт 2 Знак"/>
    <w:basedOn w:val="a0"/>
    <w:link w:val="2"/>
    <w:locked/>
    <w:rsid w:val="00C8030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">
    <w:name w:val="Пункт 2"/>
    <w:basedOn w:val="a"/>
    <w:link w:val="20"/>
    <w:qFormat/>
    <w:rsid w:val="00C80308"/>
    <w:pPr>
      <w:numPr>
        <w:ilvl w:val="1"/>
        <w:numId w:val="2"/>
      </w:numPr>
      <w:spacing w:after="120" w:line="360" w:lineRule="auto"/>
      <w:ind w:left="0" w:firstLine="0"/>
      <w:contextualSpacing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rmal (Web)"/>
    <w:basedOn w:val="a"/>
    <w:uiPriority w:val="99"/>
    <w:rsid w:val="000230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2303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035"/>
  </w:style>
  <w:style w:type="paragraph" w:styleId="a9">
    <w:name w:val="footer"/>
    <w:basedOn w:val="a"/>
    <w:link w:val="aa"/>
    <w:uiPriority w:val="99"/>
    <w:unhideWhenUsed/>
    <w:rsid w:val="0002303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035"/>
  </w:style>
  <w:style w:type="paragraph" w:styleId="ab">
    <w:name w:val="Body Text Indent"/>
    <w:basedOn w:val="a"/>
    <w:link w:val="ac"/>
    <w:uiPriority w:val="99"/>
    <w:rsid w:val="00397088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9708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List Paragraph"/>
    <w:basedOn w:val="a"/>
    <w:uiPriority w:val="63"/>
    <w:qFormat/>
    <w:rsid w:val="0039708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397088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Лисенко</dc:creator>
  <cp:keywords/>
  <dc:description/>
  <cp:lastModifiedBy>Наталия Шеремет</cp:lastModifiedBy>
  <cp:revision>2</cp:revision>
  <cp:lastPrinted>2017-09-08T16:20:00Z</cp:lastPrinted>
  <dcterms:created xsi:type="dcterms:W3CDTF">2017-09-08T16:20:00Z</dcterms:created>
  <dcterms:modified xsi:type="dcterms:W3CDTF">2017-09-08T16:20:00Z</dcterms:modified>
</cp:coreProperties>
</file>