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02" w:rsidRPr="00E07B8C" w:rsidRDefault="00CE7D02" w:rsidP="00DB0269">
      <w:pPr>
        <w:jc w:val="center"/>
        <w:rPr>
          <w:b/>
          <w:color w:val="000000"/>
          <w:sz w:val="26"/>
          <w:szCs w:val="26"/>
          <w:lang w:val="uk-UA"/>
        </w:rPr>
      </w:pPr>
      <w:r w:rsidRPr="00E07B8C">
        <w:rPr>
          <w:b/>
          <w:color w:val="000000"/>
          <w:sz w:val="26"/>
          <w:szCs w:val="26"/>
          <w:lang w:val="uk-UA"/>
        </w:rPr>
        <w:t>Пояснювальна  записка</w:t>
      </w:r>
    </w:p>
    <w:p w:rsidR="00726ACF" w:rsidRPr="00E07B8C" w:rsidRDefault="00CE7D02" w:rsidP="00726ACF">
      <w:pPr>
        <w:jc w:val="center"/>
        <w:rPr>
          <w:b/>
          <w:color w:val="000000"/>
          <w:sz w:val="26"/>
          <w:szCs w:val="26"/>
          <w:lang w:val="uk-UA"/>
        </w:rPr>
      </w:pPr>
      <w:r w:rsidRPr="00E07B8C">
        <w:rPr>
          <w:b/>
          <w:color w:val="000000"/>
          <w:sz w:val="26"/>
          <w:szCs w:val="26"/>
          <w:lang w:val="uk-UA"/>
        </w:rPr>
        <w:t xml:space="preserve">щодо </w:t>
      </w:r>
      <w:r w:rsidR="00726ACF" w:rsidRPr="00E07B8C">
        <w:rPr>
          <w:b/>
          <w:color w:val="000000"/>
          <w:sz w:val="26"/>
          <w:szCs w:val="26"/>
          <w:lang w:val="uk-UA"/>
        </w:rPr>
        <w:t xml:space="preserve">виконання показників фінансового плану </w:t>
      </w:r>
    </w:p>
    <w:p w:rsidR="00726ACF" w:rsidRPr="00E07B8C" w:rsidRDefault="00CE7D02" w:rsidP="00DB0269">
      <w:pPr>
        <w:jc w:val="center"/>
        <w:rPr>
          <w:b/>
          <w:color w:val="000000"/>
          <w:sz w:val="26"/>
          <w:szCs w:val="26"/>
          <w:lang w:val="uk-UA"/>
        </w:rPr>
      </w:pPr>
      <w:r w:rsidRPr="00E07B8C">
        <w:rPr>
          <w:b/>
          <w:color w:val="000000"/>
          <w:sz w:val="26"/>
          <w:szCs w:val="26"/>
          <w:lang w:val="uk-UA"/>
        </w:rPr>
        <w:t xml:space="preserve">казенного підприємства «Морська пошуково-рятувальна служба» </w:t>
      </w:r>
    </w:p>
    <w:p w:rsidR="00CE7D02" w:rsidRPr="00E07B8C" w:rsidRDefault="00CE7D02" w:rsidP="00DB0269">
      <w:pPr>
        <w:jc w:val="center"/>
        <w:rPr>
          <w:b/>
          <w:color w:val="000000"/>
          <w:sz w:val="26"/>
          <w:szCs w:val="26"/>
          <w:lang w:val="uk-UA"/>
        </w:rPr>
      </w:pPr>
      <w:r w:rsidRPr="00E07B8C">
        <w:rPr>
          <w:b/>
          <w:color w:val="000000"/>
          <w:sz w:val="26"/>
          <w:szCs w:val="26"/>
          <w:lang w:val="uk-UA"/>
        </w:rPr>
        <w:t>за 201</w:t>
      </w:r>
      <w:r w:rsidR="001C18AE" w:rsidRPr="00E07B8C">
        <w:rPr>
          <w:b/>
          <w:color w:val="000000"/>
          <w:sz w:val="26"/>
          <w:szCs w:val="26"/>
          <w:lang w:val="uk-UA"/>
        </w:rPr>
        <w:t>8</w:t>
      </w:r>
      <w:r w:rsidRPr="00E07B8C">
        <w:rPr>
          <w:b/>
          <w:color w:val="000000"/>
          <w:sz w:val="26"/>
          <w:szCs w:val="26"/>
          <w:lang w:val="uk-UA"/>
        </w:rPr>
        <w:t xml:space="preserve"> р</w:t>
      </w:r>
      <w:r w:rsidR="00C533E2">
        <w:rPr>
          <w:b/>
          <w:color w:val="000000"/>
          <w:sz w:val="26"/>
          <w:szCs w:val="26"/>
          <w:lang w:val="uk-UA"/>
        </w:rPr>
        <w:t>і</w:t>
      </w:r>
      <w:r w:rsidRPr="00E07B8C">
        <w:rPr>
          <w:b/>
          <w:color w:val="000000"/>
          <w:sz w:val="26"/>
          <w:szCs w:val="26"/>
          <w:lang w:val="uk-UA"/>
        </w:rPr>
        <w:t>к</w:t>
      </w:r>
    </w:p>
    <w:p w:rsidR="00CE7D02" w:rsidRPr="0038726B" w:rsidRDefault="00CE7D02" w:rsidP="00666E28">
      <w:pPr>
        <w:rPr>
          <w:b/>
          <w:color w:val="000000"/>
          <w:sz w:val="26"/>
          <w:szCs w:val="26"/>
          <w:lang w:val="uk-UA"/>
        </w:rPr>
      </w:pPr>
      <w:r w:rsidRPr="0038726B">
        <w:rPr>
          <w:b/>
          <w:color w:val="000000"/>
          <w:sz w:val="26"/>
          <w:szCs w:val="26"/>
          <w:lang w:val="uk-UA"/>
        </w:rPr>
        <w:t xml:space="preserve">                      </w:t>
      </w:r>
    </w:p>
    <w:p w:rsidR="00CE7D02" w:rsidRPr="0038726B" w:rsidRDefault="00CE7D02" w:rsidP="001D7ED4">
      <w:pPr>
        <w:numPr>
          <w:ilvl w:val="0"/>
          <w:numId w:val="1"/>
        </w:numPr>
        <w:jc w:val="center"/>
        <w:rPr>
          <w:b/>
          <w:color w:val="000000"/>
          <w:lang w:val="uk-UA"/>
        </w:rPr>
      </w:pPr>
      <w:r w:rsidRPr="0038726B">
        <w:rPr>
          <w:b/>
          <w:color w:val="000000"/>
          <w:lang w:val="uk-UA"/>
        </w:rPr>
        <w:t>Загальні характеристики підприємства</w:t>
      </w:r>
    </w:p>
    <w:p w:rsidR="00CE7D02" w:rsidRPr="0038726B" w:rsidRDefault="00CE7D02" w:rsidP="001D7ED4">
      <w:pPr>
        <w:ind w:left="360"/>
        <w:rPr>
          <w:b/>
          <w:color w:val="000000"/>
          <w:lang w:val="uk-UA"/>
        </w:rPr>
      </w:pPr>
    </w:p>
    <w:p w:rsidR="00E07B8C" w:rsidRDefault="00E07B8C" w:rsidP="00E07B8C">
      <w:pPr>
        <w:ind w:firstLine="709"/>
        <w:jc w:val="both"/>
        <w:rPr>
          <w:lang w:val="uk-UA"/>
        </w:rPr>
      </w:pPr>
      <w:r>
        <w:rPr>
          <w:lang w:val="uk-UA"/>
        </w:rPr>
        <w:t>Діяльність КП «МПРС» відновлено відповідно до Постанови Кабінету Міністрів України № 158 від 24.02.2016 року «Про відновлення єдиної системи пошуку та рятування на морі» та наказу Міністерства інфраструктури України № 119 від 25.03.2016 року «Про виконання заходів в відновленні єдиної системи пошуку та рятування на морі» з метою забезпечення сталого функціонування та подальшого розвитку національної системи пошуку і рятування у морському пошуково-рятувальному районі України на виконання публічно-правових функцій держави Україна щодо здійснення операцій з пошуку і рятування людського життя у відкритому морі у відповідності з міжнародними договорами, стороною яких є Україна, у тому числі:</w:t>
      </w:r>
    </w:p>
    <w:p w:rsidR="00E07B8C" w:rsidRDefault="00E07B8C" w:rsidP="00E07B8C">
      <w:pPr>
        <w:ind w:firstLine="709"/>
        <w:jc w:val="both"/>
        <w:rPr>
          <w:lang w:val="uk-UA"/>
        </w:rPr>
      </w:pPr>
      <w:r>
        <w:rPr>
          <w:lang w:val="uk-UA"/>
        </w:rPr>
        <w:t>Міжнародна конвенція про пошук і рятування на морі 1979 року;</w:t>
      </w:r>
    </w:p>
    <w:p w:rsidR="00E07B8C" w:rsidRDefault="00E07B8C" w:rsidP="00E07B8C">
      <w:pPr>
        <w:ind w:firstLine="709"/>
        <w:jc w:val="both"/>
        <w:rPr>
          <w:lang w:val="uk-UA"/>
        </w:rPr>
      </w:pPr>
      <w:r>
        <w:rPr>
          <w:lang w:val="uk-UA"/>
        </w:rPr>
        <w:t>Міжнародна конвенція з охорони людського життя на морі 1974 року;</w:t>
      </w:r>
    </w:p>
    <w:p w:rsidR="00E07B8C" w:rsidRDefault="00E07B8C" w:rsidP="00E07B8C">
      <w:pPr>
        <w:ind w:firstLine="709"/>
        <w:jc w:val="both"/>
        <w:rPr>
          <w:lang w:val="uk-UA"/>
        </w:rPr>
      </w:pPr>
      <w:r>
        <w:rPr>
          <w:lang w:val="uk-UA"/>
        </w:rPr>
        <w:t>Керівництво з міжнародного авіаційного і морського пошуку і рятування, у редакції 2010 року;</w:t>
      </w:r>
    </w:p>
    <w:p w:rsidR="00E07B8C" w:rsidRDefault="00E07B8C" w:rsidP="00E07B8C">
      <w:pPr>
        <w:ind w:firstLine="709"/>
        <w:jc w:val="both"/>
        <w:rPr>
          <w:lang w:val="uk-UA"/>
        </w:rPr>
      </w:pPr>
      <w:r>
        <w:rPr>
          <w:lang w:val="uk-UA"/>
        </w:rPr>
        <w:t>Угода про співробітництво причорноморських країн з пошуку і рятуванні на Чорному морі,</w:t>
      </w:r>
    </w:p>
    <w:p w:rsidR="00E07B8C" w:rsidRDefault="00E07B8C" w:rsidP="00E07B8C">
      <w:pPr>
        <w:ind w:firstLine="709"/>
        <w:jc w:val="both"/>
        <w:rPr>
          <w:lang w:val="uk-UA"/>
        </w:rPr>
      </w:pPr>
      <w:r>
        <w:t xml:space="preserve">та </w:t>
      </w:r>
      <w:r>
        <w:rPr>
          <w:lang w:val="uk-UA"/>
        </w:rPr>
        <w:t>інших міжнародних документів з питань морського пошуку і рятування.</w:t>
      </w:r>
    </w:p>
    <w:p w:rsidR="00E07B8C" w:rsidRDefault="00E07B8C" w:rsidP="00E07B8C">
      <w:pPr>
        <w:ind w:firstLine="709"/>
        <w:jc w:val="both"/>
        <w:rPr>
          <w:lang w:val="uk-UA"/>
        </w:rPr>
      </w:pPr>
      <w:r>
        <w:rPr>
          <w:lang w:val="uk-UA"/>
        </w:rPr>
        <w:t>Головне завдання КП «МПРС» - забезпечення несення постійної пошуково-рятувальній готовності для порятунку людей, надання їм невідкладної медичної допомоги та евакуації у безпечне місце.</w:t>
      </w:r>
    </w:p>
    <w:p w:rsidR="005722F3" w:rsidRPr="0038726B" w:rsidRDefault="00990831" w:rsidP="00B03B11">
      <w:pPr>
        <w:jc w:val="both"/>
        <w:rPr>
          <w:color w:val="000000"/>
          <w:lang w:val="uk-UA"/>
        </w:rPr>
      </w:pPr>
      <w:r w:rsidRPr="0038726B">
        <w:rPr>
          <w:rFonts w:eastAsia="Calibri"/>
          <w:color w:val="000000" w:themeColor="text1"/>
          <w:lang w:val="uk-UA" w:eastAsia="en-US"/>
        </w:rPr>
        <w:tab/>
      </w:r>
    </w:p>
    <w:p w:rsidR="00CE7D02" w:rsidRPr="0038726B" w:rsidRDefault="00CE7D02" w:rsidP="00F606DB">
      <w:pPr>
        <w:jc w:val="center"/>
        <w:rPr>
          <w:b/>
          <w:color w:val="000000"/>
          <w:lang w:val="uk-UA"/>
        </w:rPr>
      </w:pPr>
      <w:r w:rsidRPr="0038726B">
        <w:rPr>
          <w:b/>
          <w:color w:val="000000"/>
          <w:lang w:val="uk-UA"/>
        </w:rPr>
        <w:t>Напрями і види діяльності КП «МПРС»</w:t>
      </w:r>
    </w:p>
    <w:p w:rsidR="00CE7D02" w:rsidRPr="0038726B" w:rsidRDefault="00CE7D02" w:rsidP="001D7ED4">
      <w:pPr>
        <w:rPr>
          <w:b/>
          <w:color w:val="000000"/>
          <w:lang w:val="uk-UA"/>
        </w:rPr>
      </w:pPr>
    </w:p>
    <w:p w:rsidR="00E07B8C" w:rsidRDefault="002763F1" w:rsidP="00E07B8C">
      <w:pPr>
        <w:tabs>
          <w:tab w:val="left" w:pos="0"/>
        </w:tabs>
        <w:rPr>
          <w:lang w:val="uk-UA"/>
        </w:rPr>
      </w:pPr>
      <w:r w:rsidRPr="0038726B">
        <w:tab/>
      </w:r>
      <w:bookmarkStart w:id="0" w:name="_Hlk880003"/>
      <w:r w:rsidR="00E07B8C">
        <w:rPr>
          <w:lang w:val="uk-UA"/>
        </w:rPr>
        <w:t xml:space="preserve">Згідно зі Статутом </w:t>
      </w:r>
      <w:r w:rsidR="00E07B8C">
        <w:t xml:space="preserve">предметом </w:t>
      </w:r>
      <w:r w:rsidR="00E07B8C">
        <w:rPr>
          <w:lang w:val="uk-UA"/>
        </w:rPr>
        <w:t>діяльності КП «МПРС»</w:t>
      </w:r>
      <w:r w:rsidR="00E07B8C">
        <w:t xml:space="preserve"> є:</w:t>
      </w:r>
    </w:p>
    <w:p w:rsidR="00E07B8C" w:rsidRDefault="00E07B8C" w:rsidP="00E07B8C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 xml:space="preserve">організація та проведення пошуково-рятувальних робіт; </w:t>
      </w:r>
    </w:p>
    <w:p w:rsidR="00E07B8C" w:rsidRDefault="00E07B8C" w:rsidP="00E07B8C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 xml:space="preserve">забезпечення сталого функціонування та подальшого розвитку національної системи пошуку і рятування на морі, координація та проведення морських та авіаційних пошуково-рятувальних операцій; </w:t>
      </w:r>
    </w:p>
    <w:p w:rsidR="00E07B8C" w:rsidRDefault="00E07B8C" w:rsidP="00E07B8C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 xml:space="preserve">підтримання суднами, плавзасобами, </w:t>
      </w:r>
      <w:r>
        <w:rPr>
          <w:color w:val="auto"/>
          <w:lang w:val="uk-UA"/>
        </w:rPr>
        <w:t>повітряними суднами</w:t>
      </w:r>
      <w:r>
        <w:rPr>
          <w:lang w:val="uk-UA"/>
        </w:rPr>
        <w:t xml:space="preserve">, технічними засобами та береговими підрозділами постійної пошуково-рятувальної готовності для здійснення пошуку та рятування в морському пошуково-рятувальному районі України; </w:t>
      </w:r>
    </w:p>
    <w:p w:rsidR="00E07B8C" w:rsidRDefault="00E07B8C" w:rsidP="00E07B8C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 xml:space="preserve">здійснення заходів щодо залучення повітряних суден для авіаційного пошуку в морському пошуково-рятувальному районі України; </w:t>
      </w:r>
    </w:p>
    <w:p w:rsidR="00E07B8C" w:rsidRDefault="00E07B8C" w:rsidP="00E07B8C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 xml:space="preserve">утримання, обслуговування суден, плавзасобів, </w:t>
      </w:r>
      <w:r>
        <w:rPr>
          <w:color w:val="auto"/>
          <w:lang w:val="uk-UA"/>
        </w:rPr>
        <w:t>повітряних суден</w:t>
      </w:r>
      <w:r>
        <w:rPr>
          <w:lang w:val="uk-UA"/>
        </w:rPr>
        <w:t xml:space="preserve">, технічних засобів, засобів зв’язку у разі лиха, берегових підрозділів, у тому числі у період ремонту; </w:t>
      </w:r>
    </w:p>
    <w:p w:rsidR="00E07B8C" w:rsidRDefault="00E07B8C" w:rsidP="00E07B8C">
      <w:pPr>
        <w:pStyle w:val="Default"/>
        <w:ind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ремонт, модернізації, реконструкція, будівництво та придбання пошуково-рятувальних суден, плавзасобів, повітряних суден, технічних засобів та засобів зв’язку у разі лиха; </w:t>
      </w:r>
    </w:p>
    <w:p w:rsidR="00E07B8C" w:rsidRDefault="00E07B8C" w:rsidP="00E07B8C">
      <w:pPr>
        <w:pStyle w:val="Default"/>
        <w:ind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реалізація, розвиток та використання систем морського рухомого зв’язку та впровадження комплексу Глобальної морської системи зв’язку у разі лиха та для забезпечення безпеки; </w:t>
      </w:r>
    </w:p>
    <w:p w:rsidR="00E07B8C" w:rsidRDefault="00E07B8C" w:rsidP="00E07B8C">
      <w:pPr>
        <w:pStyle w:val="Default"/>
        <w:ind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організаційне-технічне забезпечення участі України у міжнародній організації КОСПАС-САРСАТ; </w:t>
      </w:r>
    </w:p>
    <w:p w:rsidR="00E07B8C" w:rsidRDefault="00E07B8C" w:rsidP="00E07B8C">
      <w:pPr>
        <w:pStyle w:val="Default"/>
        <w:ind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організація робіт із забезпечення та координації діяльності щодо розвитку та ефективного функціонування ГМЗЛБ, удосконалення національного берегового сегменту ГМЗЛБ; </w:t>
      </w:r>
    </w:p>
    <w:p w:rsidR="00E07B8C" w:rsidRDefault="00E07B8C" w:rsidP="00E07B8C">
      <w:pPr>
        <w:pStyle w:val="Default"/>
        <w:ind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забезпечення функціонування державного морського </w:t>
      </w:r>
      <w:proofErr w:type="spellStart"/>
      <w:r>
        <w:rPr>
          <w:color w:val="auto"/>
          <w:lang w:val="uk-UA"/>
        </w:rPr>
        <w:t>рятувально</w:t>
      </w:r>
      <w:proofErr w:type="spellEnd"/>
      <w:r>
        <w:rPr>
          <w:color w:val="auto"/>
          <w:lang w:val="uk-UA"/>
        </w:rPr>
        <w:t xml:space="preserve">-координаційного центру (далі - ДРМКЦ), морських рятувальних </w:t>
      </w:r>
      <w:proofErr w:type="spellStart"/>
      <w:r>
        <w:rPr>
          <w:color w:val="auto"/>
          <w:lang w:val="uk-UA"/>
        </w:rPr>
        <w:t>підцентрів</w:t>
      </w:r>
      <w:proofErr w:type="spellEnd"/>
      <w:r>
        <w:rPr>
          <w:color w:val="auto"/>
          <w:lang w:val="uk-UA"/>
        </w:rPr>
        <w:t xml:space="preserve"> (далі - МРПЦ) та берегових радіоцентрів ГМЗЛБ; </w:t>
      </w:r>
    </w:p>
    <w:p w:rsidR="00E07B8C" w:rsidRDefault="00E07B8C" w:rsidP="00E07B8C">
      <w:pPr>
        <w:pStyle w:val="Default"/>
        <w:ind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забезпечення єдиної організаційної та технічної політики щодо розвитку і використання засобів зв’язку і радіовизначення для морської рухомої служби в національних та міжнародних, традиційних та супутникових системах; </w:t>
      </w:r>
    </w:p>
    <w:p w:rsidR="00E07B8C" w:rsidRDefault="00E07B8C" w:rsidP="00E07B8C">
      <w:pPr>
        <w:pStyle w:val="Default"/>
        <w:ind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забезпечення функціонування Національного центру даних системи дальньої ідентифікації та контролю місцезнаходження суден та системи суднового охоронного сповіщення; </w:t>
      </w:r>
    </w:p>
    <w:p w:rsidR="00E07B8C" w:rsidRDefault="00E07B8C" w:rsidP="00E07B8C">
      <w:pPr>
        <w:pStyle w:val="Default"/>
        <w:ind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>здійснення зовнішньоекономічної діяльності відповідно до вимог чинного законодавства;</w:t>
      </w:r>
    </w:p>
    <w:p w:rsidR="00E07B8C" w:rsidRDefault="00E07B8C" w:rsidP="00E07B8C">
      <w:pPr>
        <w:pStyle w:val="Default"/>
        <w:ind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>інші відповідно до Статуту підприємства.</w:t>
      </w:r>
    </w:p>
    <w:bookmarkEnd w:id="0"/>
    <w:p w:rsidR="00CE7D02" w:rsidRPr="0038726B" w:rsidRDefault="00CE7D02" w:rsidP="00E07B8C">
      <w:pPr>
        <w:tabs>
          <w:tab w:val="left" w:pos="0"/>
        </w:tabs>
        <w:suppressAutoHyphens/>
        <w:rPr>
          <w:b/>
          <w:color w:val="000000"/>
          <w:lang w:val="uk-UA"/>
        </w:rPr>
      </w:pPr>
    </w:p>
    <w:p w:rsidR="002763F1" w:rsidRPr="0038726B" w:rsidRDefault="002763F1" w:rsidP="005722F3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120"/>
        <w:contextualSpacing w:val="0"/>
        <w:jc w:val="center"/>
        <w:rPr>
          <w:b/>
          <w:lang w:val="uk-UA"/>
        </w:rPr>
      </w:pPr>
      <w:r w:rsidRPr="0038726B">
        <w:rPr>
          <w:b/>
          <w:lang w:val="uk-UA"/>
        </w:rPr>
        <w:t>Основні підрозділи та виробничі потужності КП «МПРС»</w:t>
      </w:r>
    </w:p>
    <w:p w:rsidR="00E07B8C" w:rsidRDefault="00E07B8C" w:rsidP="00E07B8C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Основними компонентами системи пошуку та рятування, що функціонують в КП «МПРС» є:</w:t>
      </w:r>
    </w:p>
    <w:p w:rsidR="00E07B8C" w:rsidRDefault="00E07B8C" w:rsidP="00E07B8C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1. Державний морський </w:t>
      </w:r>
      <w:proofErr w:type="spellStart"/>
      <w:r>
        <w:rPr>
          <w:color w:val="000000" w:themeColor="text1"/>
          <w:lang w:val="uk-UA"/>
        </w:rPr>
        <w:t>рятувально</w:t>
      </w:r>
      <w:proofErr w:type="spellEnd"/>
      <w:r>
        <w:rPr>
          <w:color w:val="000000" w:themeColor="text1"/>
          <w:lang w:val="uk-UA"/>
        </w:rPr>
        <w:t xml:space="preserve">-координаційний центр у м. Одеса (оснащений спеціалізованим обладнанням та інформаційним забезпеченням відповідно до міжнародних вимог та рекомендацій), морський рятувальний </w:t>
      </w:r>
      <w:proofErr w:type="spellStart"/>
      <w:r>
        <w:rPr>
          <w:color w:val="000000" w:themeColor="text1"/>
          <w:lang w:val="uk-UA"/>
        </w:rPr>
        <w:t>підцентр</w:t>
      </w:r>
      <w:proofErr w:type="spellEnd"/>
      <w:r>
        <w:rPr>
          <w:color w:val="000000" w:themeColor="text1"/>
          <w:lang w:val="uk-UA"/>
        </w:rPr>
        <w:t xml:space="preserve"> у м. Бердянськ. Структурні підрозділи забезпечують загальну координацію проведення пошуково-рятувальних операцій та організують ефективний пошук і рятування силами КП «МПРС» з залученням засобів підприємств та інших організацій, міністерств і відомств України в морському пошуково-рятувальному районі України.</w:t>
      </w:r>
    </w:p>
    <w:p w:rsidR="00E07B8C" w:rsidRDefault="00E07B8C" w:rsidP="00E07B8C">
      <w:pPr>
        <w:pStyle w:val="-11"/>
        <w:ind w:left="0" w:firstLine="709"/>
        <w:jc w:val="both"/>
        <w:rPr>
          <w:color w:val="000000" w:themeColor="text1"/>
          <w:lang w:val="uk-UA"/>
        </w:rPr>
      </w:pPr>
    </w:p>
    <w:p w:rsidR="00E07B8C" w:rsidRDefault="00E07B8C" w:rsidP="00E07B8C">
      <w:pPr>
        <w:pStyle w:val="-11"/>
        <w:ind w:left="0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функціонуючий береговий сегмент ГМЗЛБ України, роботу якого забезпечують створені наземні радіослужби, МРС в смугах частот 156-174 МГц і 1605-4000 кГц, складається з наступних берегових об’єктів: </w:t>
      </w:r>
    </w:p>
    <w:p w:rsidR="00E07B8C" w:rsidRDefault="00E07B8C" w:rsidP="00E07B8C">
      <w:pPr>
        <w:numPr>
          <w:ilvl w:val="0"/>
          <w:numId w:val="15"/>
        </w:numPr>
        <w:ind w:left="567" w:hanging="283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берегова радіостанція морських районів А1, А2 ГМЗЛБ м. Одеса (дальність дії А1– 23 морських милі, А2 - 200 морських миль), яка складається з:</w:t>
      </w:r>
    </w:p>
    <w:p w:rsidR="00E07B8C" w:rsidRDefault="00E07B8C" w:rsidP="00E07B8C">
      <w:pPr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Експлуатаційного центру управління (ЕЦУ) БРЦ морських районів А1, А2 ГМЗЛБ;</w:t>
      </w:r>
    </w:p>
    <w:p w:rsidR="00E07B8C" w:rsidRDefault="00E07B8C" w:rsidP="00E07B8C">
      <w:pPr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приймально-передавального радіоцентру Берегової радіостанції морського району А1 ГМЗЛБ;</w:t>
      </w:r>
    </w:p>
    <w:p w:rsidR="00E07B8C" w:rsidRDefault="00E07B8C" w:rsidP="00E07B8C">
      <w:pPr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передавального радіоцентру Берегової радіостанції морського району А2 ГМЗЛБ;</w:t>
      </w:r>
    </w:p>
    <w:p w:rsidR="00E07B8C" w:rsidRDefault="00E07B8C" w:rsidP="00E07B8C">
      <w:pPr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приймального радіоцентру Берегової радіостанції морського району А2 ГМЗЛБ;</w:t>
      </w:r>
    </w:p>
    <w:p w:rsidR="00E07B8C" w:rsidRDefault="00E07B8C" w:rsidP="00E07B8C">
      <w:pPr>
        <w:numPr>
          <w:ilvl w:val="0"/>
          <w:numId w:val="15"/>
        </w:numPr>
        <w:tabs>
          <w:tab w:val="left" w:pos="567"/>
        </w:tabs>
        <w:ind w:left="567" w:hanging="283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>берегова радіостанція морського району А1 ГМЗЛБ м. Маріуполь (</w:t>
      </w:r>
      <w:r>
        <w:rPr>
          <w:color w:val="000000" w:themeColor="text1"/>
          <w:lang w:val="uk-UA"/>
        </w:rPr>
        <w:t>дальність дії А1 – 20 морських миль),</w:t>
      </w:r>
    </w:p>
    <w:p w:rsidR="00E07B8C" w:rsidRDefault="00E07B8C" w:rsidP="00E07B8C">
      <w:pPr>
        <w:numPr>
          <w:ilvl w:val="0"/>
          <w:numId w:val="15"/>
        </w:numPr>
        <w:ind w:left="567" w:hanging="283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>берегова радіостанція морського району А1 ГМЗЛБ м. Бердянськ (</w:t>
      </w:r>
      <w:r>
        <w:rPr>
          <w:color w:val="000000" w:themeColor="text1"/>
          <w:lang w:val="uk-UA"/>
        </w:rPr>
        <w:t>дальність дії А1 – 20 морських миль).</w:t>
      </w:r>
    </w:p>
    <w:p w:rsidR="00E07B8C" w:rsidRDefault="00E07B8C" w:rsidP="00E07B8C">
      <w:pPr>
        <w:pStyle w:val="-11"/>
        <w:ind w:left="0" w:firstLine="284"/>
        <w:jc w:val="both"/>
        <w:rPr>
          <w:color w:val="000000" w:themeColor="text1"/>
          <w:lang w:val="uk-UA"/>
        </w:rPr>
      </w:pPr>
    </w:p>
    <w:p w:rsidR="00E07B8C" w:rsidRDefault="00E07B8C" w:rsidP="00E07B8C">
      <w:pPr>
        <w:pStyle w:val="-11"/>
        <w:ind w:left="0"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3. Національний Центр </w:t>
      </w:r>
      <w:r w:rsidR="00171699">
        <w:rPr>
          <w:color w:val="000000" w:themeColor="text1"/>
          <w:lang w:val="uk-UA"/>
        </w:rPr>
        <w:t xml:space="preserve">даних </w:t>
      </w:r>
      <w:r>
        <w:rPr>
          <w:color w:val="000000" w:themeColor="text1"/>
          <w:lang w:val="uk-UA"/>
        </w:rPr>
        <w:t>є складовою частиною системи ДІКМС та створено відповідно до постанови Кабінету Міністрів України від 14.05.2008 № 459 на виконання вимог Правила V/19-1 Конвенції СОЛАС, резолюцій КБМ ІМО MSC.202 (81) від 19.05.2006, MSC.263 (84) від 16.05.2008 та інших, з метою забезпечення виконання міжнародних зобов’язань держави щодо підвищення рівнів безпеки судноплавства та охорони на морі.</w:t>
      </w:r>
    </w:p>
    <w:p w:rsidR="00E07B8C" w:rsidRDefault="00E07B8C" w:rsidP="00E07B8C">
      <w:pPr>
        <w:pStyle w:val="-11"/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ab/>
        <w:t xml:space="preserve">Міжнародна система ДІКМС працює на засадах використання розподіленої системи обчислювальних серверів із спеціалізованим програмним забезпеченням, системи супутникового зв’язку ІНМАРСАТ та мережі Інтернет. Національний центр, як складова цієї системи, містить в собі складний апаратно-програмний комплекс, який забезпечує виконання вимог та функцій, визначених ІМО. </w:t>
      </w:r>
    </w:p>
    <w:p w:rsidR="00E07B8C" w:rsidRDefault="00E07B8C" w:rsidP="00E07B8C">
      <w:pPr>
        <w:ind w:firstLine="708"/>
        <w:jc w:val="both"/>
        <w:rPr>
          <w:color w:val="000000" w:themeColor="text1"/>
          <w:lang w:val="uk-UA"/>
        </w:rPr>
      </w:pPr>
    </w:p>
    <w:p w:rsidR="00E07B8C" w:rsidRDefault="00E07B8C" w:rsidP="00E07B8C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 Морська складова системи пошуку і рятування.</w:t>
      </w:r>
    </w:p>
    <w:p w:rsidR="00E07B8C" w:rsidRDefault="00E07B8C" w:rsidP="00E07B8C">
      <w:pPr>
        <w:jc w:val="both"/>
        <w:rPr>
          <w:color w:val="000000" w:themeColor="text1"/>
          <w:lang w:val="uk-UA"/>
        </w:rPr>
      </w:pPr>
    </w:p>
    <w:p w:rsidR="00E07B8C" w:rsidRDefault="00E07B8C" w:rsidP="00E07B8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До складу пошуково-рятувального флоту підприємства входять :</w:t>
      </w:r>
    </w:p>
    <w:p w:rsidR="00E07B8C" w:rsidRDefault="00E07B8C" w:rsidP="00E07B8C">
      <w:pPr>
        <w:jc w:val="both"/>
        <w:rPr>
          <w:color w:val="000000" w:themeColor="text1"/>
          <w:lang w:val="uk-UA"/>
        </w:rPr>
      </w:pPr>
    </w:p>
    <w:p w:rsidR="00E07B8C" w:rsidRDefault="00E07B8C" w:rsidP="00E07B8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- 2 (два) пошуково-рятувальних катера типу «</w:t>
      </w:r>
      <w:proofErr w:type="spellStart"/>
      <w:r>
        <w:rPr>
          <w:color w:val="000000" w:themeColor="text1"/>
          <w:lang w:val="uk-UA"/>
        </w:rPr>
        <w:t>Patrol</w:t>
      </w:r>
      <w:proofErr w:type="spellEnd"/>
      <w:r>
        <w:rPr>
          <w:color w:val="000000" w:themeColor="text1"/>
          <w:lang w:val="uk-UA"/>
        </w:rPr>
        <w:t xml:space="preserve"> 150 SAR»,</w:t>
      </w:r>
    </w:p>
    <w:p w:rsidR="00E07B8C" w:rsidRDefault="00E07B8C" w:rsidP="00E07B8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- 3 (три) пошуково-рятувальних катера типу «</w:t>
      </w:r>
      <w:proofErr w:type="spellStart"/>
      <w:r>
        <w:rPr>
          <w:color w:val="000000" w:themeColor="text1"/>
          <w:lang w:val="uk-UA"/>
        </w:rPr>
        <w:t>Boomeranger</w:t>
      </w:r>
      <w:proofErr w:type="spellEnd"/>
      <w:r>
        <w:rPr>
          <w:color w:val="000000" w:themeColor="text1"/>
          <w:lang w:val="uk-UA"/>
        </w:rPr>
        <w:t xml:space="preserve"> C-1100 RIB»,</w:t>
      </w:r>
    </w:p>
    <w:p w:rsidR="00E07B8C" w:rsidRDefault="00E07B8C" w:rsidP="00E07B8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>- 2 (два) пошуково-рятувальних човна типу «</w:t>
      </w:r>
      <w:r>
        <w:rPr>
          <w:color w:val="000000" w:themeColor="text1"/>
          <w:lang w:val="en-US"/>
        </w:rPr>
        <w:t>RIB</w:t>
      </w:r>
      <w:r>
        <w:rPr>
          <w:color w:val="000000" w:themeColor="text1"/>
        </w:rPr>
        <w:t xml:space="preserve"> 500</w:t>
      </w:r>
      <w:r>
        <w:rPr>
          <w:color w:val="000000" w:themeColor="text1"/>
          <w:lang w:val="uk-UA"/>
        </w:rPr>
        <w:t>»,</w:t>
      </w:r>
      <w:r w:rsidR="00257E7F">
        <w:rPr>
          <w:color w:val="000000" w:themeColor="text1"/>
          <w:lang w:val="uk-UA"/>
        </w:rPr>
        <w:t xml:space="preserve"> «</w:t>
      </w:r>
      <w:r w:rsidR="00257E7F">
        <w:rPr>
          <w:color w:val="000000" w:themeColor="text1"/>
          <w:lang w:val="en-US"/>
        </w:rPr>
        <w:t>RIB</w:t>
      </w:r>
      <w:r w:rsidR="00257E7F">
        <w:rPr>
          <w:color w:val="000000" w:themeColor="text1"/>
        </w:rPr>
        <w:t xml:space="preserve"> </w:t>
      </w:r>
      <w:r w:rsidR="00257E7F">
        <w:rPr>
          <w:color w:val="000000" w:themeColor="text1"/>
          <w:lang w:val="uk-UA"/>
        </w:rPr>
        <w:t>6</w:t>
      </w:r>
      <w:r w:rsidR="00257E7F">
        <w:rPr>
          <w:color w:val="000000" w:themeColor="text1"/>
        </w:rPr>
        <w:t>50</w:t>
      </w:r>
      <w:r w:rsidR="00257E7F">
        <w:rPr>
          <w:color w:val="000000" w:themeColor="text1"/>
          <w:lang w:val="uk-UA"/>
        </w:rPr>
        <w:t>»,</w:t>
      </w:r>
    </w:p>
    <w:p w:rsidR="00E07B8C" w:rsidRDefault="00E07B8C" w:rsidP="00E07B8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багатоцільове судно льодового класу проекту ПР 1454 («Сапфір»),</w:t>
      </w:r>
    </w:p>
    <w:p w:rsidR="00E07B8C" w:rsidRDefault="00E07B8C" w:rsidP="00E07B8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пошуково-рятувальне службове судно проекту ПР 522,</w:t>
      </w:r>
    </w:p>
    <w:p w:rsidR="00E07B8C" w:rsidRDefault="00E07B8C" w:rsidP="00E07B8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несамохідна плавуча майстерня «ПМ-607»,</w:t>
      </w:r>
    </w:p>
    <w:p w:rsidR="00134D33" w:rsidRPr="0038726B" w:rsidRDefault="00134D33" w:rsidP="007744CB">
      <w:pPr>
        <w:tabs>
          <w:tab w:val="left" w:pos="0"/>
        </w:tabs>
        <w:suppressAutoHyphens/>
        <w:jc w:val="both"/>
        <w:rPr>
          <w:rFonts w:eastAsia="Calibri"/>
          <w:color w:val="000000" w:themeColor="text1"/>
          <w:lang w:val="uk-UA"/>
        </w:rPr>
      </w:pPr>
    </w:p>
    <w:p w:rsidR="00CE7D02" w:rsidRPr="0038726B" w:rsidRDefault="004F3757" w:rsidP="00B03B11">
      <w:pPr>
        <w:ind w:firstLine="709"/>
        <w:jc w:val="both"/>
        <w:rPr>
          <w:b/>
          <w:color w:val="000000"/>
          <w:lang w:val="uk-UA"/>
        </w:rPr>
      </w:pPr>
      <w:r w:rsidRPr="0038726B">
        <w:rPr>
          <w:rFonts w:eastAsia="Calibri"/>
          <w:color w:val="000000" w:themeColor="text1"/>
          <w:lang w:val="uk-UA"/>
        </w:rPr>
        <w:tab/>
      </w:r>
      <w:r w:rsidR="00CE7D02" w:rsidRPr="0038726B">
        <w:rPr>
          <w:b/>
          <w:iCs/>
          <w:color w:val="000000"/>
          <w:lang w:val="uk-UA"/>
        </w:rPr>
        <w:t xml:space="preserve">Фінансові показники КП </w:t>
      </w:r>
      <w:r w:rsidR="00CE7D02" w:rsidRPr="0038726B">
        <w:rPr>
          <w:b/>
          <w:color w:val="000000"/>
          <w:lang w:val="uk-UA"/>
        </w:rPr>
        <w:t>«Морська пошуково-рятувальна служба»</w:t>
      </w:r>
    </w:p>
    <w:p w:rsidR="00CE7D02" w:rsidRPr="0038726B" w:rsidRDefault="00CE7D02" w:rsidP="00E51107">
      <w:pPr>
        <w:jc w:val="both"/>
        <w:rPr>
          <w:color w:val="000000"/>
          <w:lang w:val="uk-UA"/>
        </w:rPr>
      </w:pPr>
    </w:p>
    <w:p w:rsidR="00A2377E" w:rsidRPr="0038726B" w:rsidRDefault="00A2377E" w:rsidP="00A2377E">
      <w:pPr>
        <w:spacing w:line="240" w:lineRule="atLeast"/>
        <w:ind w:firstLine="709"/>
        <w:jc w:val="both"/>
        <w:rPr>
          <w:lang w:val="uk-UA"/>
        </w:rPr>
      </w:pPr>
      <w:bookmarkStart w:id="1" w:name="_Hlk880070"/>
      <w:r w:rsidRPr="0038726B">
        <w:rPr>
          <w:lang w:val="uk-UA"/>
        </w:rPr>
        <w:t xml:space="preserve">Відповідно до Постанови КМУ № 158 від 24.02.2016 року «Про відновлення єдиної системи пошуку та рятування на морі» КП «МПРС» виконує публічно-правові функцій держави щодо здійснення операцій з пошуку і рятування людського життя у відкритому морі у відповідності з міжнародними договорами, стороною яких є Україна. Фінансування заходів здійснює ДП «АМПУ» відповідно до вищезгаданої Постанови Кабінету Міністрів та Наказу Міністерства інфраструктури України № 119 від 25.03.2016 року «Про виконання заходів щодо відновлення єдиної системи пошуку та рятування на морі». </w:t>
      </w:r>
    </w:p>
    <w:p w:rsidR="00A2377E" w:rsidRPr="0038726B" w:rsidRDefault="00A2377E" w:rsidP="00A2377E">
      <w:pPr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t>З 2 кварталу 2017 року КП «МПРС» здійснює облік коштів цільового фінансування, відповідно до змін до облікової політики, введених в дію наказом КП «МПРС» № 41</w:t>
      </w:r>
      <w:r w:rsidR="00E07B8C" w:rsidRPr="00E07B8C">
        <w:rPr>
          <w:lang w:val="uk-UA"/>
        </w:rPr>
        <w:t>-</w:t>
      </w:r>
      <w:r w:rsidRPr="0038726B">
        <w:rPr>
          <w:lang w:val="uk-UA"/>
        </w:rPr>
        <w:t>Н від 13.03.2017 року «Про затвердження облікової політики КП МПРС у новій редакції» та погоджених Міністерством інфраструктури України 21.04.2017 року.</w:t>
      </w:r>
    </w:p>
    <w:p w:rsidR="0055062F" w:rsidRPr="0038726B" w:rsidRDefault="00A2377E" w:rsidP="0038726B">
      <w:pPr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t xml:space="preserve">Діяльність підприємства також складається із власної діяльності відповідно до п.2 Постанови Кабінету Міністрів України від 14.05.2008 р. N 459 «Деякі питання дальньої ідентифікації  та контролю місцезнаходження суден» (далі – Постанова № 459), де КП «МПРС» призначено відповідальним за організаційно-технічне супроводження, взаємодію з міжнародними центрами  системи  ідентифікації  з технічних питань та за обробку даних  і забезпечення взаємодії, в тому числі міжнародної, під час обміну інформацією за результатами роботи системи ідентифікації. Національний центр дальньої ідентифікації та контролю місцезнаходження суден (далі – НЦД ДІКМС) КП «МПРС», надає послуги розрахункового центру та обслуговування аварійного супутникового </w:t>
      </w:r>
      <w:r w:rsidR="00E53044">
        <w:rPr>
          <w:lang w:val="uk-UA"/>
        </w:rPr>
        <w:t>обладнання.</w:t>
      </w:r>
    </w:p>
    <w:bookmarkEnd w:id="1"/>
    <w:p w:rsidR="00BB7D09" w:rsidRPr="0038726B" w:rsidRDefault="00BB7D09" w:rsidP="00A2377E">
      <w:pPr>
        <w:spacing w:line="240" w:lineRule="atLeast"/>
        <w:ind w:firstLine="709"/>
        <w:jc w:val="both"/>
        <w:rPr>
          <w:lang w:val="uk-UA"/>
        </w:rPr>
      </w:pPr>
    </w:p>
    <w:p w:rsidR="00A2377E" w:rsidRPr="000B1657" w:rsidRDefault="00A2377E" w:rsidP="00A2377E">
      <w:pPr>
        <w:spacing w:line="240" w:lineRule="atLeast"/>
        <w:ind w:firstLine="709"/>
        <w:jc w:val="both"/>
        <w:rPr>
          <w:lang w:val="uk-UA"/>
        </w:rPr>
      </w:pPr>
      <w:r w:rsidRPr="000B1657">
        <w:rPr>
          <w:lang w:val="uk-UA"/>
        </w:rPr>
        <w:t>Фінансовий результат діяльності казенного підприємства за 201</w:t>
      </w:r>
      <w:r w:rsidR="001C18AE">
        <w:rPr>
          <w:lang w:val="uk-UA"/>
        </w:rPr>
        <w:t>8</w:t>
      </w:r>
      <w:r w:rsidRPr="000B1657">
        <w:rPr>
          <w:lang w:val="uk-UA"/>
        </w:rPr>
        <w:t xml:space="preserve"> р</w:t>
      </w:r>
      <w:r w:rsidR="00C533E2">
        <w:rPr>
          <w:lang w:val="uk-UA"/>
        </w:rPr>
        <w:t>і</w:t>
      </w:r>
      <w:r w:rsidRPr="000B1657">
        <w:rPr>
          <w:lang w:val="uk-UA"/>
        </w:rPr>
        <w:t>к по видам діяльності наданий у таблиці</w:t>
      </w:r>
      <w:r w:rsidR="00AD3C16" w:rsidRPr="000B1657">
        <w:rPr>
          <w:lang w:val="uk-UA"/>
        </w:rPr>
        <w:t xml:space="preserve"> 1</w:t>
      </w:r>
      <w:r w:rsidRPr="000B1657">
        <w:rPr>
          <w:lang w:val="uk-UA"/>
        </w:rPr>
        <w:t xml:space="preserve">. </w:t>
      </w:r>
    </w:p>
    <w:p w:rsidR="00A2377E" w:rsidRPr="000B1657" w:rsidRDefault="00A2377E" w:rsidP="00A2377E">
      <w:pPr>
        <w:spacing w:line="240" w:lineRule="atLeast"/>
        <w:ind w:left="5663" w:firstLine="709"/>
        <w:jc w:val="center"/>
        <w:rPr>
          <w:lang w:val="uk-UA"/>
        </w:rPr>
      </w:pPr>
      <w:r w:rsidRPr="000B1657">
        <w:rPr>
          <w:lang w:val="uk-UA"/>
        </w:rPr>
        <w:t xml:space="preserve">Таблиця </w:t>
      </w:r>
      <w:r w:rsidR="00AD3C16" w:rsidRPr="000B1657">
        <w:rPr>
          <w:lang w:val="uk-UA"/>
        </w:rPr>
        <w:t>1</w:t>
      </w:r>
      <w:r w:rsidRPr="000B1657">
        <w:rPr>
          <w:lang w:val="uk-UA"/>
        </w:rPr>
        <w:t xml:space="preserve"> (тис. грн.)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438"/>
        <w:gridCol w:w="1070"/>
        <w:gridCol w:w="2236"/>
        <w:gridCol w:w="2081"/>
      </w:tblGrid>
      <w:tr w:rsidR="00C332E8" w:rsidRPr="000B1657" w:rsidTr="005853CC">
        <w:trPr>
          <w:trHeight w:val="1736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2E8" w:rsidRPr="000B1657" w:rsidRDefault="00C332E8" w:rsidP="005853CC">
            <w:pPr>
              <w:jc w:val="center"/>
              <w:rPr>
                <w:color w:val="000000"/>
                <w:lang w:val="uk-UA"/>
              </w:rPr>
            </w:pPr>
            <w:r w:rsidRPr="000B1657">
              <w:rPr>
                <w:color w:val="000000"/>
                <w:lang w:val="uk-UA"/>
              </w:rPr>
              <w:t>Найменування показника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2E8" w:rsidRPr="000B1657" w:rsidRDefault="00C332E8" w:rsidP="005853CC">
            <w:pPr>
              <w:jc w:val="center"/>
              <w:rPr>
                <w:color w:val="000000"/>
                <w:lang w:val="uk-UA"/>
              </w:rPr>
            </w:pPr>
            <w:r w:rsidRPr="000B1657">
              <w:rPr>
                <w:color w:val="000000"/>
                <w:lang w:val="uk-UA"/>
              </w:rPr>
              <w:t>код рядка ФП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2E8" w:rsidRPr="000B1657" w:rsidRDefault="00C332E8" w:rsidP="005853CC">
            <w:pPr>
              <w:jc w:val="center"/>
              <w:rPr>
                <w:color w:val="000000"/>
                <w:lang w:val="uk-UA"/>
              </w:rPr>
            </w:pPr>
            <w:r w:rsidRPr="000B1657">
              <w:rPr>
                <w:iCs/>
                <w:color w:val="000000"/>
                <w:spacing w:val="1"/>
                <w:lang w:val="uk-UA"/>
              </w:rPr>
              <w:t>Діяльність з пошуку та рятування (облік коштів цільового фінансування)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2E8" w:rsidRPr="000B1657" w:rsidRDefault="00C332E8" w:rsidP="005853CC">
            <w:pPr>
              <w:jc w:val="center"/>
              <w:rPr>
                <w:color w:val="000000"/>
              </w:rPr>
            </w:pPr>
            <w:r w:rsidRPr="000B1657">
              <w:rPr>
                <w:lang w:val="uk-UA"/>
              </w:rPr>
              <w:t>Діяльність розрахункового центру та від обслуговування аварійного супутникового обладнання (оподаткована діяльність)</w:t>
            </w:r>
          </w:p>
        </w:tc>
      </w:tr>
      <w:tr w:rsidR="00642F32" w:rsidRPr="000B1657" w:rsidTr="00642F32">
        <w:trPr>
          <w:trHeight w:val="31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32" w:rsidRPr="000B1657" w:rsidRDefault="00642F32" w:rsidP="00642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32" w:rsidRPr="00642F32" w:rsidRDefault="00642F32" w:rsidP="00642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32" w:rsidRPr="000B1657" w:rsidRDefault="00642F32" w:rsidP="00642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F32" w:rsidRDefault="00642F32" w:rsidP="00642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332E8" w:rsidRPr="000B1657" w:rsidTr="005853CC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E01B86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</w:t>
            </w:r>
          </w:p>
        </w:tc>
      </w:tr>
      <w:tr w:rsidR="00C332E8" w:rsidRPr="000B1657" w:rsidTr="005853CC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t>(</w:t>
            </w:r>
            <w:r w:rsidR="00CC6CEC">
              <w:rPr>
                <w:lang w:val="uk-UA"/>
              </w:rPr>
              <w:t>11</w:t>
            </w:r>
            <w:r w:rsidR="00096221">
              <w:rPr>
                <w:lang w:val="uk-UA"/>
              </w:rPr>
              <w:t>9</w:t>
            </w:r>
            <w:r w:rsidR="00C63817">
              <w:rPr>
                <w:lang w:val="uk-UA"/>
              </w:rPr>
              <w:t xml:space="preserve"> </w:t>
            </w:r>
            <w:r w:rsidR="00CC6CEC">
              <w:rPr>
                <w:lang w:val="uk-UA"/>
              </w:rPr>
              <w:t>25</w:t>
            </w:r>
            <w:r w:rsidR="001E2EFC">
              <w:rPr>
                <w:lang w:val="uk-UA"/>
              </w:rPr>
              <w:t>3</w:t>
            </w:r>
            <w:r w:rsidRPr="000B1657">
              <w:rPr>
                <w:lang w:val="uk-UA"/>
              </w:rPr>
              <w:t>)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(</w:t>
            </w:r>
            <w:r w:rsidR="00CC6CEC">
              <w:rPr>
                <w:lang w:val="uk-UA"/>
              </w:rPr>
              <w:t>46</w:t>
            </w:r>
            <w:r w:rsidRPr="000B1657">
              <w:t>)</w:t>
            </w:r>
          </w:p>
        </w:tc>
      </w:tr>
      <w:tr w:rsidR="00C332E8" w:rsidRPr="000B1657" w:rsidTr="00986932">
        <w:trPr>
          <w:trHeight w:val="315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b/>
                <w:bCs/>
                <w:lang w:val="uk-UA"/>
              </w:rPr>
            </w:pPr>
            <w:r w:rsidRPr="000B1657">
              <w:rPr>
                <w:b/>
                <w:bCs/>
                <w:lang w:val="uk-UA"/>
              </w:rPr>
              <w:t>Валовий прибуток (збиток)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b/>
                <w:bCs/>
              </w:rPr>
            </w:pPr>
            <w:r w:rsidRPr="000B1657">
              <w:rPr>
                <w:b/>
                <w:bCs/>
              </w:rPr>
              <w:t>1020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b/>
                <w:bCs/>
                <w:lang w:val="uk-UA"/>
              </w:rPr>
            </w:pPr>
            <w:r w:rsidRPr="000B1657">
              <w:rPr>
                <w:b/>
                <w:bCs/>
                <w:lang w:val="uk-UA"/>
              </w:rPr>
              <w:t>(</w:t>
            </w:r>
            <w:r w:rsidR="009A6816">
              <w:rPr>
                <w:b/>
                <w:bCs/>
                <w:lang w:val="uk-UA"/>
              </w:rPr>
              <w:t>11</w:t>
            </w:r>
            <w:r w:rsidR="00096221">
              <w:rPr>
                <w:b/>
                <w:bCs/>
                <w:lang w:val="uk-UA"/>
              </w:rPr>
              <w:t>9</w:t>
            </w:r>
            <w:r w:rsidR="00C63817">
              <w:rPr>
                <w:b/>
                <w:bCs/>
                <w:lang w:val="uk-UA"/>
              </w:rPr>
              <w:t xml:space="preserve"> </w:t>
            </w:r>
            <w:r w:rsidR="009A6816">
              <w:rPr>
                <w:b/>
                <w:bCs/>
                <w:lang w:val="uk-UA"/>
              </w:rPr>
              <w:t>253</w:t>
            </w:r>
            <w:r w:rsidRPr="000B1657">
              <w:rPr>
                <w:b/>
                <w:bCs/>
                <w:lang w:val="uk-UA"/>
              </w:rPr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1203" w:rsidP="005853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594</w:t>
            </w:r>
          </w:p>
        </w:tc>
      </w:tr>
      <w:tr w:rsidR="00C332E8" w:rsidRPr="000B1657" w:rsidTr="005853C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Адміністративні витрати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en-US"/>
              </w:rPr>
            </w:pPr>
            <w:r w:rsidRPr="000B1657">
              <w:t>(</w:t>
            </w:r>
            <w:r w:rsidR="005F5DB5">
              <w:rPr>
                <w:lang w:val="uk-UA"/>
              </w:rPr>
              <w:t>4</w:t>
            </w:r>
            <w:r w:rsidR="00E21C73">
              <w:t>0 4</w:t>
            </w:r>
            <w:r w:rsidR="005F5DB5">
              <w:rPr>
                <w:lang w:val="uk-UA"/>
              </w:rPr>
              <w:t>24</w:t>
            </w:r>
            <w:r w:rsidRPr="000B1657">
              <w:t>)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1C18AE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32E8" w:rsidRPr="000B1657" w:rsidTr="0038726B">
        <w:trPr>
          <w:trHeight w:val="315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Інші операційні доходи, усього, у тому числі: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1070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2E8" w:rsidRPr="000B1657" w:rsidRDefault="009A6816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  <w:r w:rsidR="006D5D61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606844">
              <w:rPr>
                <w:lang w:val="uk-UA"/>
              </w:rPr>
              <w:t>7</w:t>
            </w:r>
            <w:r>
              <w:rPr>
                <w:lang w:val="uk-UA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9A6816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9 2</w:t>
            </w:r>
            <w:r w:rsidR="00746B7D">
              <w:rPr>
                <w:lang w:val="uk-UA"/>
              </w:rPr>
              <w:t>4</w:t>
            </w:r>
            <w:r w:rsidR="001E2EFC">
              <w:rPr>
                <w:lang w:val="uk-UA"/>
              </w:rPr>
              <w:t>6</w:t>
            </w:r>
          </w:p>
        </w:tc>
      </w:tr>
      <w:tr w:rsidR="00C332E8" w:rsidRPr="000B1657" w:rsidTr="00C54BB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 xml:space="preserve"> -курсові різниці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1071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9A6816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D97EB1">
              <w:rPr>
                <w:lang w:val="uk-UA"/>
              </w:rPr>
              <w:t>4</w:t>
            </w:r>
          </w:p>
        </w:tc>
      </w:tr>
      <w:tr w:rsidR="00C332E8" w:rsidRPr="000B1657" w:rsidTr="00453557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 xml:space="preserve"> - доходи від безоплатно одержаних оборотних активів, у тому числі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t>1073/</w:t>
            </w:r>
            <w:r w:rsidRPr="000B1657">
              <w:rPr>
                <w:lang w:val="uk-UA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332E8" w:rsidRPr="000B1657" w:rsidRDefault="009A6816" w:rsidP="009A68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158 1</w:t>
            </w:r>
            <w:r w:rsidR="001E2EFC">
              <w:rPr>
                <w:lang w:val="uk-UA"/>
              </w:rPr>
              <w:t>25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</w:tr>
      <w:tr w:rsidR="002F7A20" w:rsidRPr="000B1657" w:rsidTr="002F7A20">
        <w:trPr>
          <w:trHeight w:val="274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A20" w:rsidRPr="000B1657" w:rsidRDefault="002F7A20" w:rsidP="002F7A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A20" w:rsidRPr="00642F32" w:rsidRDefault="002F7A20" w:rsidP="002F7A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7A20" w:rsidRPr="000B1657" w:rsidRDefault="002F7A20" w:rsidP="002F7A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20" w:rsidRDefault="002F7A20" w:rsidP="002F7A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F7A20" w:rsidRPr="000B1657" w:rsidTr="00C54BBC">
        <w:trPr>
          <w:trHeight w:val="822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A20" w:rsidRPr="000B1657" w:rsidRDefault="002F7A20" w:rsidP="002F7A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Lines="40" w:before="96" w:afterLines="40" w:after="96" w:line="240" w:lineRule="atLeast"/>
              <w:jc w:val="both"/>
              <w:rPr>
                <w:color w:val="000000"/>
                <w:lang w:val="uk-UA"/>
              </w:rPr>
            </w:pPr>
            <w:r w:rsidRPr="000B1657">
              <w:rPr>
                <w:iCs/>
                <w:color w:val="000000"/>
                <w:spacing w:val="1"/>
                <w:lang w:val="uk-UA"/>
              </w:rPr>
              <w:t>кошті цільового фінансування на функціонування діяльності підприємства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A20" w:rsidRPr="000B1657" w:rsidRDefault="002F7A20" w:rsidP="002F7A20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1073/3/1</w:t>
            </w:r>
          </w:p>
          <w:p w:rsidR="002F7A20" w:rsidRPr="000B1657" w:rsidRDefault="002F7A20" w:rsidP="002F7A20">
            <w:p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7A20" w:rsidRPr="000B1657" w:rsidRDefault="002F7A20" w:rsidP="002F7A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158 1</w:t>
            </w:r>
            <w:r w:rsidR="001E2EFC">
              <w:rPr>
                <w:lang w:val="uk-UA"/>
              </w:rPr>
              <w:t>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20" w:rsidRPr="000B1657" w:rsidRDefault="002F7A20" w:rsidP="002F7A20">
            <w:pPr>
              <w:jc w:val="center"/>
              <w:rPr>
                <w:lang w:val="uk-UA"/>
              </w:rPr>
            </w:pPr>
          </w:p>
        </w:tc>
      </w:tr>
      <w:tr w:rsidR="002F7A20" w:rsidRPr="000B1657" w:rsidTr="00171699">
        <w:trPr>
          <w:trHeight w:val="235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A20" w:rsidRPr="000B1657" w:rsidRDefault="002F7A20" w:rsidP="002F7A20">
            <w:pPr>
              <w:rPr>
                <w:lang w:val="uk-UA"/>
              </w:rPr>
            </w:pPr>
            <w:r w:rsidRPr="000B1657">
              <w:rPr>
                <w:lang w:val="uk-UA"/>
              </w:rPr>
              <w:t xml:space="preserve"> - проценти банку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A20" w:rsidRPr="000B1657" w:rsidRDefault="002F7A20" w:rsidP="002F7A20">
            <w:pPr>
              <w:jc w:val="center"/>
            </w:pPr>
            <w:r w:rsidRPr="000B1657">
              <w:t>1073/2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7A20" w:rsidRPr="000B1657" w:rsidRDefault="002F7A20" w:rsidP="002F7A20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20" w:rsidRPr="000B1657" w:rsidRDefault="002F7A20" w:rsidP="002F7A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8 740</w:t>
            </w:r>
          </w:p>
        </w:tc>
      </w:tr>
      <w:tr w:rsidR="002F7A20" w:rsidRPr="000B1657" w:rsidTr="00C54BBC">
        <w:trPr>
          <w:trHeight w:val="35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A20" w:rsidRPr="000B1657" w:rsidRDefault="002F7A20" w:rsidP="002F7A20">
            <w:pPr>
              <w:rPr>
                <w:lang w:val="uk-UA"/>
              </w:rPr>
            </w:pPr>
            <w:r w:rsidRPr="000B1657">
              <w:rPr>
                <w:lang w:val="uk-UA"/>
              </w:rPr>
              <w:t>.- інші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A20" w:rsidRPr="000B1657" w:rsidRDefault="002F7A20" w:rsidP="002F7A20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7A20" w:rsidRPr="000B1657" w:rsidRDefault="001E2EFC" w:rsidP="002F7A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20" w:rsidRPr="000B1657" w:rsidRDefault="008F75EF" w:rsidP="002F7A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7C3F0E">
              <w:rPr>
                <w:lang w:val="uk-UA"/>
              </w:rPr>
              <w:t>2</w:t>
            </w:r>
          </w:p>
        </w:tc>
      </w:tr>
      <w:tr w:rsidR="002F7A20" w:rsidRPr="000B1657" w:rsidTr="00C54BBC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20" w:rsidRPr="000B1657" w:rsidRDefault="002F7A20" w:rsidP="002F7A20">
            <w:pPr>
              <w:rPr>
                <w:lang w:val="uk-UA"/>
              </w:rPr>
            </w:pPr>
            <w:r w:rsidRPr="000B1657">
              <w:rPr>
                <w:lang w:val="uk-UA"/>
              </w:rPr>
              <w:t>Інші операційні витрати, усього, у тому числі: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20" w:rsidRPr="000B1657" w:rsidRDefault="002F7A20" w:rsidP="002F7A20">
            <w:pPr>
              <w:jc w:val="center"/>
            </w:pPr>
            <w:r w:rsidRPr="000B1657">
              <w:t>1080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A20" w:rsidRPr="000B1657" w:rsidRDefault="002F7A20" w:rsidP="002F7A20">
            <w:pPr>
              <w:jc w:val="center"/>
            </w:pPr>
            <w:r w:rsidRPr="000B1657">
              <w:t>(</w:t>
            </w:r>
            <w:r>
              <w:rPr>
                <w:lang w:val="uk-UA"/>
              </w:rPr>
              <w:t>13 6</w:t>
            </w:r>
            <w:r w:rsidR="0053258D">
              <w:rPr>
                <w:lang w:val="uk-UA"/>
              </w:rPr>
              <w:t>28</w:t>
            </w:r>
            <w:r w:rsidRPr="000B1657">
              <w:t>)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20" w:rsidRPr="000B1657" w:rsidRDefault="002F7A20" w:rsidP="002F7A20">
            <w:pPr>
              <w:jc w:val="center"/>
            </w:pPr>
            <w:r w:rsidRPr="000B1657">
              <w:t>(</w:t>
            </w:r>
            <w:r>
              <w:rPr>
                <w:lang w:val="uk-UA"/>
              </w:rPr>
              <w:t>82</w:t>
            </w:r>
            <w:r w:rsidR="007C3F0E">
              <w:rPr>
                <w:lang w:val="uk-UA"/>
              </w:rPr>
              <w:t>5</w:t>
            </w:r>
            <w:r w:rsidRPr="000B1657">
              <w:t>)</w:t>
            </w:r>
          </w:p>
        </w:tc>
      </w:tr>
      <w:tr w:rsidR="002F7A20" w:rsidRPr="000B1657" w:rsidTr="00C54BB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20" w:rsidRPr="000B1657" w:rsidRDefault="002F7A20" w:rsidP="002F7A20">
            <w:pPr>
              <w:rPr>
                <w:lang w:val="uk-UA"/>
              </w:rPr>
            </w:pPr>
            <w:r w:rsidRPr="000B1657">
              <w:rPr>
                <w:lang w:val="uk-UA"/>
              </w:rPr>
              <w:t xml:space="preserve"> -курсові різниці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20" w:rsidRPr="000B1657" w:rsidRDefault="002F7A20" w:rsidP="002F7A20">
            <w:pPr>
              <w:jc w:val="center"/>
            </w:pPr>
            <w:r w:rsidRPr="000B1657">
              <w:t>1081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A20" w:rsidRPr="000B1657" w:rsidRDefault="002F7A20" w:rsidP="002F7A20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20" w:rsidRPr="000B1657" w:rsidRDefault="002F7A20" w:rsidP="002F7A20">
            <w:pPr>
              <w:jc w:val="center"/>
            </w:pPr>
            <w:r w:rsidRPr="000B1657">
              <w:t>(</w:t>
            </w:r>
            <w:r>
              <w:rPr>
                <w:lang w:val="uk-UA"/>
              </w:rPr>
              <w:t>25</w:t>
            </w:r>
            <w:r w:rsidR="007C3F0E">
              <w:rPr>
                <w:lang w:val="uk-UA"/>
              </w:rPr>
              <w:t>2</w:t>
            </w:r>
            <w:r w:rsidRPr="000B1657">
              <w:t>)</w:t>
            </w:r>
          </w:p>
        </w:tc>
      </w:tr>
      <w:tr w:rsidR="002F7A20" w:rsidRPr="000B1657" w:rsidTr="00C54BBC">
        <w:trPr>
          <w:trHeight w:val="302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20" w:rsidRPr="000B1657" w:rsidRDefault="002F7A20" w:rsidP="002F7A20">
            <w:pPr>
              <w:rPr>
                <w:lang w:val="uk-UA"/>
              </w:rPr>
            </w:pPr>
            <w:r w:rsidRPr="000B1657">
              <w:rPr>
                <w:lang w:val="uk-UA"/>
              </w:rPr>
              <w:t xml:space="preserve"> -інші операційні витрати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20" w:rsidRPr="000B1657" w:rsidRDefault="002F7A20" w:rsidP="002F7A20">
            <w:pPr>
              <w:jc w:val="center"/>
            </w:pPr>
            <w:r w:rsidRPr="000B1657">
              <w:t>1086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7A20" w:rsidRPr="000B1657" w:rsidRDefault="002F7A20" w:rsidP="002F7A20">
            <w:pPr>
              <w:jc w:val="center"/>
            </w:pPr>
            <w:r w:rsidRPr="000B1657">
              <w:rPr>
                <w:lang w:val="uk-UA"/>
              </w:rPr>
              <w:t>(</w:t>
            </w:r>
            <w:r>
              <w:rPr>
                <w:lang w:val="uk-UA"/>
              </w:rPr>
              <w:t>13 6</w:t>
            </w:r>
            <w:r w:rsidR="0053258D">
              <w:rPr>
                <w:lang w:val="uk-UA"/>
              </w:rPr>
              <w:t>28</w:t>
            </w:r>
            <w:r w:rsidRPr="000B1657">
              <w:t>)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20" w:rsidRPr="000B1657" w:rsidRDefault="002F7A20" w:rsidP="002F7A20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(</w:t>
            </w:r>
            <w:r>
              <w:rPr>
                <w:lang w:val="uk-UA"/>
              </w:rPr>
              <w:t>5</w:t>
            </w:r>
            <w:r w:rsidR="007C3F0E">
              <w:rPr>
                <w:lang w:val="uk-UA"/>
              </w:rPr>
              <w:t>73</w:t>
            </w:r>
            <w:r w:rsidRPr="000B1657">
              <w:rPr>
                <w:lang w:val="uk-UA"/>
              </w:rPr>
              <w:t>)</w:t>
            </w:r>
          </w:p>
        </w:tc>
      </w:tr>
      <w:tr w:rsidR="002F7A20" w:rsidRPr="000B1657" w:rsidTr="00C54BBC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20" w:rsidRPr="000B1657" w:rsidRDefault="002F7A20" w:rsidP="002F7A20">
            <w:pPr>
              <w:rPr>
                <w:b/>
                <w:bCs/>
                <w:lang w:val="uk-UA"/>
              </w:rPr>
            </w:pPr>
            <w:r w:rsidRPr="000B1657">
              <w:rPr>
                <w:b/>
                <w:bCs/>
                <w:lang w:val="uk-UA"/>
              </w:rPr>
              <w:t>Фінансовий результат від операційної діяльності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20" w:rsidRPr="000B1657" w:rsidRDefault="002F7A20" w:rsidP="002F7A20">
            <w:pPr>
              <w:jc w:val="center"/>
              <w:rPr>
                <w:b/>
                <w:bCs/>
              </w:rPr>
            </w:pPr>
            <w:r w:rsidRPr="000B1657">
              <w:rPr>
                <w:b/>
                <w:bCs/>
              </w:rPr>
              <w:t>1100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20" w:rsidRPr="000B1657" w:rsidRDefault="002F7A20" w:rsidP="002F7A20">
            <w:pPr>
              <w:jc w:val="center"/>
              <w:rPr>
                <w:b/>
                <w:bCs/>
                <w:lang w:val="uk-UA"/>
              </w:rPr>
            </w:pPr>
            <w:r w:rsidRPr="000B1657">
              <w:rPr>
                <w:b/>
                <w:bCs/>
                <w:lang w:val="uk-UA"/>
              </w:rPr>
              <w:t>(</w:t>
            </w:r>
            <w:r w:rsidR="00907C85"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  <w:lang w:val="uk-UA"/>
              </w:rPr>
              <w:t xml:space="preserve"> </w:t>
            </w:r>
            <w:r w:rsidR="00907C85">
              <w:rPr>
                <w:b/>
                <w:bCs/>
                <w:lang w:val="uk-UA"/>
              </w:rPr>
              <w:t>1</w:t>
            </w:r>
            <w:r w:rsidR="00EA2124">
              <w:rPr>
                <w:b/>
                <w:bCs/>
                <w:lang w:val="uk-UA"/>
              </w:rPr>
              <w:t>2</w:t>
            </w:r>
            <w:r w:rsidR="002306B4">
              <w:rPr>
                <w:b/>
                <w:bCs/>
                <w:lang w:val="uk-UA"/>
              </w:rPr>
              <w:t>7</w:t>
            </w:r>
            <w:r w:rsidRPr="000B1657">
              <w:rPr>
                <w:b/>
                <w:bCs/>
                <w:lang w:val="uk-UA"/>
              </w:rPr>
              <w:t>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20" w:rsidRPr="000B1657" w:rsidRDefault="00907C85" w:rsidP="002F7A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9 0</w:t>
            </w:r>
            <w:r w:rsidR="00040493">
              <w:rPr>
                <w:b/>
                <w:bCs/>
                <w:lang w:val="uk-UA"/>
              </w:rPr>
              <w:t>1</w:t>
            </w:r>
            <w:r w:rsidR="007C3F0E">
              <w:rPr>
                <w:b/>
                <w:bCs/>
                <w:lang w:val="uk-UA"/>
              </w:rPr>
              <w:t>5</w:t>
            </w:r>
          </w:p>
        </w:tc>
      </w:tr>
      <w:tr w:rsidR="002F7A20" w:rsidRPr="000B1657" w:rsidTr="00C54BBC">
        <w:trPr>
          <w:trHeight w:val="315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20" w:rsidRPr="000B1657" w:rsidRDefault="002F7A20" w:rsidP="002F7A20">
            <w:pPr>
              <w:rPr>
                <w:lang w:val="uk-UA"/>
              </w:rPr>
            </w:pPr>
            <w:r w:rsidRPr="000B1657">
              <w:rPr>
                <w:lang w:val="uk-UA"/>
              </w:rPr>
              <w:t>Інші доходи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20" w:rsidRPr="000B1657" w:rsidRDefault="002F7A20" w:rsidP="002F7A20">
            <w:pPr>
              <w:jc w:val="center"/>
            </w:pPr>
            <w:r w:rsidRPr="000B1657">
              <w:t>1150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20" w:rsidRPr="000B1657" w:rsidRDefault="002F7A20" w:rsidP="002F7A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15 12</w:t>
            </w:r>
            <w:r w:rsidR="002306B4">
              <w:rPr>
                <w:lang w:val="uk-UA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7A20" w:rsidRPr="000B1657" w:rsidRDefault="002306B4" w:rsidP="002F7A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F7A20" w:rsidRPr="000B1657" w:rsidTr="005853CC">
        <w:trPr>
          <w:trHeight w:val="315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20" w:rsidRPr="000B1657" w:rsidRDefault="002F7A20" w:rsidP="002F7A20">
            <w:pPr>
              <w:rPr>
                <w:lang w:val="uk-UA"/>
              </w:rPr>
            </w:pPr>
            <w:r w:rsidRPr="000B1657">
              <w:rPr>
                <w:lang w:val="uk-UA"/>
              </w:rPr>
              <w:t>Інші витрати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20" w:rsidRPr="000B1657" w:rsidRDefault="002F7A20" w:rsidP="002F7A20">
            <w:pPr>
              <w:jc w:val="center"/>
            </w:pPr>
            <w:r w:rsidRPr="000B1657">
              <w:t>1160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A20" w:rsidRPr="000B1657" w:rsidRDefault="002F7A20" w:rsidP="002F7A20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</w:tr>
      <w:tr w:rsidR="002F7A20" w:rsidRPr="000B1657" w:rsidTr="005853C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20" w:rsidRPr="000B1657" w:rsidRDefault="002F7A20" w:rsidP="002F7A20">
            <w:pPr>
              <w:rPr>
                <w:b/>
                <w:bCs/>
                <w:lang w:val="uk-UA"/>
              </w:rPr>
            </w:pPr>
            <w:r w:rsidRPr="000B1657">
              <w:rPr>
                <w:b/>
                <w:bCs/>
                <w:lang w:val="uk-UA"/>
              </w:rPr>
              <w:t>Фінансовий результат до оподаткування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20" w:rsidRPr="000B1657" w:rsidRDefault="002F7A20" w:rsidP="002F7A20">
            <w:pPr>
              <w:jc w:val="center"/>
              <w:rPr>
                <w:b/>
                <w:bCs/>
              </w:rPr>
            </w:pPr>
            <w:r w:rsidRPr="000B1657">
              <w:rPr>
                <w:b/>
                <w:bCs/>
              </w:rPr>
              <w:t>1170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A20" w:rsidRPr="000B1657" w:rsidRDefault="00907C85" w:rsidP="002F7A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9 017</w:t>
            </w:r>
          </w:p>
        </w:tc>
      </w:tr>
      <w:tr w:rsidR="002F7A20" w:rsidRPr="000B1657" w:rsidTr="005853C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20" w:rsidRPr="000B1657" w:rsidRDefault="002F7A20" w:rsidP="002F7A20">
            <w:pPr>
              <w:rPr>
                <w:lang w:val="uk-UA"/>
              </w:rPr>
            </w:pPr>
            <w:r w:rsidRPr="000B1657">
              <w:rPr>
                <w:lang w:val="uk-UA"/>
              </w:rPr>
              <w:t>Витрати з податку на прибуток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20" w:rsidRPr="000B1657" w:rsidRDefault="002F7A20" w:rsidP="002F7A20">
            <w:pPr>
              <w:jc w:val="center"/>
            </w:pPr>
            <w:r w:rsidRPr="000B1657">
              <w:t>1180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A20" w:rsidRPr="000B1657" w:rsidRDefault="002F7A20" w:rsidP="002F7A20">
            <w:pPr>
              <w:jc w:val="center"/>
            </w:pPr>
            <w:r w:rsidRPr="00907C85">
              <w:rPr>
                <w:lang w:val="uk-UA"/>
              </w:rPr>
              <w:t>(</w:t>
            </w:r>
            <w:r w:rsidR="00907C85">
              <w:rPr>
                <w:lang w:val="uk-UA"/>
              </w:rPr>
              <w:t>2 535</w:t>
            </w:r>
            <w:r w:rsidRPr="000B1657">
              <w:t>)</w:t>
            </w:r>
          </w:p>
        </w:tc>
      </w:tr>
      <w:tr w:rsidR="002F7A20" w:rsidRPr="000B1657" w:rsidTr="00C00E58">
        <w:trPr>
          <w:trHeight w:val="63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20" w:rsidRPr="000B1657" w:rsidRDefault="002F7A20" w:rsidP="002F7A20">
            <w:pPr>
              <w:rPr>
                <w:b/>
                <w:bCs/>
                <w:lang w:val="uk-UA"/>
              </w:rPr>
            </w:pPr>
            <w:r w:rsidRPr="000B1657">
              <w:rPr>
                <w:b/>
                <w:bCs/>
                <w:lang w:val="uk-UA"/>
              </w:rPr>
              <w:t>Чистий фінансовий результат, у тому числі: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20" w:rsidRPr="000B1657" w:rsidRDefault="002F7A20" w:rsidP="002F7A20">
            <w:pPr>
              <w:jc w:val="center"/>
              <w:rPr>
                <w:b/>
                <w:bCs/>
              </w:rPr>
            </w:pPr>
            <w:r w:rsidRPr="000B1657">
              <w:rPr>
                <w:b/>
                <w:bCs/>
              </w:rPr>
              <w:t>1200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A20" w:rsidRPr="00D827C2" w:rsidRDefault="002F7A20" w:rsidP="002F7A2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7A20" w:rsidRPr="00644171" w:rsidTr="005853C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20" w:rsidRPr="000B1657" w:rsidRDefault="002F7A20" w:rsidP="002F7A20">
            <w:pPr>
              <w:rPr>
                <w:lang w:val="uk-UA"/>
              </w:rPr>
            </w:pPr>
            <w:r w:rsidRPr="000B1657">
              <w:rPr>
                <w:lang w:val="uk-UA"/>
              </w:rPr>
              <w:t>прибуток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20" w:rsidRPr="000B1657" w:rsidRDefault="002F7A20" w:rsidP="002F7A20">
            <w:pPr>
              <w:jc w:val="center"/>
            </w:pPr>
            <w:r w:rsidRPr="000B1657">
              <w:t>1201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A20" w:rsidRPr="00644171" w:rsidRDefault="00907C85" w:rsidP="002F7A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6 482</w:t>
            </w:r>
          </w:p>
        </w:tc>
      </w:tr>
      <w:tr w:rsidR="002F7A20" w:rsidRPr="0038726B" w:rsidTr="005853C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20" w:rsidRPr="00644171" w:rsidRDefault="002F7A20" w:rsidP="002F7A20">
            <w:pPr>
              <w:rPr>
                <w:lang w:val="uk-UA"/>
              </w:rPr>
            </w:pPr>
            <w:r w:rsidRPr="00644171">
              <w:rPr>
                <w:lang w:val="uk-UA"/>
              </w:rPr>
              <w:t>збиток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20" w:rsidRPr="00644171" w:rsidRDefault="002F7A20" w:rsidP="002F7A20">
            <w:pPr>
              <w:jc w:val="center"/>
            </w:pPr>
            <w:r w:rsidRPr="00644171">
              <w:t>1202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A20" w:rsidRPr="0038726B" w:rsidRDefault="002F7A20" w:rsidP="002F7A20">
            <w:pPr>
              <w:jc w:val="center"/>
              <w:rPr>
                <w:lang w:val="uk-UA"/>
              </w:rPr>
            </w:pPr>
            <w:r w:rsidRPr="00644171">
              <w:t> </w:t>
            </w:r>
            <w:r w:rsidRPr="00644171">
              <w:rPr>
                <w:lang w:val="uk-UA"/>
              </w:rPr>
              <w:t>-</w:t>
            </w:r>
          </w:p>
        </w:tc>
      </w:tr>
    </w:tbl>
    <w:p w:rsidR="00C332E8" w:rsidRPr="0038726B" w:rsidRDefault="00C332E8" w:rsidP="00C332E8">
      <w:pPr>
        <w:spacing w:line="240" w:lineRule="atLeast"/>
        <w:rPr>
          <w:lang w:val="uk-UA"/>
        </w:rPr>
      </w:pPr>
    </w:p>
    <w:p w:rsidR="00A300F8" w:rsidRPr="0038726B" w:rsidRDefault="002E501E" w:rsidP="001564E1">
      <w:pPr>
        <w:ind w:firstLine="708"/>
        <w:jc w:val="both"/>
        <w:rPr>
          <w:b/>
          <w:color w:val="000000"/>
          <w:lang w:val="uk-UA"/>
        </w:rPr>
      </w:pPr>
      <w:r w:rsidRPr="0038726B">
        <w:rPr>
          <w:b/>
          <w:color w:val="000000"/>
          <w:lang w:val="uk-UA"/>
        </w:rPr>
        <w:t xml:space="preserve"> </w:t>
      </w:r>
      <w:r w:rsidR="00A61C10" w:rsidRPr="0038726B">
        <w:rPr>
          <w:b/>
          <w:color w:val="000000"/>
          <w:lang w:val="uk-UA"/>
        </w:rPr>
        <w:t xml:space="preserve">Оподаткована діяльність </w:t>
      </w:r>
      <w:r w:rsidR="00A300F8" w:rsidRPr="0038726B">
        <w:rPr>
          <w:b/>
          <w:color w:val="000000"/>
          <w:lang w:val="uk-UA"/>
        </w:rPr>
        <w:t>201</w:t>
      </w:r>
      <w:r w:rsidR="00CA007F">
        <w:rPr>
          <w:b/>
          <w:color w:val="000000"/>
          <w:lang w:val="uk-UA"/>
        </w:rPr>
        <w:t>8</w:t>
      </w:r>
      <w:r w:rsidR="00A300F8" w:rsidRPr="0038726B">
        <w:rPr>
          <w:b/>
          <w:color w:val="000000"/>
          <w:lang w:val="uk-UA"/>
        </w:rPr>
        <w:t xml:space="preserve"> року</w:t>
      </w:r>
    </w:p>
    <w:p w:rsidR="00A300F8" w:rsidRPr="0038726B" w:rsidRDefault="00A300F8" w:rsidP="001564E1">
      <w:pPr>
        <w:ind w:firstLine="708"/>
        <w:jc w:val="both"/>
        <w:rPr>
          <w:b/>
          <w:color w:val="000000"/>
          <w:lang w:val="uk-UA"/>
        </w:rPr>
      </w:pPr>
    </w:p>
    <w:p w:rsidR="00CA007F" w:rsidRDefault="00CE7D02" w:rsidP="00CA007F">
      <w:pPr>
        <w:ind w:firstLine="708"/>
        <w:jc w:val="both"/>
        <w:rPr>
          <w:color w:val="000000"/>
          <w:lang w:val="uk-UA"/>
        </w:rPr>
      </w:pPr>
      <w:r w:rsidRPr="00C54BBC">
        <w:rPr>
          <w:color w:val="000000"/>
          <w:lang w:val="uk-UA"/>
        </w:rPr>
        <w:t>За</w:t>
      </w:r>
      <w:r w:rsidR="00934214" w:rsidRPr="00C54BBC">
        <w:rPr>
          <w:color w:val="000000"/>
          <w:lang w:val="uk-UA"/>
        </w:rPr>
        <w:t xml:space="preserve"> </w:t>
      </w:r>
      <w:r w:rsidR="005853CC" w:rsidRPr="00C54BBC">
        <w:rPr>
          <w:color w:val="000000"/>
          <w:lang w:val="uk-UA"/>
        </w:rPr>
        <w:t xml:space="preserve">результатами діяльності у </w:t>
      </w:r>
      <w:r w:rsidRPr="00C54BBC">
        <w:rPr>
          <w:color w:val="000000"/>
          <w:lang w:val="uk-UA"/>
        </w:rPr>
        <w:t>201</w:t>
      </w:r>
      <w:r w:rsidR="00CA007F">
        <w:rPr>
          <w:color w:val="000000"/>
          <w:lang w:val="uk-UA"/>
        </w:rPr>
        <w:t>8</w:t>
      </w:r>
      <w:r w:rsidRPr="00C54BBC">
        <w:rPr>
          <w:color w:val="000000"/>
          <w:lang w:val="uk-UA"/>
        </w:rPr>
        <w:t xml:space="preserve"> р</w:t>
      </w:r>
      <w:r w:rsidR="00934214" w:rsidRPr="00C54BBC">
        <w:rPr>
          <w:color w:val="000000"/>
          <w:lang w:val="uk-UA"/>
        </w:rPr>
        <w:t>о</w:t>
      </w:r>
      <w:r w:rsidR="007756E8">
        <w:rPr>
          <w:color w:val="000000"/>
          <w:lang w:val="uk-UA"/>
        </w:rPr>
        <w:t>ці</w:t>
      </w:r>
      <w:r w:rsidRPr="00C54BBC">
        <w:rPr>
          <w:color w:val="000000"/>
          <w:lang w:val="uk-UA"/>
        </w:rPr>
        <w:t xml:space="preserve"> доходи від </w:t>
      </w:r>
      <w:r w:rsidR="00F838C6" w:rsidRPr="00C54BBC">
        <w:rPr>
          <w:color w:val="000000"/>
          <w:lang w:val="uk-UA"/>
        </w:rPr>
        <w:t>надання послуг з обслуговування аварійного супутникового обладнання</w:t>
      </w:r>
      <w:r w:rsidRPr="00C54BBC">
        <w:rPr>
          <w:color w:val="000000"/>
          <w:lang w:val="uk-UA"/>
        </w:rPr>
        <w:t xml:space="preserve"> </w:t>
      </w:r>
      <w:r w:rsidR="00F838C6" w:rsidRPr="00C54BBC">
        <w:rPr>
          <w:color w:val="000000"/>
          <w:lang w:val="uk-UA"/>
        </w:rPr>
        <w:t xml:space="preserve">та розрахункового центру </w:t>
      </w:r>
      <w:r w:rsidRPr="00C54BBC">
        <w:rPr>
          <w:color w:val="000000"/>
          <w:lang w:val="uk-UA"/>
        </w:rPr>
        <w:t xml:space="preserve">склали </w:t>
      </w:r>
      <w:r w:rsidR="007756E8">
        <w:rPr>
          <w:color w:val="000000"/>
          <w:lang w:val="uk-UA"/>
        </w:rPr>
        <w:t>640</w:t>
      </w:r>
      <w:r w:rsidRPr="00C54BBC">
        <w:rPr>
          <w:color w:val="000000"/>
          <w:lang w:val="uk-UA"/>
        </w:rPr>
        <w:t xml:space="preserve"> тис.</w:t>
      </w:r>
      <w:r w:rsidR="00B81F27" w:rsidRPr="00C54BBC">
        <w:rPr>
          <w:color w:val="000000"/>
          <w:lang w:val="uk-UA"/>
        </w:rPr>
        <w:t xml:space="preserve"> </w:t>
      </w:r>
      <w:r w:rsidRPr="00C54BBC">
        <w:rPr>
          <w:color w:val="000000"/>
          <w:lang w:val="uk-UA"/>
        </w:rPr>
        <w:t>грн.</w:t>
      </w:r>
      <w:r w:rsidR="00A61C10" w:rsidRPr="00C54BBC">
        <w:rPr>
          <w:color w:val="000000"/>
          <w:lang w:val="uk-UA"/>
        </w:rPr>
        <w:t xml:space="preserve">, що </w:t>
      </w:r>
      <w:r w:rsidR="007756E8">
        <w:rPr>
          <w:color w:val="000000"/>
          <w:lang w:val="uk-UA"/>
        </w:rPr>
        <w:t xml:space="preserve">на </w:t>
      </w:r>
      <w:r w:rsidR="00F806CB">
        <w:rPr>
          <w:color w:val="000000"/>
          <w:lang w:val="uk-UA"/>
        </w:rPr>
        <w:t>3</w:t>
      </w:r>
      <w:r w:rsidR="007756E8">
        <w:rPr>
          <w:color w:val="000000"/>
          <w:lang w:val="uk-UA"/>
        </w:rPr>
        <w:t>2</w:t>
      </w:r>
      <w:r w:rsidR="001F3015">
        <w:rPr>
          <w:color w:val="000000"/>
          <w:lang w:val="uk-UA"/>
        </w:rPr>
        <w:t>,8</w:t>
      </w:r>
      <w:r w:rsidR="007756E8">
        <w:rPr>
          <w:color w:val="000000"/>
          <w:lang w:val="uk-UA"/>
        </w:rPr>
        <w:t>%</w:t>
      </w:r>
      <w:r w:rsidR="00F806CB">
        <w:rPr>
          <w:color w:val="000000"/>
          <w:lang w:val="uk-UA"/>
        </w:rPr>
        <w:t xml:space="preserve"> перевищує </w:t>
      </w:r>
      <w:r w:rsidR="00BD6BDD" w:rsidRPr="00C54BBC">
        <w:rPr>
          <w:color w:val="000000"/>
          <w:lang w:val="uk-UA"/>
        </w:rPr>
        <w:t>планов</w:t>
      </w:r>
      <w:r w:rsidR="00F806CB">
        <w:rPr>
          <w:color w:val="000000"/>
          <w:lang w:val="uk-UA"/>
        </w:rPr>
        <w:t>ий</w:t>
      </w:r>
      <w:r w:rsidR="00A61C10" w:rsidRPr="00C54BBC">
        <w:rPr>
          <w:color w:val="000000"/>
          <w:lang w:val="uk-UA"/>
        </w:rPr>
        <w:t xml:space="preserve"> показник</w:t>
      </w:r>
      <w:r w:rsidR="00D41CA7">
        <w:rPr>
          <w:color w:val="000000"/>
          <w:lang w:val="uk-UA"/>
        </w:rPr>
        <w:t>.</w:t>
      </w:r>
      <w:r w:rsidR="001A3A38">
        <w:rPr>
          <w:color w:val="000000"/>
          <w:lang w:val="uk-UA"/>
        </w:rPr>
        <w:t xml:space="preserve"> </w:t>
      </w:r>
      <w:r w:rsidR="00D41CA7">
        <w:rPr>
          <w:color w:val="000000"/>
          <w:lang w:val="uk-UA"/>
        </w:rPr>
        <w:t xml:space="preserve">Перевиконання доходів </w:t>
      </w:r>
      <w:r w:rsidR="001A3A38">
        <w:rPr>
          <w:color w:val="000000"/>
          <w:lang w:val="uk-UA"/>
        </w:rPr>
        <w:t xml:space="preserve">пов’язано із незапланованим збільшенням звернень судновласників під </w:t>
      </w:r>
      <w:r w:rsidR="00D41CA7">
        <w:rPr>
          <w:color w:val="000000"/>
          <w:lang w:val="uk-UA"/>
        </w:rPr>
        <w:t xml:space="preserve">українським </w:t>
      </w:r>
      <w:r w:rsidR="001A3A38">
        <w:rPr>
          <w:color w:val="000000"/>
          <w:lang w:val="uk-UA"/>
        </w:rPr>
        <w:t>прапором за пос</w:t>
      </w:r>
      <w:r w:rsidR="00127913">
        <w:rPr>
          <w:color w:val="000000"/>
          <w:lang w:val="uk-UA"/>
        </w:rPr>
        <w:t>л</w:t>
      </w:r>
      <w:r w:rsidR="001A3A38">
        <w:rPr>
          <w:color w:val="000000"/>
          <w:lang w:val="uk-UA"/>
        </w:rPr>
        <w:t xml:space="preserve">угами активації терміналів </w:t>
      </w:r>
      <w:r w:rsidR="001A3A38">
        <w:rPr>
          <w:color w:val="000000"/>
          <w:lang w:val="en-US"/>
        </w:rPr>
        <w:t>INMARSAT</w:t>
      </w:r>
      <w:r w:rsidR="001A3A38" w:rsidRPr="001A3A38">
        <w:rPr>
          <w:color w:val="000000"/>
          <w:lang w:val="uk-UA"/>
        </w:rPr>
        <w:t xml:space="preserve"> </w:t>
      </w:r>
      <w:r w:rsidR="00B87EAB">
        <w:rPr>
          <w:color w:val="000000"/>
          <w:lang w:val="uk-UA"/>
        </w:rPr>
        <w:t>та послуг НЦ ДІКМС</w:t>
      </w:r>
      <w:r w:rsidR="00D41CA7">
        <w:rPr>
          <w:color w:val="000000"/>
          <w:lang w:val="uk-UA"/>
        </w:rPr>
        <w:t xml:space="preserve"> </w:t>
      </w:r>
      <w:r w:rsidR="001F3015">
        <w:rPr>
          <w:color w:val="000000"/>
          <w:lang w:val="uk-UA"/>
        </w:rPr>
        <w:t xml:space="preserve">у </w:t>
      </w:r>
      <w:r w:rsidR="00D41CA7">
        <w:rPr>
          <w:color w:val="000000"/>
          <w:lang w:val="uk-UA"/>
        </w:rPr>
        <w:t>2018 ро</w:t>
      </w:r>
      <w:r w:rsidR="001F3015">
        <w:rPr>
          <w:color w:val="000000"/>
          <w:lang w:val="uk-UA"/>
        </w:rPr>
        <w:t>ці</w:t>
      </w:r>
      <w:r w:rsidR="00A61C10" w:rsidRPr="00C54BBC">
        <w:rPr>
          <w:color w:val="000000"/>
          <w:lang w:val="uk-UA"/>
        </w:rPr>
        <w:t xml:space="preserve">. </w:t>
      </w:r>
    </w:p>
    <w:p w:rsidR="00934214" w:rsidRPr="00C54BBC" w:rsidRDefault="00934214" w:rsidP="001564E1">
      <w:pPr>
        <w:ind w:firstLine="708"/>
        <w:jc w:val="both"/>
        <w:rPr>
          <w:color w:val="000000"/>
          <w:lang w:val="uk-UA"/>
        </w:rPr>
      </w:pPr>
    </w:p>
    <w:p w:rsidR="00272C69" w:rsidRPr="00C54BBC" w:rsidRDefault="00272C69" w:rsidP="001564E1">
      <w:pPr>
        <w:ind w:firstLine="708"/>
        <w:jc w:val="both"/>
        <w:rPr>
          <w:color w:val="000000"/>
          <w:lang w:val="uk-UA"/>
        </w:rPr>
      </w:pPr>
      <w:r w:rsidRPr="00C54BBC">
        <w:rPr>
          <w:color w:val="000000"/>
          <w:lang w:val="uk-UA"/>
        </w:rPr>
        <w:t xml:space="preserve">Також доходами оподаткованої діяльності у </w:t>
      </w:r>
      <w:r w:rsidR="007756E8">
        <w:rPr>
          <w:color w:val="000000"/>
          <w:lang w:val="uk-UA"/>
        </w:rPr>
        <w:t>2018 році</w:t>
      </w:r>
      <w:r w:rsidRPr="00C54BBC">
        <w:rPr>
          <w:color w:val="000000"/>
          <w:lang w:val="uk-UA"/>
        </w:rPr>
        <w:t xml:space="preserve"> є:</w:t>
      </w:r>
    </w:p>
    <w:p w:rsidR="00272C69" w:rsidRPr="00C54BBC" w:rsidRDefault="00272C69" w:rsidP="00272C69">
      <w:pPr>
        <w:pStyle w:val="ab"/>
        <w:numPr>
          <w:ilvl w:val="0"/>
          <w:numId w:val="12"/>
        </w:numPr>
        <w:jc w:val="both"/>
        <w:rPr>
          <w:color w:val="000000"/>
          <w:lang w:val="uk-UA"/>
        </w:rPr>
      </w:pPr>
      <w:r w:rsidRPr="00C54BBC">
        <w:rPr>
          <w:color w:val="000000"/>
          <w:lang w:val="uk-UA"/>
        </w:rPr>
        <w:t>Інші операційні доходи (</w:t>
      </w:r>
      <w:r w:rsidR="007756E8">
        <w:rPr>
          <w:color w:val="000000"/>
          <w:lang w:val="uk-UA"/>
        </w:rPr>
        <w:t>9</w:t>
      </w:r>
      <w:r w:rsidR="00877CD1">
        <w:rPr>
          <w:color w:val="000000"/>
          <w:lang w:val="uk-UA"/>
        </w:rPr>
        <w:t>2</w:t>
      </w:r>
      <w:r w:rsidR="001F3015">
        <w:rPr>
          <w:color w:val="000000"/>
          <w:lang w:val="uk-UA"/>
        </w:rPr>
        <w:t>46</w:t>
      </w:r>
      <w:r w:rsidRPr="00C54BBC">
        <w:rPr>
          <w:color w:val="000000"/>
          <w:lang w:val="uk-UA"/>
        </w:rPr>
        <w:t xml:space="preserve"> тис.</w:t>
      </w:r>
      <w:r w:rsidR="00B81F27" w:rsidRPr="00C54BBC">
        <w:rPr>
          <w:color w:val="000000"/>
          <w:lang w:val="uk-UA"/>
        </w:rPr>
        <w:t xml:space="preserve"> </w:t>
      </w:r>
      <w:r w:rsidRPr="00C54BBC">
        <w:rPr>
          <w:color w:val="000000"/>
          <w:lang w:val="uk-UA"/>
        </w:rPr>
        <w:t>грн), що складаються з доходу від курсових різниць та реалізації валюти</w:t>
      </w:r>
      <w:r w:rsidR="00877CD1">
        <w:rPr>
          <w:color w:val="000000"/>
          <w:lang w:val="uk-UA"/>
        </w:rPr>
        <w:t xml:space="preserve"> (</w:t>
      </w:r>
      <w:r w:rsidR="007756E8">
        <w:rPr>
          <w:color w:val="000000"/>
          <w:lang w:val="uk-UA"/>
        </w:rPr>
        <w:t>20</w:t>
      </w:r>
      <w:r w:rsidR="008A0B34">
        <w:rPr>
          <w:color w:val="000000"/>
          <w:lang w:val="uk-UA"/>
        </w:rPr>
        <w:t>4</w:t>
      </w:r>
      <w:r w:rsidR="00877CD1">
        <w:rPr>
          <w:color w:val="000000"/>
          <w:lang w:val="uk-UA"/>
        </w:rPr>
        <w:t xml:space="preserve"> тис. грн.);</w:t>
      </w:r>
      <w:r w:rsidRPr="00C54BBC">
        <w:rPr>
          <w:color w:val="000000"/>
          <w:lang w:val="uk-UA"/>
        </w:rPr>
        <w:t xml:space="preserve"> </w:t>
      </w:r>
      <w:r w:rsidR="00C86C58" w:rsidRPr="00C54BBC">
        <w:rPr>
          <w:color w:val="000000"/>
          <w:lang w:val="uk-UA"/>
        </w:rPr>
        <w:t xml:space="preserve">отриманих </w:t>
      </w:r>
      <w:r w:rsidRPr="00C54BBC">
        <w:rPr>
          <w:color w:val="000000"/>
          <w:lang w:val="uk-UA"/>
        </w:rPr>
        <w:t>процентів банку</w:t>
      </w:r>
      <w:r w:rsidR="00877CD1">
        <w:rPr>
          <w:color w:val="000000"/>
          <w:lang w:val="uk-UA"/>
        </w:rPr>
        <w:t xml:space="preserve"> (</w:t>
      </w:r>
      <w:r w:rsidR="007756E8">
        <w:rPr>
          <w:color w:val="000000"/>
          <w:lang w:val="uk-UA"/>
        </w:rPr>
        <w:t>8740</w:t>
      </w:r>
      <w:r w:rsidR="00877CD1">
        <w:rPr>
          <w:color w:val="000000"/>
          <w:lang w:val="uk-UA"/>
        </w:rPr>
        <w:t xml:space="preserve"> тис. грн.)</w:t>
      </w:r>
      <w:r w:rsidR="00A450BB" w:rsidRPr="00C54BBC">
        <w:rPr>
          <w:color w:val="000000"/>
          <w:lang w:val="uk-UA"/>
        </w:rPr>
        <w:t>;</w:t>
      </w:r>
      <w:r w:rsidR="00877CD1">
        <w:rPr>
          <w:color w:val="000000"/>
          <w:lang w:val="uk-UA"/>
        </w:rPr>
        <w:t xml:space="preserve"> </w:t>
      </w:r>
      <w:r w:rsidR="00B84763">
        <w:rPr>
          <w:color w:val="000000"/>
          <w:lang w:val="uk-UA"/>
        </w:rPr>
        <w:t xml:space="preserve">компенсування витрат на земельний податок та податок на нерухомість </w:t>
      </w:r>
      <w:r w:rsidR="00171699">
        <w:rPr>
          <w:color w:val="000000"/>
          <w:lang w:val="uk-UA"/>
        </w:rPr>
        <w:t xml:space="preserve">по </w:t>
      </w:r>
      <w:r w:rsidR="00186D31">
        <w:rPr>
          <w:color w:val="000000"/>
          <w:lang w:val="uk-UA"/>
        </w:rPr>
        <w:t xml:space="preserve">договору оренди </w:t>
      </w:r>
      <w:r w:rsidR="00186D31">
        <w:rPr>
          <w:lang w:val="uk-UA"/>
        </w:rPr>
        <w:t>нерухомого майна № 20984091 1763, що належить до державної власності</w:t>
      </w:r>
      <w:r w:rsidR="00186D31">
        <w:rPr>
          <w:color w:val="000000"/>
          <w:lang w:val="uk-UA"/>
        </w:rPr>
        <w:t xml:space="preserve"> </w:t>
      </w:r>
      <w:r w:rsidR="007931EA">
        <w:rPr>
          <w:color w:val="000000"/>
          <w:lang w:val="uk-UA"/>
        </w:rPr>
        <w:t xml:space="preserve">щодо адміністративної будівлі АСПТР </w:t>
      </w:r>
      <w:r w:rsidR="00B84763">
        <w:rPr>
          <w:color w:val="000000"/>
          <w:lang w:val="uk-UA"/>
        </w:rPr>
        <w:t xml:space="preserve">за </w:t>
      </w:r>
      <w:proofErr w:type="spellStart"/>
      <w:r w:rsidR="00B84763">
        <w:rPr>
          <w:color w:val="000000"/>
          <w:lang w:val="uk-UA"/>
        </w:rPr>
        <w:t>адресою</w:t>
      </w:r>
      <w:proofErr w:type="spellEnd"/>
      <w:r w:rsidR="00B84763">
        <w:rPr>
          <w:color w:val="000000"/>
          <w:lang w:val="uk-UA"/>
        </w:rPr>
        <w:t xml:space="preserve"> м. Одеса, вул. Приморська,</w:t>
      </w:r>
      <w:r w:rsidR="00FE7828">
        <w:rPr>
          <w:color w:val="000000"/>
          <w:lang w:val="uk-UA"/>
        </w:rPr>
        <w:t xml:space="preserve"> </w:t>
      </w:r>
      <w:r w:rsidR="00B84763">
        <w:rPr>
          <w:color w:val="000000"/>
          <w:lang w:val="uk-UA"/>
        </w:rPr>
        <w:t xml:space="preserve">3а </w:t>
      </w:r>
      <w:r w:rsidR="007931EA">
        <w:rPr>
          <w:color w:val="000000"/>
          <w:lang w:val="uk-UA"/>
        </w:rPr>
        <w:t>(1</w:t>
      </w:r>
      <w:r w:rsidR="001F3015">
        <w:rPr>
          <w:color w:val="000000"/>
          <w:lang w:val="uk-UA"/>
        </w:rPr>
        <w:t>8</w:t>
      </w:r>
      <w:r w:rsidR="007931EA">
        <w:rPr>
          <w:color w:val="000000"/>
          <w:lang w:val="uk-UA"/>
        </w:rPr>
        <w:t xml:space="preserve"> тис. грн.); </w:t>
      </w:r>
      <w:r w:rsidR="00F806CB">
        <w:rPr>
          <w:color w:val="000000"/>
          <w:lang w:val="uk-UA"/>
        </w:rPr>
        <w:t>інших</w:t>
      </w:r>
      <w:r w:rsidR="00171699">
        <w:rPr>
          <w:color w:val="000000"/>
          <w:lang w:val="uk-UA"/>
        </w:rPr>
        <w:t xml:space="preserve"> </w:t>
      </w:r>
      <w:r w:rsidR="00F806CB">
        <w:rPr>
          <w:color w:val="000000"/>
          <w:lang w:val="uk-UA"/>
        </w:rPr>
        <w:t>доходів</w:t>
      </w:r>
      <w:r w:rsidR="00877CD1">
        <w:rPr>
          <w:color w:val="000000"/>
          <w:lang w:val="uk-UA"/>
        </w:rPr>
        <w:t xml:space="preserve"> (</w:t>
      </w:r>
      <w:r w:rsidR="007756E8">
        <w:rPr>
          <w:color w:val="000000"/>
          <w:lang w:val="uk-UA"/>
        </w:rPr>
        <w:t>28</w:t>
      </w:r>
      <w:r w:rsidR="00186D31">
        <w:rPr>
          <w:color w:val="000000"/>
          <w:lang w:val="en-US"/>
        </w:rPr>
        <w:t>4</w:t>
      </w:r>
      <w:r w:rsidR="00877CD1">
        <w:rPr>
          <w:color w:val="000000"/>
          <w:lang w:val="uk-UA"/>
        </w:rPr>
        <w:t xml:space="preserve"> тис. грн.).</w:t>
      </w:r>
      <w:r w:rsidRPr="00C54BBC">
        <w:rPr>
          <w:color w:val="000000"/>
          <w:lang w:val="uk-UA"/>
        </w:rPr>
        <w:t xml:space="preserve"> </w:t>
      </w:r>
    </w:p>
    <w:p w:rsidR="00C92079" w:rsidRPr="00C54BBC" w:rsidRDefault="006E6CA7" w:rsidP="001564E1">
      <w:pPr>
        <w:ind w:firstLine="708"/>
        <w:jc w:val="both"/>
        <w:rPr>
          <w:color w:val="000000"/>
          <w:lang w:val="uk-UA"/>
        </w:rPr>
      </w:pPr>
      <w:r w:rsidRPr="00C54BBC">
        <w:rPr>
          <w:color w:val="000000"/>
          <w:lang w:val="uk-UA"/>
        </w:rPr>
        <w:t xml:space="preserve">Витрати оподаткованої діяльності у </w:t>
      </w:r>
      <w:r w:rsidR="007756E8">
        <w:rPr>
          <w:color w:val="000000"/>
          <w:lang w:val="uk-UA"/>
        </w:rPr>
        <w:t xml:space="preserve">2018 році </w:t>
      </w:r>
      <w:r w:rsidRPr="00C54BBC">
        <w:rPr>
          <w:color w:val="000000"/>
          <w:lang w:val="uk-UA"/>
        </w:rPr>
        <w:t xml:space="preserve"> </w:t>
      </w:r>
      <w:r w:rsidR="000824F1">
        <w:rPr>
          <w:color w:val="000000"/>
          <w:lang w:val="uk-UA"/>
        </w:rPr>
        <w:t>досягли</w:t>
      </w:r>
      <w:r w:rsidRPr="00C54BBC">
        <w:rPr>
          <w:color w:val="000000"/>
          <w:lang w:val="uk-UA"/>
        </w:rPr>
        <w:t xml:space="preserve"> </w:t>
      </w:r>
      <w:r w:rsidR="001F3015">
        <w:rPr>
          <w:color w:val="000000"/>
          <w:lang w:val="uk-UA"/>
        </w:rPr>
        <w:t>8</w:t>
      </w:r>
      <w:r w:rsidR="00A53680">
        <w:rPr>
          <w:color w:val="000000"/>
          <w:lang w:val="uk-UA"/>
        </w:rPr>
        <w:t>71</w:t>
      </w:r>
      <w:r w:rsidRPr="00C54BBC">
        <w:rPr>
          <w:color w:val="000000"/>
          <w:lang w:val="uk-UA"/>
        </w:rPr>
        <w:t xml:space="preserve"> тис</w:t>
      </w:r>
      <w:r w:rsidR="000824F1">
        <w:rPr>
          <w:color w:val="000000"/>
          <w:lang w:val="uk-UA"/>
        </w:rPr>
        <w:t>.</w:t>
      </w:r>
      <w:r w:rsidRPr="00C54BBC">
        <w:rPr>
          <w:color w:val="000000"/>
          <w:lang w:val="uk-UA"/>
        </w:rPr>
        <w:t xml:space="preserve"> грн. та складаються з</w:t>
      </w:r>
      <w:r w:rsidR="00C92079" w:rsidRPr="00C54BBC">
        <w:rPr>
          <w:color w:val="000000"/>
          <w:lang w:val="uk-UA"/>
        </w:rPr>
        <w:t>:</w:t>
      </w:r>
    </w:p>
    <w:p w:rsidR="00F838C6" w:rsidRDefault="00C92079" w:rsidP="002205BA">
      <w:pPr>
        <w:ind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t>- РКО операцій, пов’язаних з наданням послуг розрахункового центру</w:t>
      </w:r>
      <w:r w:rsidR="004C42F8" w:rsidRPr="004C42F8">
        <w:rPr>
          <w:color w:val="000000"/>
        </w:rPr>
        <w:t xml:space="preserve"> </w:t>
      </w:r>
      <w:r w:rsidR="004C42F8">
        <w:rPr>
          <w:color w:val="000000"/>
          <w:lang w:val="uk-UA"/>
        </w:rPr>
        <w:t xml:space="preserve">ДІКМС </w:t>
      </w:r>
      <w:r w:rsidR="000F618E" w:rsidRPr="0038726B">
        <w:rPr>
          <w:color w:val="000000"/>
          <w:lang w:val="uk-UA"/>
        </w:rPr>
        <w:t>(</w:t>
      </w:r>
      <w:r w:rsidR="007756E8">
        <w:rPr>
          <w:color w:val="000000"/>
          <w:lang w:val="uk-UA"/>
        </w:rPr>
        <w:t>32</w:t>
      </w:r>
      <w:r w:rsidR="000F618E" w:rsidRPr="0038726B">
        <w:rPr>
          <w:color w:val="000000"/>
          <w:lang w:val="uk-UA"/>
        </w:rPr>
        <w:t xml:space="preserve"> тис. грн</w:t>
      </w:r>
      <w:r w:rsidR="000824F1">
        <w:rPr>
          <w:color w:val="000000"/>
          <w:lang w:val="uk-UA"/>
        </w:rPr>
        <w:t>.</w:t>
      </w:r>
      <w:r w:rsidR="000F618E" w:rsidRPr="0038726B">
        <w:rPr>
          <w:color w:val="000000"/>
          <w:lang w:val="uk-UA"/>
        </w:rPr>
        <w:t>);</w:t>
      </w:r>
    </w:p>
    <w:p w:rsidR="007756E8" w:rsidRPr="0038726B" w:rsidRDefault="007756E8" w:rsidP="002205BA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914215">
        <w:rPr>
          <w:color w:val="000000"/>
          <w:lang w:val="uk-UA"/>
        </w:rPr>
        <w:t>витрат на обмін даними ДІКМС (14 тис. грн.);</w:t>
      </w:r>
    </w:p>
    <w:p w:rsidR="00233988" w:rsidRDefault="002B68D0" w:rsidP="002205BA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F806CB">
        <w:rPr>
          <w:color w:val="000000"/>
          <w:lang w:val="uk-UA"/>
        </w:rPr>
        <w:t>курсов</w:t>
      </w:r>
      <w:r w:rsidR="000824F1">
        <w:rPr>
          <w:color w:val="000000"/>
          <w:lang w:val="uk-UA"/>
        </w:rPr>
        <w:t>их</w:t>
      </w:r>
      <w:r w:rsidR="00F806CB">
        <w:rPr>
          <w:color w:val="000000"/>
          <w:lang w:val="uk-UA"/>
        </w:rPr>
        <w:t xml:space="preserve"> різниц</w:t>
      </w:r>
      <w:r w:rsidR="000824F1">
        <w:rPr>
          <w:color w:val="000000"/>
          <w:lang w:val="uk-UA"/>
        </w:rPr>
        <w:t>ь</w:t>
      </w:r>
      <w:r w:rsidR="00A47B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за 201</w:t>
      </w:r>
      <w:r w:rsidR="00CA007F">
        <w:rPr>
          <w:color w:val="000000"/>
          <w:lang w:val="uk-UA"/>
        </w:rPr>
        <w:t>8</w:t>
      </w:r>
      <w:r>
        <w:rPr>
          <w:color w:val="000000"/>
          <w:lang w:val="uk-UA"/>
        </w:rPr>
        <w:t xml:space="preserve"> р</w:t>
      </w:r>
      <w:r w:rsidR="007756E8">
        <w:rPr>
          <w:color w:val="000000"/>
          <w:lang w:val="uk-UA"/>
        </w:rPr>
        <w:t>і</w:t>
      </w:r>
      <w:r>
        <w:rPr>
          <w:color w:val="000000"/>
          <w:lang w:val="uk-UA"/>
        </w:rPr>
        <w:t>к</w:t>
      </w:r>
      <w:r w:rsidR="00A47B90">
        <w:rPr>
          <w:color w:val="000000"/>
          <w:lang w:val="uk-UA"/>
        </w:rPr>
        <w:t xml:space="preserve"> (</w:t>
      </w:r>
      <w:r w:rsidR="00914215">
        <w:rPr>
          <w:color w:val="000000"/>
          <w:lang w:val="uk-UA"/>
        </w:rPr>
        <w:t>25</w:t>
      </w:r>
      <w:r w:rsidR="00A53680">
        <w:rPr>
          <w:color w:val="000000"/>
          <w:lang w:val="uk-UA"/>
        </w:rPr>
        <w:t>2</w:t>
      </w:r>
      <w:r w:rsidR="00A47B90">
        <w:rPr>
          <w:color w:val="000000"/>
          <w:lang w:val="uk-UA"/>
        </w:rPr>
        <w:t xml:space="preserve"> тис</w:t>
      </w:r>
      <w:r w:rsidR="005115A9">
        <w:rPr>
          <w:color w:val="000000"/>
          <w:lang w:val="uk-UA"/>
        </w:rPr>
        <w:t>.</w:t>
      </w:r>
      <w:r w:rsidR="00A47B90">
        <w:rPr>
          <w:color w:val="000000"/>
          <w:lang w:val="uk-UA"/>
        </w:rPr>
        <w:t xml:space="preserve"> грн</w:t>
      </w:r>
      <w:r w:rsidR="000824F1">
        <w:rPr>
          <w:color w:val="000000"/>
          <w:lang w:val="uk-UA"/>
        </w:rPr>
        <w:t>.</w:t>
      </w:r>
      <w:r w:rsidR="00A47B90">
        <w:rPr>
          <w:color w:val="000000"/>
          <w:lang w:val="uk-UA"/>
        </w:rPr>
        <w:t>)</w:t>
      </w:r>
    </w:p>
    <w:p w:rsidR="00F806CB" w:rsidRDefault="00233988" w:rsidP="002205BA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витрат на купівлю-продаж валюти (7 тис. грн.)</w:t>
      </w:r>
      <w:r w:rsidR="00F806CB">
        <w:rPr>
          <w:color w:val="000000"/>
          <w:lang w:val="uk-UA"/>
        </w:rPr>
        <w:t>;</w:t>
      </w:r>
    </w:p>
    <w:p w:rsidR="00A53680" w:rsidRDefault="00A53680" w:rsidP="002205BA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відшкодування витрат на виплату та доставку пільгових пенсій за зобов’язаннями </w:t>
      </w:r>
      <w:r w:rsidR="00186D31">
        <w:rPr>
          <w:color w:val="000000"/>
          <w:lang w:val="uk-UA"/>
        </w:rPr>
        <w:t xml:space="preserve">колишнього </w:t>
      </w:r>
      <w:r>
        <w:rPr>
          <w:color w:val="000000"/>
          <w:lang w:val="uk-UA"/>
        </w:rPr>
        <w:t>ДП «МАРС» у сумі 533 тис. грн.;</w:t>
      </w:r>
    </w:p>
    <w:p w:rsidR="000F618E" w:rsidRPr="0038726B" w:rsidRDefault="00F806CB" w:rsidP="002205BA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витрат на </w:t>
      </w:r>
      <w:r w:rsidR="00B84763">
        <w:rPr>
          <w:color w:val="000000"/>
          <w:lang w:val="uk-UA"/>
        </w:rPr>
        <w:t xml:space="preserve">земельний податок </w:t>
      </w:r>
      <w:r w:rsidR="00A53680">
        <w:rPr>
          <w:color w:val="000000"/>
          <w:lang w:val="uk-UA"/>
        </w:rPr>
        <w:t xml:space="preserve">у сумі 24 тис. грн. </w:t>
      </w:r>
      <w:r w:rsidR="00B84763">
        <w:rPr>
          <w:color w:val="000000"/>
          <w:lang w:val="uk-UA"/>
        </w:rPr>
        <w:t xml:space="preserve">та податок на нерухомість </w:t>
      </w:r>
      <w:r w:rsidR="00A53680">
        <w:rPr>
          <w:color w:val="000000"/>
          <w:lang w:val="uk-UA"/>
        </w:rPr>
        <w:t xml:space="preserve">у сумі 9 тис. грн. </w:t>
      </w:r>
      <w:r w:rsidR="00B84763">
        <w:rPr>
          <w:color w:val="000000"/>
          <w:lang w:val="uk-UA"/>
        </w:rPr>
        <w:t xml:space="preserve">щодо </w:t>
      </w:r>
      <w:r w:rsidR="000824F1">
        <w:rPr>
          <w:color w:val="000000"/>
          <w:lang w:val="uk-UA"/>
        </w:rPr>
        <w:t xml:space="preserve">адміністративної будівлі АСПТР за </w:t>
      </w:r>
      <w:proofErr w:type="spellStart"/>
      <w:r w:rsidR="000824F1">
        <w:rPr>
          <w:color w:val="000000"/>
          <w:lang w:val="uk-UA"/>
        </w:rPr>
        <w:t>адресою</w:t>
      </w:r>
      <w:proofErr w:type="spellEnd"/>
      <w:r w:rsidR="000824F1">
        <w:rPr>
          <w:color w:val="000000"/>
          <w:lang w:val="uk-UA"/>
        </w:rPr>
        <w:t xml:space="preserve"> м. Одеса, вул. Приморська,3а, що </w:t>
      </w:r>
      <w:r w:rsidR="001A6408">
        <w:rPr>
          <w:color w:val="000000"/>
          <w:lang w:val="uk-UA"/>
        </w:rPr>
        <w:t>з 4 квартал</w:t>
      </w:r>
      <w:r w:rsidR="00186D31">
        <w:rPr>
          <w:color w:val="000000"/>
          <w:lang w:val="uk-UA"/>
        </w:rPr>
        <w:t>у</w:t>
      </w:r>
      <w:r w:rsidR="001A6408">
        <w:rPr>
          <w:color w:val="000000"/>
          <w:lang w:val="uk-UA"/>
        </w:rPr>
        <w:t xml:space="preserve"> 2018 року </w:t>
      </w:r>
      <w:r w:rsidR="000824F1">
        <w:rPr>
          <w:color w:val="000000"/>
          <w:lang w:val="uk-UA"/>
        </w:rPr>
        <w:t>передана у оренду</w:t>
      </w:r>
      <w:r w:rsidR="00655F2B" w:rsidRPr="0038726B">
        <w:rPr>
          <w:color w:val="000000"/>
          <w:lang w:val="uk-UA"/>
        </w:rPr>
        <w:t>.</w:t>
      </w:r>
    </w:p>
    <w:p w:rsidR="0069507F" w:rsidRDefault="0069507F" w:rsidP="00F45FF8">
      <w:pPr>
        <w:ind w:firstLine="708"/>
        <w:jc w:val="both"/>
        <w:rPr>
          <w:color w:val="000000"/>
          <w:lang w:val="uk-UA"/>
        </w:rPr>
      </w:pPr>
    </w:p>
    <w:p w:rsidR="0055062F" w:rsidRPr="0038726B" w:rsidRDefault="0055062F" w:rsidP="00F45FF8">
      <w:pPr>
        <w:ind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lastRenderedPageBreak/>
        <w:t>Чистий фінансовий результат за 201</w:t>
      </w:r>
      <w:r w:rsidR="00CA007F">
        <w:rPr>
          <w:color w:val="000000"/>
          <w:lang w:val="uk-UA"/>
        </w:rPr>
        <w:t>8</w:t>
      </w:r>
      <w:r w:rsidRPr="0038726B">
        <w:rPr>
          <w:color w:val="000000"/>
          <w:lang w:val="uk-UA"/>
        </w:rPr>
        <w:t xml:space="preserve"> р</w:t>
      </w:r>
      <w:r w:rsidR="00914215">
        <w:rPr>
          <w:color w:val="000000"/>
          <w:lang w:val="uk-UA"/>
        </w:rPr>
        <w:t>і</w:t>
      </w:r>
      <w:r w:rsidRPr="0038726B">
        <w:rPr>
          <w:color w:val="000000"/>
          <w:lang w:val="uk-UA"/>
        </w:rPr>
        <w:t xml:space="preserve">к </w:t>
      </w:r>
      <w:r w:rsidR="00186D31">
        <w:rPr>
          <w:color w:val="000000"/>
          <w:lang w:val="uk-UA"/>
        </w:rPr>
        <w:t>складає</w:t>
      </w:r>
      <w:r w:rsidRPr="0038726B">
        <w:rPr>
          <w:color w:val="000000"/>
          <w:lang w:val="uk-UA"/>
        </w:rPr>
        <w:t xml:space="preserve"> </w:t>
      </w:r>
      <w:r w:rsidR="001F3015" w:rsidRPr="001F3015">
        <w:rPr>
          <w:color w:val="000000"/>
          <w:lang w:val="uk-UA"/>
        </w:rPr>
        <w:t>6482</w:t>
      </w:r>
      <w:r w:rsidRPr="001F3015">
        <w:rPr>
          <w:color w:val="000000"/>
          <w:lang w:val="uk-UA"/>
        </w:rPr>
        <w:t xml:space="preserve"> тис</w:t>
      </w:r>
      <w:r w:rsidR="001F3015" w:rsidRPr="001F3015">
        <w:rPr>
          <w:color w:val="000000"/>
          <w:lang w:val="uk-UA"/>
        </w:rPr>
        <w:t>.</w:t>
      </w:r>
      <w:r w:rsidRPr="001F3015">
        <w:rPr>
          <w:color w:val="000000"/>
          <w:lang w:val="uk-UA"/>
        </w:rPr>
        <w:t xml:space="preserve"> грн</w:t>
      </w:r>
      <w:r w:rsidR="00F45FF8" w:rsidRPr="001F3015">
        <w:rPr>
          <w:color w:val="000000"/>
          <w:lang w:val="uk-UA"/>
        </w:rPr>
        <w:t xml:space="preserve">., що </w:t>
      </w:r>
      <w:r w:rsidR="008C0E16" w:rsidRPr="001F3015">
        <w:rPr>
          <w:color w:val="000000"/>
          <w:lang w:val="uk-UA"/>
        </w:rPr>
        <w:t xml:space="preserve">у </w:t>
      </w:r>
      <w:r w:rsidR="001F3015">
        <w:rPr>
          <w:color w:val="000000"/>
          <w:lang w:val="uk-UA"/>
        </w:rPr>
        <w:t>2,4</w:t>
      </w:r>
      <w:r w:rsidR="008C0E16" w:rsidRPr="001F3015">
        <w:rPr>
          <w:color w:val="000000"/>
          <w:lang w:val="uk-UA"/>
        </w:rPr>
        <w:t xml:space="preserve"> раз</w:t>
      </w:r>
      <w:r w:rsidR="001F3015">
        <w:rPr>
          <w:color w:val="000000"/>
          <w:lang w:val="uk-UA"/>
        </w:rPr>
        <w:t>у</w:t>
      </w:r>
      <w:r w:rsidR="008C0E16">
        <w:rPr>
          <w:color w:val="000000"/>
          <w:lang w:val="uk-UA"/>
        </w:rPr>
        <w:t xml:space="preserve"> перевищу</w:t>
      </w:r>
      <w:r w:rsidR="00257E7F">
        <w:rPr>
          <w:color w:val="000000"/>
          <w:lang w:val="uk-UA"/>
        </w:rPr>
        <w:t>є</w:t>
      </w:r>
      <w:r w:rsidR="008C0E16">
        <w:rPr>
          <w:color w:val="000000"/>
          <w:lang w:val="uk-UA"/>
        </w:rPr>
        <w:t xml:space="preserve"> плановий показник</w:t>
      </w:r>
      <w:r w:rsidR="00F45FF8" w:rsidRPr="0038726B">
        <w:rPr>
          <w:color w:val="000000"/>
          <w:lang w:val="uk-UA"/>
        </w:rPr>
        <w:t>.</w:t>
      </w:r>
    </w:p>
    <w:p w:rsidR="009259FE" w:rsidRPr="00AC0A54" w:rsidRDefault="009259FE" w:rsidP="009259FE">
      <w:pPr>
        <w:pStyle w:val="af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A5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Збільшення залишку коштів цільового фінансування на рахунках КП «МПРС» пов'язан</w:t>
      </w:r>
      <w:r w:rsidR="00257E7F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AC0A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перенесенням строків реалізації берегового сегменту ГМЗЛБ на наступні періоди. </w:t>
      </w:r>
      <w:r w:rsidRPr="00AC0A54">
        <w:rPr>
          <w:rFonts w:ascii="Times New Roman" w:hAnsi="Times New Roman" w:cs="Times New Roman"/>
          <w:sz w:val="24"/>
          <w:szCs w:val="24"/>
          <w:lang w:val="uk-UA"/>
        </w:rPr>
        <w:t xml:space="preserve">Ексклюзивність об’єктів ГМЗЛБ, які не зводились в Україні останні роки, відсутність спеціалістів в проектуванні подібних об’єктів призвело до переносу строків виконання робіт виконавцем проектної документації на будівництво Базових станцій. Також, на перенесення строків отримання кошторисної документації та її реалізацію вплинуло введення в дію з 01.06.2018 змін до будівельних норм наказами Національного органу стандартизації ДП «Український науково-дослідний і навчальний центр проблем стандартизації, сертифікації та якості» від 16.04.2018   № 102 та від 24.09.2018 № 334, а також змін до Порядку розрахунку розміру кошторисної заробітної плати, який враховується при визначенні вартості будівництва об’єктів наказом Міністерства регіонального розвитку, будівництва та житлово-комунального господарства України від 27.07.2018 № 196, що зареєстрований в Мінюсті України 16.08.2018 за № 931/32383, у зв’язку з чим виникла необхідність перерахувати кошторисну частину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деяких </w:t>
      </w:r>
      <w:r w:rsidRPr="00AC0A54">
        <w:rPr>
          <w:rFonts w:ascii="Times New Roman" w:hAnsi="Times New Roman" w:cs="Times New Roman"/>
          <w:sz w:val="24"/>
          <w:szCs w:val="24"/>
          <w:lang w:val="uk-UA"/>
        </w:rPr>
        <w:t>проектів і пройти  повторну експертизу кошторисної документації.</w:t>
      </w:r>
    </w:p>
    <w:p w:rsidR="00AD58FD" w:rsidRPr="0038726B" w:rsidRDefault="00AD58FD" w:rsidP="00AD58FD">
      <w:pPr>
        <w:jc w:val="both"/>
        <w:rPr>
          <w:color w:val="000000"/>
          <w:lang w:val="uk-UA"/>
        </w:rPr>
      </w:pPr>
    </w:p>
    <w:p w:rsidR="00AD58FD" w:rsidRPr="0038726B" w:rsidRDefault="00A300F8" w:rsidP="00AD58FD">
      <w:pPr>
        <w:jc w:val="both"/>
        <w:rPr>
          <w:b/>
          <w:color w:val="000000"/>
          <w:lang w:val="uk-UA"/>
        </w:rPr>
      </w:pPr>
      <w:r w:rsidRPr="0038726B">
        <w:rPr>
          <w:b/>
          <w:color w:val="000000"/>
          <w:lang w:val="uk-UA"/>
        </w:rPr>
        <w:tab/>
      </w:r>
      <w:r w:rsidR="002E501E" w:rsidRPr="0038726B">
        <w:rPr>
          <w:b/>
          <w:color w:val="000000"/>
          <w:lang w:val="uk-UA"/>
        </w:rPr>
        <w:t xml:space="preserve"> </w:t>
      </w:r>
      <w:r w:rsidR="00F606DB" w:rsidRPr="0038726B">
        <w:rPr>
          <w:b/>
          <w:color w:val="000000"/>
          <w:lang w:val="uk-UA"/>
        </w:rPr>
        <w:t>Облік коштів ц</w:t>
      </w:r>
      <w:r w:rsidRPr="0038726B">
        <w:rPr>
          <w:b/>
          <w:color w:val="000000"/>
          <w:lang w:val="uk-UA"/>
        </w:rPr>
        <w:t>ільов</w:t>
      </w:r>
      <w:r w:rsidR="00F606DB" w:rsidRPr="0038726B">
        <w:rPr>
          <w:b/>
          <w:color w:val="000000"/>
          <w:lang w:val="uk-UA"/>
        </w:rPr>
        <w:t>ого</w:t>
      </w:r>
      <w:r w:rsidRPr="0038726B">
        <w:rPr>
          <w:b/>
          <w:color w:val="000000"/>
          <w:lang w:val="uk-UA"/>
        </w:rPr>
        <w:t xml:space="preserve"> фінансування </w:t>
      </w:r>
      <w:r w:rsidR="00D87743" w:rsidRPr="0038726B">
        <w:rPr>
          <w:b/>
          <w:color w:val="000000"/>
          <w:lang w:val="uk-UA"/>
        </w:rPr>
        <w:t>у 201</w:t>
      </w:r>
      <w:r w:rsidR="00CA007F">
        <w:rPr>
          <w:b/>
          <w:color w:val="000000"/>
          <w:lang w:val="uk-UA"/>
        </w:rPr>
        <w:t>8</w:t>
      </w:r>
      <w:r w:rsidR="00D87743" w:rsidRPr="0038726B">
        <w:rPr>
          <w:b/>
          <w:color w:val="000000"/>
          <w:lang w:val="uk-UA"/>
        </w:rPr>
        <w:t xml:space="preserve"> ро</w:t>
      </w:r>
      <w:r w:rsidR="00914215">
        <w:rPr>
          <w:b/>
          <w:color w:val="000000"/>
          <w:lang w:val="uk-UA"/>
        </w:rPr>
        <w:t>ці</w:t>
      </w:r>
    </w:p>
    <w:p w:rsidR="00C92079" w:rsidRPr="0038726B" w:rsidRDefault="00C92079" w:rsidP="002205BA">
      <w:pPr>
        <w:ind w:firstLine="708"/>
        <w:jc w:val="both"/>
        <w:rPr>
          <w:color w:val="000000"/>
          <w:lang w:val="uk-UA"/>
        </w:rPr>
      </w:pPr>
    </w:p>
    <w:p w:rsidR="002C6617" w:rsidRDefault="00F03DFD" w:rsidP="002205BA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 </w:t>
      </w:r>
      <w:r w:rsidR="002C6617" w:rsidRPr="0038726B">
        <w:rPr>
          <w:color w:val="000000"/>
          <w:lang w:val="uk-UA"/>
        </w:rPr>
        <w:t>201</w:t>
      </w:r>
      <w:r w:rsidR="00CA007F">
        <w:rPr>
          <w:color w:val="000000"/>
          <w:lang w:val="uk-UA"/>
        </w:rPr>
        <w:t>8</w:t>
      </w:r>
      <w:r w:rsidR="002C6617" w:rsidRPr="0038726B">
        <w:rPr>
          <w:color w:val="000000"/>
          <w:lang w:val="uk-UA"/>
        </w:rPr>
        <w:t xml:space="preserve"> р</w:t>
      </w:r>
      <w:r>
        <w:rPr>
          <w:color w:val="000000"/>
          <w:lang w:val="uk-UA"/>
        </w:rPr>
        <w:t>і</w:t>
      </w:r>
      <w:r w:rsidR="002C6617" w:rsidRPr="0038726B">
        <w:rPr>
          <w:color w:val="000000"/>
          <w:lang w:val="uk-UA"/>
        </w:rPr>
        <w:t>к підприє</w:t>
      </w:r>
      <w:r w:rsidR="003361E9" w:rsidRPr="0038726B">
        <w:rPr>
          <w:color w:val="000000"/>
          <w:lang w:val="uk-UA"/>
        </w:rPr>
        <w:t>мство отримало від ДП «АМПУ»</w:t>
      </w:r>
      <w:r w:rsidR="00D00178" w:rsidRPr="0038726B">
        <w:rPr>
          <w:color w:val="000000"/>
          <w:lang w:val="uk-UA"/>
        </w:rPr>
        <w:t xml:space="preserve"> згідно Постанови К</w:t>
      </w:r>
      <w:r w:rsidR="00950A79">
        <w:rPr>
          <w:color w:val="000000"/>
          <w:lang w:val="uk-UA"/>
        </w:rPr>
        <w:t xml:space="preserve">абінету міністрів України </w:t>
      </w:r>
      <w:r w:rsidR="00D00178" w:rsidRPr="0038726B">
        <w:rPr>
          <w:color w:val="000000"/>
          <w:lang w:val="uk-UA"/>
        </w:rPr>
        <w:t>№ 158 від 26.02.2017</w:t>
      </w:r>
      <w:r w:rsidR="00D22FD2" w:rsidRPr="0038726B">
        <w:rPr>
          <w:color w:val="000000"/>
          <w:lang w:val="uk-UA"/>
        </w:rPr>
        <w:t xml:space="preserve"> </w:t>
      </w:r>
      <w:r w:rsidR="00D00178" w:rsidRPr="0038726B">
        <w:rPr>
          <w:color w:val="000000"/>
          <w:lang w:val="uk-UA"/>
        </w:rPr>
        <w:t>року</w:t>
      </w:r>
      <w:r w:rsidR="003361E9" w:rsidRPr="0038726B">
        <w:rPr>
          <w:color w:val="000000"/>
          <w:lang w:val="uk-UA"/>
        </w:rPr>
        <w:t xml:space="preserve"> </w:t>
      </w:r>
      <w:r w:rsidR="003A3DC0">
        <w:rPr>
          <w:color w:val="000000"/>
          <w:lang w:val="uk-UA"/>
        </w:rPr>
        <w:t>217 098</w:t>
      </w:r>
      <w:r w:rsidR="00CA007F">
        <w:rPr>
          <w:color w:val="000000"/>
          <w:lang w:val="uk-UA"/>
        </w:rPr>
        <w:t xml:space="preserve"> </w:t>
      </w:r>
      <w:r w:rsidR="002C6617" w:rsidRPr="0038726B">
        <w:rPr>
          <w:color w:val="000000"/>
          <w:lang w:val="uk-UA"/>
        </w:rPr>
        <w:t>тис. грн.</w:t>
      </w:r>
      <w:r w:rsidR="00225EFF" w:rsidRPr="0038726B">
        <w:rPr>
          <w:color w:val="000000"/>
          <w:lang w:val="uk-UA"/>
        </w:rPr>
        <w:t xml:space="preserve">, що </w:t>
      </w:r>
      <w:r w:rsidR="005A04A2">
        <w:rPr>
          <w:color w:val="000000"/>
          <w:lang w:val="uk-UA"/>
        </w:rPr>
        <w:t xml:space="preserve">складає </w:t>
      </w:r>
      <w:r w:rsidR="00184A99" w:rsidRPr="00184A99">
        <w:rPr>
          <w:color w:val="000000"/>
          <w:lang w:val="uk-UA"/>
        </w:rPr>
        <w:t>9</w:t>
      </w:r>
      <w:r w:rsidR="003A3DC0">
        <w:rPr>
          <w:color w:val="000000"/>
          <w:lang w:val="uk-UA"/>
        </w:rPr>
        <w:t>0</w:t>
      </w:r>
      <w:r w:rsidR="005A04A2" w:rsidRPr="00184A99">
        <w:rPr>
          <w:color w:val="000000"/>
          <w:lang w:val="uk-UA"/>
        </w:rPr>
        <w:t>,</w:t>
      </w:r>
      <w:r w:rsidR="003A3DC0">
        <w:rPr>
          <w:color w:val="000000"/>
          <w:lang w:val="uk-UA"/>
        </w:rPr>
        <w:t>3</w:t>
      </w:r>
      <w:r w:rsidR="005A04A2">
        <w:rPr>
          <w:color w:val="000000"/>
          <w:lang w:val="uk-UA"/>
        </w:rPr>
        <w:t xml:space="preserve">% від запланованого рівня </w:t>
      </w:r>
      <w:r w:rsidR="001F3015">
        <w:rPr>
          <w:color w:val="000000"/>
          <w:lang w:val="uk-UA"/>
        </w:rPr>
        <w:t>фінансування системи пошуку та рятування на морі</w:t>
      </w:r>
      <w:r w:rsidR="00225EFF" w:rsidRPr="0038726B">
        <w:rPr>
          <w:color w:val="000000"/>
          <w:lang w:val="uk-UA"/>
        </w:rPr>
        <w:t>.</w:t>
      </w:r>
    </w:p>
    <w:p w:rsidR="002C6617" w:rsidRPr="0038726B" w:rsidRDefault="00FD7750" w:rsidP="002205BA">
      <w:pPr>
        <w:ind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t>Розподіл коштів цільового фінансування</w:t>
      </w:r>
      <w:r w:rsidR="00265E97" w:rsidRPr="0038726B">
        <w:rPr>
          <w:color w:val="000000"/>
          <w:lang w:val="uk-UA"/>
        </w:rPr>
        <w:t xml:space="preserve"> у 201</w:t>
      </w:r>
      <w:r w:rsidR="00084605" w:rsidRPr="00084605">
        <w:rPr>
          <w:color w:val="000000"/>
          <w:lang w:val="uk-UA"/>
        </w:rPr>
        <w:t>8</w:t>
      </w:r>
      <w:r w:rsidR="00265E97" w:rsidRPr="0038726B">
        <w:rPr>
          <w:color w:val="000000"/>
          <w:lang w:val="uk-UA"/>
        </w:rPr>
        <w:t xml:space="preserve"> ро</w:t>
      </w:r>
      <w:r w:rsidR="003A3DC0">
        <w:rPr>
          <w:color w:val="000000"/>
          <w:lang w:val="uk-UA"/>
        </w:rPr>
        <w:t>ці</w:t>
      </w:r>
      <w:r w:rsidR="00265E97" w:rsidRPr="0038726B">
        <w:rPr>
          <w:color w:val="000000"/>
          <w:lang w:val="uk-UA"/>
        </w:rPr>
        <w:t>,</w:t>
      </w:r>
      <w:r w:rsidRPr="0038726B">
        <w:rPr>
          <w:color w:val="000000"/>
          <w:lang w:val="uk-UA"/>
        </w:rPr>
        <w:t xml:space="preserve"> </w:t>
      </w:r>
      <w:r w:rsidR="000306F9" w:rsidRPr="0038726B">
        <w:rPr>
          <w:color w:val="000000"/>
          <w:lang w:val="uk-UA"/>
        </w:rPr>
        <w:t xml:space="preserve">відповідно до п.9.4 </w:t>
      </w:r>
      <w:r w:rsidR="00950A79" w:rsidRPr="0038726B">
        <w:rPr>
          <w:color w:val="000000"/>
          <w:lang w:val="uk-UA"/>
        </w:rPr>
        <w:t xml:space="preserve">Облікової </w:t>
      </w:r>
      <w:r w:rsidR="000306F9" w:rsidRPr="0038726B">
        <w:rPr>
          <w:color w:val="000000"/>
          <w:lang w:val="uk-UA"/>
        </w:rPr>
        <w:t xml:space="preserve">політики КП МПРС, затвердженої наказом № 41-Н від 13.03.2017 року </w:t>
      </w:r>
      <w:r w:rsidR="008276FD" w:rsidRPr="0038726B">
        <w:rPr>
          <w:color w:val="000000"/>
          <w:lang w:val="uk-UA"/>
        </w:rPr>
        <w:t xml:space="preserve">наданий </w:t>
      </w:r>
      <w:r w:rsidR="002A7A92" w:rsidRPr="0038726B">
        <w:rPr>
          <w:color w:val="000000"/>
          <w:lang w:val="uk-UA"/>
        </w:rPr>
        <w:t>у таблиці 2.</w:t>
      </w:r>
    </w:p>
    <w:p w:rsidR="003C73E4" w:rsidRPr="0038726B" w:rsidRDefault="003C73E4" w:rsidP="003C73E4">
      <w:pPr>
        <w:ind w:left="7080" w:firstLine="708"/>
        <w:jc w:val="both"/>
        <w:rPr>
          <w:color w:val="000000"/>
          <w:lang w:val="uk-UA"/>
        </w:rPr>
      </w:pPr>
    </w:p>
    <w:p w:rsidR="00401DAC" w:rsidRPr="0038726B" w:rsidRDefault="003C73E4" w:rsidP="00084605">
      <w:pPr>
        <w:ind w:left="7080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t>Таблиця 2 (тис. грн.)</w:t>
      </w:r>
    </w:p>
    <w:tbl>
      <w:tblPr>
        <w:tblStyle w:val="a6"/>
        <w:tblW w:w="11194" w:type="dxa"/>
        <w:jc w:val="center"/>
        <w:tblLook w:val="04A0" w:firstRow="1" w:lastRow="0" w:firstColumn="1" w:lastColumn="0" w:noHBand="0" w:noVBand="1"/>
      </w:tblPr>
      <w:tblGrid>
        <w:gridCol w:w="1331"/>
        <w:gridCol w:w="1222"/>
        <w:gridCol w:w="1486"/>
        <w:gridCol w:w="1732"/>
        <w:gridCol w:w="1332"/>
        <w:gridCol w:w="1222"/>
        <w:gridCol w:w="1486"/>
        <w:gridCol w:w="1383"/>
      </w:tblGrid>
      <w:tr w:rsidR="00401DAC" w:rsidRPr="0038726B" w:rsidTr="00616AE2">
        <w:trPr>
          <w:jc w:val="center"/>
        </w:trPr>
        <w:tc>
          <w:tcPr>
            <w:tcW w:w="6023" w:type="dxa"/>
            <w:gridSpan w:val="4"/>
          </w:tcPr>
          <w:p w:rsidR="00401DAC" w:rsidRPr="00616AE2" w:rsidRDefault="00401DAC" w:rsidP="00401DA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16AE2">
              <w:rPr>
                <w:color w:val="000000"/>
                <w:sz w:val="20"/>
                <w:szCs w:val="20"/>
                <w:lang w:val="uk-UA"/>
              </w:rPr>
              <w:t xml:space="preserve">Кошти цільового фінансування </w:t>
            </w:r>
            <w:r w:rsidR="00B23FEC" w:rsidRPr="00616AE2">
              <w:rPr>
                <w:sz w:val="20"/>
                <w:szCs w:val="20"/>
                <w:lang w:val="uk-UA"/>
              </w:rPr>
              <w:t>на фінансування заходів з функціонування</w:t>
            </w:r>
          </w:p>
        </w:tc>
        <w:tc>
          <w:tcPr>
            <w:tcW w:w="5171" w:type="dxa"/>
            <w:gridSpan w:val="4"/>
          </w:tcPr>
          <w:p w:rsidR="00401DAC" w:rsidRPr="00616AE2" w:rsidRDefault="00401DAC" w:rsidP="00401DA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16AE2">
              <w:rPr>
                <w:color w:val="000000"/>
                <w:sz w:val="20"/>
                <w:szCs w:val="20"/>
                <w:lang w:val="uk-UA"/>
              </w:rPr>
              <w:t xml:space="preserve">Кошти </w:t>
            </w:r>
            <w:r w:rsidR="00B23FEC" w:rsidRPr="00616AE2">
              <w:rPr>
                <w:color w:val="000000"/>
                <w:sz w:val="20"/>
                <w:szCs w:val="20"/>
                <w:lang w:val="uk-UA"/>
              </w:rPr>
              <w:t>цільового фінансування</w:t>
            </w:r>
            <w:r w:rsidRPr="00616AE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D13E45" w:rsidRPr="00616AE2">
              <w:rPr>
                <w:sz w:val="20"/>
                <w:szCs w:val="20"/>
                <w:lang w:val="uk-UA"/>
              </w:rPr>
              <w:t>н</w:t>
            </w:r>
            <w:r w:rsidR="00B23FEC" w:rsidRPr="00616AE2">
              <w:rPr>
                <w:sz w:val="20"/>
                <w:szCs w:val="20"/>
                <w:lang w:val="uk-UA"/>
              </w:rPr>
              <w:t>а розвит</w:t>
            </w:r>
            <w:r w:rsidR="00D13E45" w:rsidRPr="00616AE2">
              <w:rPr>
                <w:sz w:val="20"/>
                <w:szCs w:val="20"/>
                <w:lang w:val="uk-UA"/>
              </w:rPr>
              <w:t>о</w:t>
            </w:r>
            <w:r w:rsidR="00B23FEC" w:rsidRPr="00616AE2">
              <w:rPr>
                <w:sz w:val="20"/>
                <w:szCs w:val="20"/>
                <w:lang w:val="uk-UA"/>
              </w:rPr>
              <w:t>к системи пошуку і рятування</w:t>
            </w:r>
          </w:p>
        </w:tc>
      </w:tr>
      <w:tr w:rsidR="00622899" w:rsidRPr="0038726B" w:rsidTr="00616AE2">
        <w:trPr>
          <w:jc w:val="center"/>
        </w:trPr>
        <w:tc>
          <w:tcPr>
            <w:tcW w:w="1389" w:type="dxa"/>
            <w:tcBorders>
              <w:right w:val="single" w:sz="4" w:space="0" w:color="auto"/>
            </w:tcBorders>
          </w:tcPr>
          <w:p w:rsidR="00622899" w:rsidRPr="00616AE2" w:rsidRDefault="00622899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16AE2">
              <w:rPr>
                <w:color w:val="000000"/>
                <w:sz w:val="20"/>
                <w:szCs w:val="20"/>
                <w:lang w:val="uk-UA"/>
              </w:rPr>
              <w:t>Усього</w:t>
            </w:r>
          </w:p>
          <w:p w:rsidR="00616AE2" w:rsidRPr="00616AE2" w:rsidRDefault="00616AE2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16AE2">
              <w:rPr>
                <w:color w:val="000000"/>
                <w:sz w:val="20"/>
                <w:szCs w:val="20"/>
                <w:lang w:val="uk-UA"/>
              </w:rPr>
              <w:t>надходжень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22899" w:rsidRPr="00616AE2" w:rsidRDefault="00622899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16AE2">
              <w:rPr>
                <w:color w:val="000000"/>
                <w:sz w:val="20"/>
                <w:szCs w:val="20"/>
                <w:lang w:val="uk-UA"/>
              </w:rPr>
              <w:t xml:space="preserve">відсоток від загальної суми отриманих коштів </w:t>
            </w:r>
            <w:r w:rsidR="00950A79">
              <w:rPr>
                <w:color w:val="000000"/>
                <w:sz w:val="20"/>
                <w:szCs w:val="20"/>
                <w:lang w:val="uk-UA"/>
              </w:rPr>
              <w:t>за рік</w:t>
            </w:r>
          </w:p>
        </w:tc>
        <w:tc>
          <w:tcPr>
            <w:tcW w:w="1551" w:type="dxa"/>
          </w:tcPr>
          <w:p w:rsidR="00622899" w:rsidRPr="00616AE2" w:rsidRDefault="00622899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16AE2">
              <w:rPr>
                <w:color w:val="000000"/>
                <w:sz w:val="20"/>
                <w:szCs w:val="20"/>
                <w:lang w:val="uk-UA"/>
              </w:rPr>
              <w:t>Доходи цільового фінансування  201</w:t>
            </w:r>
            <w:r w:rsidRPr="00616AE2">
              <w:rPr>
                <w:color w:val="000000"/>
                <w:sz w:val="20"/>
                <w:szCs w:val="20"/>
              </w:rPr>
              <w:t>8</w:t>
            </w:r>
            <w:r w:rsidRPr="00616AE2">
              <w:rPr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10" w:type="dxa"/>
          </w:tcPr>
          <w:p w:rsidR="00622899" w:rsidRPr="00616AE2" w:rsidRDefault="00622899" w:rsidP="00622899">
            <w:pPr>
              <w:jc w:val="center"/>
              <w:rPr>
                <w:color w:val="000000"/>
                <w:sz w:val="20"/>
                <w:szCs w:val="20"/>
              </w:rPr>
            </w:pPr>
            <w:r w:rsidRPr="00616AE2">
              <w:rPr>
                <w:color w:val="000000"/>
                <w:sz w:val="20"/>
                <w:szCs w:val="20"/>
                <w:lang w:val="uk-UA"/>
              </w:rPr>
              <w:t xml:space="preserve">Залишок коштів цільового фінансування на функціонування </w:t>
            </w:r>
            <w:r w:rsidRPr="00616AE2">
              <w:rPr>
                <w:color w:val="000000"/>
                <w:sz w:val="20"/>
                <w:szCs w:val="20"/>
              </w:rPr>
              <w:t>станом на 3</w:t>
            </w:r>
            <w:r w:rsidR="00EE4D4A">
              <w:rPr>
                <w:color w:val="000000"/>
                <w:sz w:val="20"/>
                <w:szCs w:val="20"/>
                <w:lang w:val="uk-UA"/>
              </w:rPr>
              <w:t>1</w:t>
            </w:r>
            <w:r w:rsidRPr="00616AE2">
              <w:rPr>
                <w:color w:val="000000"/>
                <w:sz w:val="20"/>
                <w:szCs w:val="20"/>
              </w:rPr>
              <w:t>.</w:t>
            </w:r>
            <w:r w:rsidR="00EE4D4A">
              <w:rPr>
                <w:color w:val="000000"/>
                <w:sz w:val="20"/>
                <w:szCs w:val="20"/>
                <w:lang w:val="uk-UA"/>
              </w:rPr>
              <w:t>12</w:t>
            </w:r>
            <w:r w:rsidRPr="00616AE2">
              <w:rPr>
                <w:color w:val="000000"/>
                <w:sz w:val="20"/>
                <w:szCs w:val="20"/>
              </w:rPr>
              <w:t>.201</w:t>
            </w:r>
            <w:r w:rsidRPr="00616AE2">
              <w:rPr>
                <w:color w:val="000000"/>
                <w:sz w:val="20"/>
                <w:szCs w:val="20"/>
                <w:lang w:val="uk-UA"/>
              </w:rPr>
              <w:t>8</w:t>
            </w:r>
            <w:r w:rsidRPr="00616AE2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622899" w:rsidRPr="00616AE2" w:rsidRDefault="00622899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16AE2">
              <w:rPr>
                <w:color w:val="000000"/>
                <w:sz w:val="20"/>
                <w:szCs w:val="20"/>
                <w:lang w:val="uk-UA"/>
              </w:rPr>
              <w:t xml:space="preserve">Усього надходжень 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22899" w:rsidRPr="00616AE2" w:rsidRDefault="00622899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16AE2">
              <w:rPr>
                <w:color w:val="000000"/>
                <w:sz w:val="20"/>
                <w:szCs w:val="20"/>
                <w:lang w:val="uk-UA"/>
              </w:rPr>
              <w:t xml:space="preserve">відсоток від загальної суми отриманих коштів </w:t>
            </w:r>
            <w:r w:rsidR="00950A79">
              <w:rPr>
                <w:color w:val="000000"/>
                <w:sz w:val="20"/>
                <w:szCs w:val="20"/>
                <w:lang w:val="uk-UA"/>
              </w:rPr>
              <w:t>за рік</w:t>
            </w:r>
          </w:p>
        </w:tc>
        <w:tc>
          <w:tcPr>
            <w:tcW w:w="1551" w:type="dxa"/>
          </w:tcPr>
          <w:p w:rsidR="00622899" w:rsidRPr="00616AE2" w:rsidRDefault="00622899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16AE2">
              <w:rPr>
                <w:color w:val="000000"/>
                <w:sz w:val="20"/>
                <w:szCs w:val="20"/>
                <w:lang w:val="uk-UA"/>
              </w:rPr>
              <w:t xml:space="preserve">Доходи цільового фінансування 2018 року </w:t>
            </w:r>
          </w:p>
        </w:tc>
        <w:tc>
          <w:tcPr>
            <w:tcW w:w="958" w:type="dxa"/>
          </w:tcPr>
          <w:p w:rsidR="00622899" w:rsidRPr="00616AE2" w:rsidRDefault="00622899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16AE2">
              <w:rPr>
                <w:color w:val="000000"/>
                <w:sz w:val="20"/>
                <w:szCs w:val="20"/>
                <w:lang w:val="uk-UA"/>
              </w:rPr>
              <w:t xml:space="preserve">Залишок коштів цільового фінансування на розвиток функції </w:t>
            </w:r>
            <w:r w:rsidRPr="00616AE2">
              <w:rPr>
                <w:color w:val="000000"/>
                <w:sz w:val="20"/>
                <w:szCs w:val="20"/>
              </w:rPr>
              <w:t>станом на 3</w:t>
            </w:r>
            <w:r w:rsidR="00EE4D4A">
              <w:rPr>
                <w:color w:val="000000"/>
                <w:sz w:val="20"/>
                <w:szCs w:val="20"/>
                <w:lang w:val="uk-UA"/>
              </w:rPr>
              <w:t>1</w:t>
            </w:r>
            <w:r w:rsidRPr="00616AE2">
              <w:rPr>
                <w:color w:val="000000"/>
                <w:sz w:val="20"/>
                <w:szCs w:val="20"/>
              </w:rPr>
              <w:t>.</w:t>
            </w:r>
            <w:r w:rsidR="00EE4D4A">
              <w:rPr>
                <w:color w:val="000000"/>
                <w:sz w:val="20"/>
                <w:szCs w:val="20"/>
                <w:lang w:val="uk-UA"/>
              </w:rPr>
              <w:t>12</w:t>
            </w:r>
            <w:r w:rsidRPr="00616AE2">
              <w:rPr>
                <w:color w:val="000000"/>
                <w:sz w:val="20"/>
                <w:szCs w:val="20"/>
              </w:rPr>
              <w:t>.201</w:t>
            </w:r>
            <w:r w:rsidRPr="00616AE2">
              <w:rPr>
                <w:color w:val="000000"/>
                <w:sz w:val="20"/>
                <w:szCs w:val="20"/>
                <w:lang w:val="uk-UA"/>
              </w:rPr>
              <w:t>8</w:t>
            </w:r>
            <w:r w:rsidRPr="00616AE2">
              <w:rPr>
                <w:color w:val="000000"/>
                <w:sz w:val="20"/>
                <w:szCs w:val="20"/>
              </w:rPr>
              <w:t>р.</w:t>
            </w:r>
          </w:p>
        </w:tc>
      </w:tr>
      <w:tr w:rsidR="00622899" w:rsidRPr="0038726B" w:rsidTr="00616AE2">
        <w:trPr>
          <w:jc w:val="center"/>
        </w:trPr>
        <w:tc>
          <w:tcPr>
            <w:tcW w:w="1389" w:type="dxa"/>
            <w:tcBorders>
              <w:right w:val="single" w:sz="4" w:space="0" w:color="auto"/>
            </w:tcBorders>
          </w:tcPr>
          <w:p w:rsidR="00622899" w:rsidRPr="001B5465" w:rsidRDefault="00840C1D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174 140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22899" w:rsidRPr="00616AE2" w:rsidRDefault="006B1B6D" w:rsidP="0062289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</w:t>
            </w:r>
            <w:r w:rsidR="00622899" w:rsidRPr="00616AE2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1" w:type="dxa"/>
          </w:tcPr>
          <w:p w:rsidR="00622899" w:rsidRPr="001B5465" w:rsidRDefault="004925A8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158 1</w:t>
            </w:r>
            <w:r w:rsidR="00367D9E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810" w:type="dxa"/>
          </w:tcPr>
          <w:p w:rsidR="00622899" w:rsidRPr="00616AE2" w:rsidRDefault="008475E6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</w:t>
            </w:r>
            <w:r w:rsidR="004925A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331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622899" w:rsidRPr="001B5465" w:rsidRDefault="004925A8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42 958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22899" w:rsidRPr="00616AE2" w:rsidRDefault="006B1B6D" w:rsidP="0062289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</w:t>
            </w:r>
            <w:r w:rsidR="00622899" w:rsidRPr="00616AE2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551" w:type="dxa"/>
          </w:tcPr>
          <w:p w:rsidR="00622899" w:rsidRPr="00616AE2" w:rsidRDefault="004925A8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23 155</w:t>
            </w:r>
          </w:p>
        </w:tc>
        <w:tc>
          <w:tcPr>
            <w:tcW w:w="958" w:type="dxa"/>
          </w:tcPr>
          <w:p w:rsidR="00622899" w:rsidRPr="00616AE2" w:rsidRDefault="008475E6" w:rsidP="0062289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67</w:t>
            </w:r>
            <w:r w:rsidR="004925A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392</w:t>
            </w:r>
          </w:p>
        </w:tc>
      </w:tr>
    </w:tbl>
    <w:p w:rsidR="00401DAC" w:rsidRPr="0038726B" w:rsidRDefault="00401DAC" w:rsidP="002205BA">
      <w:pPr>
        <w:ind w:firstLine="708"/>
        <w:jc w:val="both"/>
        <w:rPr>
          <w:color w:val="000000"/>
          <w:lang w:val="uk-UA"/>
        </w:rPr>
      </w:pPr>
    </w:p>
    <w:p w:rsidR="00E64007" w:rsidRPr="0038726B" w:rsidRDefault="00E64007" w:rsidP="002205BA">
      <w:pPr>
        <w:ind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t xml:space="preserve">Залишок коштів цільового фінансування на розвиток функції </w:t>
      </w:r>
      <w:r w:rsidR="00950A79">
        <w:rPr>
          <w:color w:val="000000"/>
          <w:lang w:val="uk-UA"/>
        </w:rPr>
        <w:t xml:space="preserve">пошуку та рятування на морі </w:t>
      </w:r>
      <w:r w:rsidRPr="0038726B">
        <w:rPr>
          <w:color w:val="000000"/>
          <w:lang w:val="uk-UA"/>
        </w:rPr>
        <w:t xml:space="preserve">станом на кінець звітного періоду складає </w:t>
      </w:r>
      <w:r w:rsidR="008475E6">
        <w:rPr>
          <w:color w:val="000000"/>
          <w:lang w:val="uk-UA"/>
        </w:rPr>
        <w:t>67392</w:t>
      </w:r>
      <w:r w:rsidRPr="0038726B">
        <w:rPr>
          <w:color w:val="000000"/>
          <w:lang w:val="uk-UA"/>
        </w:rPr>
        <w:t xml:space="preserve"> тис</w:t>
      </w:r>
      <w:r w:rsidR="00622C38">
        <w:rPr>
          <w:color w:val="000000"/>
          <w:lang w:val="uk-UA"/>
        </w:rPr>
        <w:t>.</w:t>
      </w:r>
      <w:r w:rsidRPr="0038726B">
        <w:rPr>
          <w:color w:val="000000"/>
          <w:lang w:val="uk-UA"/>
        </w:rPr>
        <w:t xml:space="preserve"> грн. Кошт</w:t>
      </w:r>
      <w:r w:rsidR="00274A8E">
        <w:rPr>
          <w:color w:val="000000"/>
          <w:lang w:val="uk-UA"/>
        </w:rPr>
        <w:t>и</w:t>
      </w:r>
      <w:r w:rsidRPr="0038726B">
        <w:rPr>
          <w:color w:val="000000"/>
          <w:lang w:val="uk-UA"/>
        </w:rPr>
        <w:t xml:space="preserve"> акумулюються та плануються до використання  на будівництво Базових станцій морського району А1, А2 ГМЗЛБ, технічне переоснащення об’єктів ГМЗЛБ</w:t>
      </w:r>
      <w:r w:rsidR="008475E6">
        <w:rPr>
          <w:color w:val="000000"/>
          <w:lang w:val="uk-UA"/>
        </w:rPr>
        <w:t xml:space="preserve">, </w:t>
      </w:r>
      <w:r w:rsidR="008475E6">
        <w:rPr>
          <w:rFonts w:eastAsia="Calibri"/>
          <w:color w:val="000000" w:themeColor="text1"/>
          <w:lang w:val="uk-UA" w:eastAsia="en-US"/>
        </w:rPr>
        <w:t>розвитку морської складової системи пошуку і рятування</w:t>
      </w:r>
      <w:r w:rsidRPr="0038726B">
        <w:rPr>
          <w:color w:val="000000"/>
          <w:lang w:val="uk-UA"/>
        </w:rPr>
        <w:t xml:space="preserve">  у відповідності до фінансового плану 201</w:t>
      </w:r>
      <w:r w:rsidR="008475E6">
        <w:rPr>
          <w:color w:val="000000"/>
          <w:lang w:val="uk-UA"/>
        </w:rPr>
        <w:t>9</w:t>
      </w:r>
      <w:r w:rsidRPr="0038726B">
        <w:rPr>
          <w:color w:val="000000"/>
          <w:lang w:val="uk-UA"/>
        </w:rPr>
        <w:t xml:space="preserve"> року</w:t>
      </w:r>
      <w:r w:rsidR="008475E6">
        <w:rPr>
          <w:color w:val="000000"/>
          <w:lang w:val="uk-UA"/>
        </w:rPr>
        <w:t xml:space="preserve"> та Стратегічного плану КП «МПРС» на 2017-2021 роки</w:t>
      </w:r>
      <w:r w:rsidRPr="0038726B">
        <w:rPr>
          <w:color w:val="000000"/>
          <w:lang w:val="uk-UA"/>
        </w:rPr>
        <w:t>.</w:t>
      </w:r>
    </w:p>
    <w:p w:rsidR="00E64007" w:rsidRDefault="00E64007" w:rsidP="002205BA">
      <w:pPr>
        <w:ind w:firstLine="708"/>
        <w:jc w:val="both"/>
        <w:rPr>
          <w:color w:val="000000"/>
          <w:lang w:val="uk-UA"/>
        </w:rPr>
      </w:pPr>
    </w:p>
    <w:p w:rsidR="008C3CD6" w:rsidRPr="00B03014" w:rsidRDefault="004F3EE2" w:rsidP="004F3EE2">
      <w:pPr>
        <w:ind w:firstLine="708"/>
        <w:jc w:val="both"/>
        <w:rPr>
          <w:color w:val="000000"/>
          <w:lang w:val="uk-UA"/>
        </w:rPr>
      </w:pPr>
      <w:r w:rsidRPr="00B03014">
        <w:rPr>
          <w:color w:val="000000"/>
          <w:lang w:val="uk-UA"/>
        </w:rPr>
        <w:t>Собівартість реалізованої продукції (товарів, робіт та послуг) за 201</w:t>
      </w:r>
      <w:r w:rsidR="00F02670" w:rsidRPr="00B03014">
        <w:rPr>
          <w:color w:val="000000"/>
          <w:lang w:val="uk-UA"/>
        </w:rPr>
        <w:t>8</w:t>
      </w:r>
      <w:r w:rsidRPr="00B03014">
        <w:rPr>
          <w:color w:val="000000"/>
          <w:lang w:val="uk-UA"/>
        </w:rPr>
        <w:t xml:space="preserve"> р</w:t>
      </w:r>
      <w:r w:rsidR="00A02849" w:rsidRPr="00B03014">
        <w:rPr>
          <w:color w:val="000000"/>
          <w:lang w:val="uk-UA"/>
        </w:rPr>
        <w:t xml:space="preserve">ік </w:t>
      </w:r>
      <w:r w:rsidRPr="00B03014">
        <w:rPr>
          <w:color w:val="000000"/>
          <w:lang w:val="uk-UA"/>
        </w:rPr>
        <w:t>скла</w:t>
      </w:r>
      <w:r w:rsidR="002E501E" w:rsidRPr="00B03014">
        <w:rPr>
          <w:color w:val="000000"/>
          <w:lang w:val="uk-UA"/>
        </w:rPr>
        <w:t xml:space="preserve">дає </w:t>
      </w:r>
      <w:r w:rsidR="00B03014" w:rsidRPr="00B03014">
        <w:rPr>
          <w:color w:val="000000"/>
          <w:lang w:val="uk-UA"/>
        </w:rPr>
        <w:t>119299</w:t>
      </w:r>
      <w:r w:rsidR="00B64E00" w:rsidRPr="00B03014">
        <w:rPr>
          <w:color w:val="000000"/>
          <w:lang w:val="uk-UA"/>
        </w:rPr>
        <w:t xml:space="preserve"> </w:t>
      </w:r>
      <w:r w:rsidR="002E501E" w:rsidRPr="00B03014">
        <w:rPr>
          <w:color w:val="000000"/>
          <w:lang w:val="uk-UA"/>
        </w:rPr>
        <w:t>тис. грн.</w:t>
      </w:r>
      <w:r w:rsidR="003942A8" w:rsidRPr="00B03014">
        <w:rPr>
          <w:color w:val="000000"/>
          <w:lang w:val="uk-UA"/>
        </w:rPr>
        <w:t xml:space="preserve">, що на </w:t>
      </w:r>
      <w:r w:rsidR="00622C38" w:rsidRPr="00B03014">
        <w:rPr>
          <w:color w:val="000000"/>
          <w:lang w:val="uk-UA"/>
        </w:rPr>
        <w:t>1</w:t>
      </w:r>
      <w:r w:rsidR="00B03014" w:rsidRPr="00B03014">
        <w:rPr>
          <w:color w:val="000000"/>
          <w:lang w:val="uk-UA"/>
        </w:rPr>
        <w:t>9</w:t>
      </w:r>
      <w:r w:rsidR="00554938" w:rsidRPr="00B03014">
        <w:rPr>
          <w:color w:val="000000"/>
          <w:lang w:val="uk-UA"/>
        </w:rPr>
        <w:t>,</w:t>
      </w:r>
      <w:r w:rsidR="00B03014" w:rsidRPr="00B03014">
        <w:rPr>
          <w:color w:val="000000"/>
          <w:lang w:val="uk-UA"/>
        </w:rPr>
        <w:t>9</w:t>
      </w:r>
      <w:r w:rsidR="00554938" w:rsidRPr="00B03014">
        <w:rPr>
          <w:color w:val="000000"/>
          <w:lang w:val="uk-UA"/>
        </w:rPr>
        <w:t xml:space="preserve"> </w:t>
      </w:r>
      <w:r w:rsidR="00225EFF" w:rsidRPr="00B03014">
        <w:rPr>
          <w:color w:val="000000"/>
          <w:lang w:val="uk-UA"/>
        </w:rPr>
        <w:t xml:space="preserve">% </w:t>
      </w:r>
      <w:r w:rsidR="003942A8" w:rsidRPr="00B03014">
        <w:rPr>
          <w:color w:val="000000"/>
          <w:lang w:val="uk-UA"/>
        </w:rPr>
        <w:t xml:space="preserve">менш ніж </w:t>
      </w:r>
      <w:r w:rsidR="009E3D49" w:rsidRPr="00B03014">
        <w:rPr>
          <w:color w:val="000000"/>
          <w:lang w:val="uk-UA"/>
        </w:rPr>
        <w:t>за</w:t>
      </w:r>
      <w:r w:rsidR="005B4FDF" w:rsidRPr="00B03014">
        <w:rPr>
          <w:color w:val="000000"/>
          <w:lang w:val="uk-UA"/>
        </w:rPr>
        <w:t>планов</w:t>
      </w:r>
      <w:r w:rsidR="009E3D49" w:rsidRPr="00B03014">
        <w:rPr>
          <w:color w:val="000000"/>
          <w:lang w:val="uk-UA"/>
        </w:rPr>
        <w:t>ан</w:t>
      </w:r>
      <w:r w:rsidR="003942A8" w:rsidRPr="00B03014">
        <w:rPr>
          <w:color w:val="000000"/>
          <w:lang w:val="uk-UA"/>
        </w:rPr>
        <w:t>ий</w:t>
      </w:r>
      <w:r w:rsidR="00225EFF" w:rsidRPr="00B03014">
        <w:rPr>
          <w:color w:val="000000"/>
          <w:lang w:val="uk-UA"/>
        </w:rPr>
        <w:t xml:space="preserve"> показник</w:t>
      </w:r>
      <w:r w:rsidR="00950A79">
        <w:rPr>
          <w:color w:val="000000"/>
          <w:lang w:val="uk-UA"/>
        </w:rPr>
        <w:t xml:space="preserve"> на рік</w:t>
      </w:r>
      <w:r w:rsidR="00225EFF" w:rsidRPr="00B03014">
        <w:rPr>
          <w:color w:val="000000"/>
          <w:lang w:val="uk-UA"/>
        </w:rPr>
        <w:t>. Статі витрат щодо собівартості</w:t>
      </w:r>
      <w:r w:rsidR="002E501E" w:rsidRPr="00B03014">
        <w:rPr>
          <w:color w:val="000000"/>
          <w:lang w:val="uk-UA"/>
        </w:rPr>
        <w:t xml:space="preserve"> </w:t>
      </w:r>
      <w:r w:rsidR="00DA78A2" w:rsidRPr="00B03014">
        <w:rPr>
          <w:color w:val="000000"/>
          <w:lang w:val="uk-UA"/>
        </w:rPr>
        <w:t>наведені в таблиці 3.</w:t>
      </w:r>
    </w:p>
    <w:p w:rsidR="00676736" w:rsidRPr="006B1B6D" w:rsidRDefault="00676736" w:rsidP="00676736">
      <w:pPr>
        <w:ind w:left="7788" w:firstLine="708"/>
        <w:jc w:val="both"/>
        <w:rPr>
          <w:color w:val="000000"/>
          <w:sz w:val="22"/>
          <w:szCs w:val="22"/>
          <w:lang w:val="uk-UA"/>
        </w:rPr>
      </w:pPr>
      <w:r w:rsidRPr="006B1B6D">
        <w:rPr>
          <w:color w:val="000000"/>
          <w:sz w:val="22"/>
          <w:szCs w:val="22"/>
          <w:lang w:val="uk-UA"/>
        </w:rPr>
        <w:t>Таблиця 3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559"/>
        <w:gridCol w:w="1559"/>
      </w:tblGrid>
      <w:tr w:rsidR="006B1B6D" w:rsidRPr="006B1B6D" w:rsidTr="00872100">
        <w:trPr>
          <w:trHeight w:val="4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6D" w:rsidRPr="006B1B6D" w:rsidRDefault="006B1B6D" w:rsidP="00F1206F">
            <w:pPr>
              <w:jc w:val="center"/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6D" w:rsidRPr="00676736" w:rsidRDefault="006B1B6D" w:rsidP="006B1B6D">
            <w:pPr>
              <w:jc w:val="center"/>
              <w:rPr>
                <w:sz w:val="22"/>
                <w:szCs w:val="22"/>
              </w:rPr>
            </w:pPr>
            <w:r w:rsidRPr="00676736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6D" w:rsidRPr="00676736" w:rsidRDefault="006B1B6D" w:rsidP="006B1B6D">
            <w:pPr>
              <w:jc w:val="center"/>
              <w:rPr>
                <w:sz w:val="22"/>
                <w:szCs w:val="22"/>
              </w:rPr>
            </w:pPr>
            <w:r w:rsidRPr="00676736">
              <w:rPr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6D" w:rsidRPr="00676736" w:rsidRDefault="006B1B6D" w:rsidP="006B1B6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6736">
              <w:rPr>
                <w:sz w:val="22"/>
                <w:szCs w:val="22"/>
              </w:rPr>
              <w:t>відхилення</w:t>
            </w:r>
            <w:proofErr w:type="spellEnd"/>
            <w:r w:rsidRPr="00676736">
              <w:rPr>
                <w:sz w:val="22"/>
                <w:szCs w:val="22"/>
              </w:rPr>
              <w:t>,  +</w:t>
            </w:r>
            <w:proofErr w:type="gramEnd"/>
            <w:r w:rsidRPr="00676736">
              <w:rPr>
                <w:sz w:val="22"/>
                <w:szCs w:val="22"/>
              </w:rPr>
              <w:t>/–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6D" w:rsidRDefault="006B1B6D" w:rsidP="006B1B6D">
            <w:pPr>
              <w:jc w:val="center"/>
              <w:rPr>
                <w:sz w:val="22"/>
                <w:szCs w:val="22"/>
              </w:rPr>
            </w:pPr>
            <w:proofErr w:type="spellStart"/>
            <w:r w:rsidRPr="00676736">
              <w:rPr>
                <w:sz w:val="22"/>
                <w:szCs w:val="22"/>
              </w:rPr>
              <w:t>виконання</w:t>
            </w:r>
            <w:proofErr w:type="spellEnd"/>
            <w:r w:rsidRPr="00676736">
              <w:rPr>
                <w:sz w:val="22"/>
                <w:szCs w:val="22"/>
              </w:rPr>
              <w:t xml:space="preserve">, </w:t>
            </w:r>
          </w:p>
          <w:p w:rsidR="006B1B6D" w:rsidRPr="00676736" w:rsidRDefault="006B1B6D" w:rsidP="006B1B6D">
            <w:pPr>
              <w:jc w:val="center"/>
              <w:rPr>
                <w:sz w:val="22"/>
                <w:szCs w:val="22"/>
              </w:rPr>
            </w:pPr>
            <w:r w:rsidRPr="00676736">
              <w:rPr>
                <w:sz w:val="22"/>
                <w:szCs w:val="22"/>
              </w:rPr>
              <w:t>%</w:t>
            </w:r>
          </w:p>
        </w:tc>
      </w:tr>
      <w:tr w:rsidR="008C1C51" w:rsidRPr="006B1B6D" w:rsidTr="008C1C51">
        <w:trPr>
          <w:trHeight w:val="20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1" w:rsidRPr="00A3195C" w:rsidRDefault="008C1C51" w:rsidP="008C1C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1" w:rsidRDefault="008C1C51" w:rsidP="008C1C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1" w:rsidRDefault="008C1C51" w:rsidP="008C1C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1" w:rsidRDefault="008C1C51" w:rsidP="008C1C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1" w:rsidRDefault="008C1C51" w:rsidP="008C1C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AF73AA" w:rsidRPr="006B1B6D" w:rsidTr="00872100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AA" w:rsidRPr="00A3195C" w:rsidRDefault="00AF73AA" w:rsidP="00AF73AA">
            <w:pPr>
              <w:rPr>
                <w:sz w:val="22"/>
                <w:szCs w:val="22"/>
                <w:lang w:val="uk-UA"/>
              </w:rPr>
            </w:pPr>
            <w:r w:rsidRPr="00A3195C">
              <w:rPr>
                <w:sz w:val="22"/>
                <w:szCs w:val="22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AA" w:rsidRPr="00AF73AA" w:rsidRDefault="00AF73AA" w:rsidP="00AF73AA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148 930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AA" w:rsidRPr="00AF73AA" w:rsidRDefault="00AF73AA" w:rsidP="00AF73AA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119 299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AA" w:rsidRPr="00AF73AA" w:rsidRDefault="00AF73AA" w:rsidP="00AF73AA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-29 361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AA" w:rsidRPr="00AF73AA" w:rsidRDefault="00AF73AA" w:rsidP="00AF73AA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80,1</w:t>
            </w:r>
          </w:p>
        </w:tc>
      </w:tr>
      <w:tr w:rsidR="00B21CFC" w:rsidRPr="006B1B6D" w:rsidTr="00B21CFC">
        <w:trPr>
          <w:trHeight w:val="5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FC" w:rsidRPr="006B1B6D" w:rsidRDefault="00B21CFC" w:rsidP="00B21C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FC" w:rsidRPr="00B21CFC" w:rsidRDefault="00B21CFC" w:rsidP="00B21CFC">
            <w:pPr>
              <w:jc w:val="center"/>
              <w:rPr>
                <w:sz w:val="22"/>
                <w:szCs w:val="22"/>
                <w:lang w:val="uk-UA"/>
              </w:rPr>
            </w:pPr>
            <w:r w:rsidRPr="00B21C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FC" w:rsidRPr="00B21CFC" w:rsidRDefault="00B21CFC" w:rsidP="00B21CFC">
            <w:pPr>
              <w:jc w:val="center"/>
              <w:rPr>
                <w:sz w:val="22"/>
                <w:szCs w:val="22"/>
                <w:lang w:val="uk-UA"/>
              </w:rPr>
            </w:pPr>
            <w:r w:rsidRPr="00B21C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FC" w:rsidRPr="00B21CFC" w:rsidRDefault="00B21CFC" w:rsidP="00B21CFC">
            <w:pPr>
              <w:jc w:val="center"/>
              <w:rPr>
                <w:sz w:val="22"/>
                <w:szCs w:val="22"/>
                <w:lang w:val="uk-UA"/>
              </w:rPr>
            </w:pPr>
            <w:r w:rsidRPr="00B21C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FC" w:rsidRPr="00B21CFC" w:rsidRDefault="00B21CFC" w:rsidP="00B21CFC">
            <w:pPr>
              <w:jc w:val="center"/>
              <w:rPr>
                <w:sz w:val="22"/>
                <w:szCs w:val="22"/>
                <w:lang w:val="uk-UA"/>
              </w:rPr>
            </w:pPr>
            <w:r w:rsidRPr="00B21CFC">
              <w:rPr>
                <w:sz w:val="22"/>
                <w:szCs w:val="22"/>
                <w:lang w:val="uk-UA"/>
              </w:rPr>
              <w:t>5</w:t>
            </w:r>
          </w:p>
        </w:tc>
      </w:tr>
      <w:tr w:rsidR="00AF73AA" w:rsidRPr="006B1B6D" w:rsidTr="00872100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Витрати на сировину та основні матеріали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8 077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3 081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6B1B6D">
              <w:rPr>
                <w:sz w:val="22"/>
                <w:szCs w:val="22"/>
              </w:rPr>
              <w:t>4 996,0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38,1</w:t>
            </w:r>
          </w:p>
        </w:tc>
      </w:tr>
      <w:tr w:rsidR="00AF73AA" w:rsidRPr="006B1B6D" w:rsidTr="009D73AE">
        <w:trPr>
          <w:trHeight w:val="31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 xml:space="preserve">Витрати на паливо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14 374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 8 126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6B1B6D">
              <w:rPr>
                <w:sz w:val="22"/>
                <w:szCs w:val="22"/>
              </w:rPr>
              <w:t>6 248,0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56,5</w:t>
            </w:r>
          </w:p>
        </w:tc>
      </w:tr>
      <w:tr w:rsidR="00AF73AA" w:rsidRPr="006B1B6D" w:rsidTr="009D73AE">
        <w:trPr>
          <w:trHeight w:val="40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Витрати на електроенергію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6B1B6D">
              <w:rPr>
                <w:sz w:val="22"/>
                <w:szCs w:val="22"/>
              </w:rPr>
              <w:t>192,0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78,1</w:t>
            </w:r>
          </w:p>
        </w:tc>
      </w:tr>
      <w:tr w:rsidR="00AF73AA" w:rsidRPr="006B1B6D" w:rsidTr="0087210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70 335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62 806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6B1B6D">
              <w:rPr>
                <w:sz w:val="22"/>
                <w:szCs w:val="22"/>
              </w:rPr>
              <w:t>7 529,0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89,3</w:t>
            </w:r>
          </w:p>
        </w:tc>
      </w:tr>
      <w:tr w:rsidR="00AF73AA" w:rsidRPr="006B1B6D" w:rsidTr="00872100">
        <w:trPr>
          <w:trHeight w:val="4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15 474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13 646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6B1B6D">
              <w:rPr>
                <w:sz w:val="22"/>
                <w:szCs w:val="22"/>
              </w:rPr>
              <w:t>1 828,0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88,2</w:t>
            </w:r>
          </w:p>
        </w:tc>
      </w:tr>
      <w:tr w:rsidR="00AF73AA" w:rsidRPr="006B1B6D" w:rsidTr="00F1206F">
        <w:trPr>
          <w:trHeight w:val="135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Витрати, що здійснюються для підтримання об’єкта в робочому стані (проведення ремонту, технічного огляду, нагляду, обслуговування тощо)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9 843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  6 069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6B1B6D">
              <w:rPr>
                <w:sz w:val="22"/>
                <w:szCs w:val="22"/>
              </w:rPr>
              <w:t>3 774,0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61,7</w:t>
            </w:r>
          </w:p>
        </w:tc>
      </w:tr>
      <w:tr w:rsidR="00AF73AA" w:rsidRPr="006B1B6D" w:rsidTr="00950A79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Амортизація основних засобів і нематеріальних активів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14 692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13 800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6B1B6D">
              <w:rPr>
                <w:sz w:val="22"/>
                <w:szCs w:val="22"/>
              </w:rPr>
              <w:t>892,0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93,9</w:t>
            </w:r>
          </w:p>
        </w:tc>
      </w:tr>
      <w:tr w:rsidR="00AF73AA" w:rsidRPr="006B1B6D" w:rsidTr="00872100">
        <w:trPr>
          <w:trHeight w:val="4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Інші витрати</w:t>
            </w:r>
            <w:r w:rsidR="00FF2D25">
              <w:rPr>
                <w:sz w:val="22"/>
                <w:szCs w:val="22"/>
                <w:lang w:val="uk-UA"/>
              </w:rPr>
              <w:t>, у тому числі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15 257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11 085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6B1B6D">
              <w:rPr>
                <w:sz w:val="22"/>
                <w:szCs w:val="22"/>
              </w:rPr>
              <w:t>4 172,0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72,7</w:t>
            </w:r>
          </w:p>
        </w:tc>
      </w:tr>
      <w:tr w:rsidR="00AF73AA" w:rsidRPr="006B1B6D" w:rsidTr="00872100">
        <w:trPr>
          <w:trHeight w:val="2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використання основних засобів сторонніх організацій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B1B6D">
              <w:rPr>
                <w:sz w:val="22"/>
                <w:szCs w:val="22"/>
                <w:lang w:val="uk-UA"/>
              </w:rPr>
              <w:t>та відшкодування витрат на їх утримання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6 516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  5 898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6B1B6D">
              <w:rPr>
                <w:sz w:val="22"/>
                <w:szCs w:val="22"/>
              </w:rPr>
              <w:t>618,0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90,5</w:t>
            </w:r>
          </w:p>
        </w:tc>
      </w:tr>
      <w:tr w:rsidR="00AF73AA" w:rsidRPr="006B1B6D" w:rsidTr="00872100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витрати на відрядження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1 762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  1 143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6B1B6D">
              <w:rPr>
                <w:sz w:val="22"/>
                <w:szCs w:val="22"/>
              </w:rPr>
              <w:t>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64,9</w:t>
            </w:r>
          </w:p>
        </w:tc>
      </w:tr>
      <w:tr w:rsidR="00AF73AA" w:rsidRPr="006B1B6D" w:rsidTr="00872100">
        <w:trPr>
          <w:trHeight w:val="25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AA" w:rsidRPr="005D701A" w:rsidRDefault="00AF73AA" w:rsidP="00AF73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AA" w:rsidRPr="005D701A" w:rsidRDefault="00AF73AA" w:rsidP="00AF73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AA" w:rsidRPr="005D701A" w:rsidRDefault="00AF73AA" w:rsidP="00AF73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2935.0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</w:tr>
      <w:tr w:rsidR="00AF73AA" w:rsidRPr="006B1B6D" w:rsidTr="00872100">
        <w:trPr>
          <w:trHeight w:val="25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Витрати на охорону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1B6D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70,4</w:t>
            </w:r>
          </w:p>
        </w:tc>
      </w:tr>
      <w:tr w:rsidR="00AF73AA" w:rsidRPr="006B1B6D" w:rsidTr="0087210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Витрати на обслуговування автотранспорту (</w:t>
            </w:r>
            <w:proofErr w:type="spellStart"/>
            <w:r w:rsidRPr="006B1B6D">
              <w:rPr>
                <w:sz w:val="22"/>
                <w:szCs w:val="22"/>
                <w:lang w:val="uk-UA"/>
              </w:rPr>
              <w:t>шиномонтаж</w:t>
            </w:r>
            <w:proofErr w:type="spellEnd"/>
            <w:r w:rsidRPr="006B1B6D">
              <w:rPr>
                <w:sz w:val="22"/>
                <w:szCs w:val="22"/>
                <w:lang w:val="uk-UA"/>
              </w:rPr>
              <w:t>, мийка)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1B6D">
              <w:rPr>
                <w:sz w:val="22"/>
                <w:szCs w:val="22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57,3</w:t>
            </w:r>
          </w:p>
        </w:tc>
      </w:tr>
      <w:tr w:rsidR="00AF73AA" w:rsidRPr="006B1B6D" w:rsidTr="00872100">
        <w:trPr>
          <w:trHeight w:val="1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Витрати на зв'язок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1 512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1B6D">
              <w:rPr>
                <w:sz w:val="22"/>
                <w:szCs w:val="22"/>
              </w:rPr>
              <w:t>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55,4</w:t>
            </w:r>
          </w:p>
        </w:tc>
      </w:tr>
      <w:tr w:rsidR="00AF73AA" w:rsidRPr="006B1B6D" w:rsidTr="00872100">
        <w:trPr>
          <w:trHeight w:val="3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Витрати на навчання виробничого персоналу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1B6D">
              <w:rPr>
                <w:sz w:val="22"/>
                <w:szCs w:val="22"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64,9</w:t>
            </w:r>
          </w:p>
        </w:tc>
      </w:tr>
      <w:tr w:rsidR="00AF73AA" w:rsidRPr="006B1B6D" w:rsidTr="00872100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Витрати на страхування плавзасобів, членів екіпажу, автотранспорту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center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1B6D">
              <w:rPr>
                <w:sz w:val="22"/>
                <w:szCs w:val="22"/>
              </w:rPr>
              <w:t>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0,0</w:t>
            </w:r>
          </w:p>
        </w:tc>
      </w:tr>
      <w:tr w:rsidR="00AF73AA" w:rsidRPr="006B1B6D" w:rsidTr="0087210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Послуги, що надаються суднам у місцях стоянки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   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1B6D"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99,7</w:t>
            </w:r>
          </w:p>
        </w:tc>
      </w:tr>
      <w:tr w:rsidR="00AF73AA" w:rsidRPr="006B1B6D" w:rsidTr="00872100">
        <w:trPr>
          <w:trHeight w:val="4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Витрати на охорону навколишнього середовища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   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1B6D">
              <w:rPr>
                <w:sz w:val="22"/>
                <w:szCs w:val="22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50,8</w:t>
            </w:r>
          </w:p>
        </w:tc>
      </w:tr>
      <w:tr w:rsidR="00AF73AA" w:rsidRPr="006B1B6D" w:rsidTr="0087210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Послуги СЕС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     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1B6D">
              <w:rPr>
                <w:sz w:val="22"/>
                <w:szCs w:val="22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36,7</w:t>
            </w:r>
          </w:p>
        </w:tc>
      </w:tr>
      <w:tr w:rsidR="00AF73AA" w:rsidRPr="006B1B6D" w:rsidTr="00872100">
        <w:trPr>
          <w:trHeight w:val="4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 xml:space="preserve">Організаційно-технічні послуги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1 389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1B6D">
              <w:rPr>
                <w:sz w:val="22"/>
                <w:szCs w:val="22"/>
              </w:rPr>
              <w:t>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43,3</w:t>
            </w:r>
          </w:p>
        </w:tc>
      </w:tr>
      <w:tr w:rsidR="00AF73AA" w:rsidRPr="006B1B6D" w:rsidTr="00872100">
        <w:trPr>
          <w:trHeight w:val="5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Плата за використання радіочастотного ресурсу, земельний податок, податок на нерухомість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   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1B6D">
              <w:rPr>
                <w:sz w:val="22"/>
                <w:szCs w:val="22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74,5</w:t>
            </w:r>
          </w:p>
        </w:tc>
      </w:tr>
      <w:tr w:rsidR="00AF73AA" w:rsidRPr="006B1B6D" w:rsidTr="0087210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Витрати щодо послуг ДІКМС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center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  <w:lang w:val="en-US"/>
              </w:rPr>
              <w:t>3</w:t>
            </w:r>
            <w:r w:rsidRPr="006B1B6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100,0</w:t>
            </w:r>
          </w:p>
        </w:tc>
      </w:tr>
      <w:tr w:rsidR="00AF73AA" w:rsidRPr="006B1B6D" w:rsidTr="00872100">
        <w:trPr>
          <w:trHeight w:val="46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 xml:space="preserve">Витрати на утримання основних </w:t>
            </w:r>
            <w:r w:rsidR="00332A64">
              <w:rPr>
                <w:sz w:val="22"/>
                <w:szCs w:val="22"/>
                <w:lang w:val="uk-UA"/>
              </w:rPr>
              <w:t>засобів</w:t>
            </w:r>
            <w:r w:rsidRPr="006B1B6D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6B1B6D">
              <w:rPr>
                <w:sz w:val="22"/>
                <w:szCs w:val="22"/>
                <w:lang w:val="uk-UA"/>
              </w:rPr>
              <w:t>м.Бердянськ</w:t>
            </w:r>
            <w:proofErr w:type="spellEnd"/>
            <w:r w:rsidRPr="006B1B6D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B1B6D">
              <w:rPr>
                <w:sz w:val="22"/>
                <w:szCs w:val="22"/>
                <w:lang w:val="uk-UA"/>
              </w:rPr>
              <w:t>вул.Горького</w:t>
            </w:r>
            <w:proofErr w:type="spellEnd"/>
            <w:r w:rsidRPr="006B1B6D">
              <w:rPr>
                <w:sz w:val="22"/>
                <w:szCs w:val="22"/>
                <w:lang w:val="uk-UA"/>
              </w:rPr>
              <w:t>. 12; с</w:t>
            </w:r>
            <w:r w:rsidR="00332A64">
              <w:rPr>
                <w:sz w:val="22"/>
                <w:szCs w:val="22"/>
                <w:lang w:val="uk-UA"/>
              </w:rPr>
              <w:t xml:space="preserve">мт </w:t>
            </w:r>
            <w:r w:rsidRPr="006B1B6D">
              <w:rPr>
                <w:sz w:val="22"/>
                <w:szCs w:val="22"/>
                <w:lang w:val="uk-UA"/>
              </w:rPr>
              <w:t>Олександрівка)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    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1B6D">
              <w:rPr>
                <w:sz w:val="22"/>
                <w:szCs w:val="22"/>
              </w:rPr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80,1</w:t>
            </w:r>
          </w:p>
        </w:tc>
      </w:tr>
      <w:tr w:rsidR="00AF73AA" w:rsidRPr="006B1B6D" w:rsidTr="0087210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rPr>
                <w:sz w:val="22"/>
                <w:szCs w:val="22"/>
                <w:lang w:val="uk-UA"/>
              </w:rPr>
            </w:pPr>
            <w:r w:rsidRPr="006B1B6D">
              <w:rPr>
                <w:sz w:val="22"/>
                <w:szCs w:val="22"/>
                <w:lang w:val="uk-UA"/>
              </w:rPr>
              <w:t>Водопостачання суден КП "МПРС"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 xml:space="preserve">                   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1B6D"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AA" w:rsidRPr="006B1B6D" w:rsidRDefault="00AF73AA" w:rsidP="00AF73AA">
            <w:pPr>
              <w:jc w:val="right"/>
              <w:rPr>
                <w:sz w:val="22"/>
                <w:szCs w:val="22"/>
              </w:rPr>
            </w:pPr>
            <w:r w:rsidRPr="006B1B6D">
              <w:rPr>
                <w:sz w:val="22"/>
                <w:szCs w:val="22"/>
              </w:rPr>
              <w:t>0,0</w:t>
            </w:r>
          </w:p>
        </w:tc>
      </w:tr>
    </w:tbl>
    <w:p w:rsidR="006B1B6D" w:rsidRDefault="006B1B6D" w:rsidP="006B1B6D">
      <w:pPr>
        <w:jc w:val="both"/>
        <w:rPr>
          <w:color w:val="000000"/>
          <w:lang w:val="uk-UA"/>
        </w:rPr>
      </w:pPr>
    </w:p>
    <w:p w:rsidR="002B25D2" w:rsidRDefault="00CA745E" w:rsidP="002B25D2">
      <w:pPr>
        <w:ind w:firstLine="708"/>
        <w:jc w:val="both"/>
        <w:rPr>
          <w:color w:val="000000"/>
          <w:lang w:val="uk-UA"/>
        </w:rPr>
      </w:pPr>
      <w:r w:rsidRPr="00EA6221">
        <w:rPr>
          <w:color w:val="000000"/>
          <w:lang w:val="uk-UA"/>
        </w:rPr>
        <w:lastRenderedPageBreak/>
        <w:t xml:space="preserve">Витрати на </w:t>
      </w:r>
      <w:r>
        <w:rPr>
          <w:color w:val="000000"/>
          <w:lang w:val="uk-UA"/>
        </w:rPr>
        <w:t>сировину та основні матеріали (рядок 1011) виконані на 38,1%</w:t>
      </w:r>
      <w:r w:rsidRPr="00EA6221">
        <w:rPr>
          <w:color w:val="000000"/>
        </w:rPr>
        <w:t xml:space="preserve"> </w:t>
      </w:r>
      <w:r>
        <w:rPr>
          <w:color w:val="000000"/>
          <w:lang w:val="uk-UA"/>
        </w:rPr>
        <w:t>у</w:t>
      </w:r>
      <w:r w:rsidRPr="00EA6221">
        <w:rPr>
          <w:color w:val="000000"/>
        </w:rPr>
        <w:t xml:space="preserve"> </w:t>
      </w:r>
      <w:r>
        <w:rPr>
          <w:color w:val="000000"/>
          <w:lang w:val="uk-UA"/>
        </w:rPr>
        <w:t xml:space="preserve">зв’язку із наступними причинами. </w:t>
      </w:r>
      <w:r>
        <w:rPr>
          <w:lang w:val="uk-UA"/>
        </w:rPr>
        <w:t xml:space="preserve">Заплановано використання запчастин у сумі 300 тис. грн. при проведенні </w:t>
      </w:r>
      <w:r w:rsidRPr="004F102F">
        <w:rPr>
          <w:lang w:val="uk-UA"/>
        </w:rPr>
        <w:t>техніч</w:t>
      </w:r>
      <w:r>
        <w:rPr>
          <w:lang w:val="uk-UA"/>
        </w:rPr>
        <w:t>ного</w:t>
      </w:r>
      <w:r w:rsidRPr="004F102F">
        <w:rPr>
          <w:lang w:val="uk-UA"/>
        </w:rPr>
        <w:t xml:space="preserve"> обслуговування р/с Сапфір, ПРК-06</w:t>
      </w:r>
      <w:r>
        <w:rPr>
          <w:lang w:val="uk-UA"/>
        </w:rPr>
        <w:t>,</w:t>
      </w:r>
      <w:r w:rsidRPr="004F102F">
        <w:rPr>
          <w:lang w:val="uk-UA"/>
        </w:rPr>
        <w:t xml:space="preserve"> </w:t>
      </w:r>
      <w:r>
        <w:rPr>
          <w:lang w:val="uk-UA"/>
        </w:rPr>
        <w:t xml:space="preserve">але </w:t>
      </w:r>
      <w:r w:rsidRPr="004F102F">
        <w:rPr>
          <w:lang w:val="uk-UA"/>
        </w:rPr>
        <w:t>відповідно до договору №153-в-18 від 03.10.2018 з ТОВ "</w:t>
      </w:r>
      <w:proofErr w:type="spellStart"/>
      <w:r w:rsidRPr="004F102F">
        <w:rPr>
          <w:lang w:val="uk-UA"/>
        </w:rPr>
        <w:t>Судоремонт</w:t>
      </w:r>
      <w:proofErr w:type="spellEnd"/>
      <w:r w:rsidRPr="004F102F">
        <w:rPr>
          <w:lang w:val="uk-UA"/>
        </w:rPr>
        <w:t xml:space="preserve">" </w:t>
      </w:r>
      <w:r>
        <w:rPr>
          <w:lang w:val="uk-UA"/>
        </w:rPr>
        <w:t xml:space="preserve">технічне обслуговування  суден </w:t>
      </w:r>
      <w:r w:rsidRPr="004F102F">
        <w:rPr>
          <w:lang w:val="uk-UA"/>
        </w:rPr>
        <w:t xml:space="preserve">проводилося з використанням запасних частин та матеріалів </w:t>
      </w:r>
      <w:r>
        <w:rPr>
          <w:lang w:val="uk-UA"/>
        </w:rPr>
        <w:t>в</w:t>
      </w:r>
      <w:r w:rsidRPr="004F102F">
        <w:rPr>
          <w:lang w:val="uk-UA"/>
        </w:rPr>
        <w:t>иконавця</w:t>
      </w:r>
      <w:r>
        <w:rPr>
          <w:lang w:val="uk-UA"/>
        </w:rPr>
        <w:t xml:space="preserve">. </w:t>
      </w:r>
      <w:r w:rsidRPr="00CA745E">
        <w:rPr>
          <w:color w:val="000000"/>
          <w:lang w:val="uk-UA"/>
        </w:rPr>
        <w:t>Витрати на запчастини при проведенні аварійних ремонтів були заплановані у сумі 715 тис.</w:t>
      </w:r>
      <w:r>
        <w:rPr>
          <w:color w:val="000000"/>
          <w:lang w:val="uk-UA"/>
        </w:rPr>
        <w:t xml:space="preserve"> </w:t>
      </w:r>
      <w:r w:rsidRPr="00CA745E">
        <w:rPr>
          <w:color w:val="000000"/>
          <w:lang w:val="uk-UA"/>
        </w:rPr>
        <w:t>грн., проте проведення аварійних ремонтів у звітному періоді</w:t>
      </w:r>
      <w:r w:rsidR="00332A64">
        <w:rPr>
          <w:color w:val="000000"/>
          <w:lang w:val="uk-UA"/>
        </w:rPr>
        <w:t xml:space="preserve"> підприємство не проводило</w:t>
      </w:r>
      <w:r>
        <w:rPr>
          <w:color w:val="000000"/>
          <w:lang w:val="uk-UA"/>
        </w:rPr>
        <w:t>.</w:t>
      </w:r>
      <w:r>
        <w:rPr>
          <w:lang w:val="uk-UA"/>
        </w:rPr>
        <w:t xml:space="preserve"> </w:t>
      </w:r>
      <w:r w:rsidRPr="00CA745E">
        <w:rPr>
          <w:color w:val="000000"/>
          <w:lang w:val="uk-UA"/>
        </w:rPr>
        <w:t xml:space="preserve">В результаті торгів </w:t>
      </w:r>
      <w:r>
        <w:rPr>
          <w:lang w:val="uk-UA"/>
        </w:rPr>
        <w:t xml:space="preserve">при проведенні закупівлі запасних частин для ремонту </w:t>
      </w:r>
      <w:r w:rsidR="00332A64">
        <w:rPr>
          <w:lang w:val="uk-UA"/>
        </w:rPr>
        <w:t>пошуково-рятувальних катерів (</w:t>
      </w:r>
      <w:r>
        <w:rPr>
          <w:lang w:val="uk-UA"/>
        </w:rPr>
        <w:t>ПРК</w:t>
      </w:r>
      <w:r w:rsidR="00257E7F">
        <w:rPr>
          <w:lang w:val="uk-UA"/>
        </w:rPr>
        <w:t>-</w:t>
      </w:r>
      <w:r>
        <w:rPr>
          <w:lang w:val="uk-UA"/>
        </w:rPr>
        <w:t>01-ПРК-06</w:t>
      </w:r>
      <w:r w:rsidR="00332A64">
        <w:rPr>
          <w:lang w:val="uk-UA"/>
        </w:rPr>
        <w:t>)</w:t>
      </w:r>
      <w:r>
        <w:rPr>
          <w:lang w:val="uk-UA"/>
        </w:rPr>
        <w:t xml:space="preserve"> </w:t>
      </w:r>
      <w:r w:rsidRPr="00CA745E">
        <w:rPr>
          <w:color w:val="000000"/>
          <w:lang w:val="uk-UA"/>
        </w:rPr>
        <w:t xml:space="preserve">економія </w:t>
      </w:r>
      <w:r w:rsidR="002B25D2">
        <w:rPr>
          <w:color w:val="000000"/>
          <w:lang w:val="uk-UA"/>
        </w:rPr>
        <w:t xml:space="preserve">склала </w:t>
      </w:r>
      <w:r w:rsidRPr="00CA745E">
        <w:rPr>
          <w:color w:val="000000"/>
        </w:rPr>
        <w:t>6%</w:t>
      </w:r>
      <w:r>
        <w:rPr>
          <w:color w:val="000000"/>
          <w:lang w:val="uk-UA"/>
        </w:rPr>
        <w:t>, також бул</w:t>
      </w:r>
      <w:r w:rsidR="002B25D2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скориговані потреби у заміні </w:t>
      </w:r>
      <w:r w:rsidRPr="00CA745E">
        <w:rPr>
          <w:color w:val="000000"/>
          <w:lang w:val="uk-UA"/>
        </w:rPr>
        <w:t>вузлів та агрегатів від</w:t>
      </w:r>
      <w:r>
        <w:rPr>
          <w:color w:val="000000"/>
          <w:lang w:val="uk-UA"/>
        </w:rPr>
        <w:t>повідно до</w:t>
      </w:r>
      <w:r w:rsidRPr="00CA745E">
        <w:rPr>
          <w:color w:val="000000"/>
          <w:lang w:val="uk-UA"/>
        </w:rPr>
        <w:t xml:space="preserve"> фактичного напрацювання </w:t>
      </w:r>
      <w:proofErr w:type="spellStart"/>
      <w:r w:rsidRPr="00CA745E">
        <w:rPr>
          <w:color w:val="000000"/>
          <w:lang w:val="uk-UA"/>
        </w:rPr>
        <w:t>мотогодин</w:t>
      </w:r>
      <w:proofErr w:type="spellEnd"/>
      <w:r w:rsidRPr="00CA745E">
        <w:rPr>
          <w:color w:val="000000"/>
          <w:lang w:val="uk-UA"/>
        </w:rPr>
        <w:t xml:space="preserve"> суден</w:t>
      </w:r>
      <w:r w:rsidR="002B25D2">
        <w:rPr>
          <w:color w:val="000000"/>
          <w:lang w:val="uk-UA"/>
        </w:rPr>
        <w:t xml:space="preserve">. </w:t>
      </w:r>
      <w:r w:rsidRPr="00CA745E">
        <w:rPr>
          <w:color w:val="000000"/>
          <w:lang w:val="uk-UA"/>
        </w:rPr>
        <w:t xml:space="preserve"> </w:t>
      </w:r>
      <w:r w:rsidR="002B25D2">
        <w:rPr>
          <w:color w:val="000000"/>
          <w:lang w:val="uk-UA"/>
        </w:rPr>
        <w:t>Загальна економія на змінно-запасних частинах при проведенні ремонту ПРК</w:t>
      </w:r>
      <w:r w:rsidR="00257E7F">
        <w:rPr>
          <w:color w:val="000000"/>
          <w:lang w:val="uk-UA"/>
        </w:rPr>
        <w:t>-</w:t>
      </w:r>
      <w:r w:rsidR="002B25D2">
        <w:rPr>
          <w:color w:val="000000"/>
          <w:lang w:val="uk-UA"/>
        </w:rPr>
        <w:t>01 – ПРК</w:t>
      </w:r>
      <w:r w:rsidR="00257E7F">
        <w:rPr>
          <w:color w:val="000000"/>
          <w:lang w:val="uk-UA"/>
        </w:rPr>
        <w:t>-</w:t>
      </w:r>
      <w:r w:rsidR="002B25D2">
        <w:rPr>
          <w:color w:val="000000"/>
          <w:lang w:val="uk-UA"/>
        </w:rPr>
        <w:t xml:space="preserve">06 </w:t>
      </w:r>
      <w:r w:rsidRPr="00CA745E">
        <w:rPr>
          <w:color w:val="000000"/>
          <w:lang w:val="uk-UA"/>
        </w:rPr>
        <w:t>склала 619 тис.</w:t>
      </w:r>
      <w:r w:rsidR="002B25D2">
        <w:rPr>
          <w:color w:val="000000"/>
          <w:lang w:val="uk-UA"/>
        </w:rPr>
        <w:t xml:space="preserve"> </w:t>
      </w:r>
      <w:r w:rsidRPr="00CA745E">
        <w:rPr>
          <w:color w:val="000000"/>
          <w:lang w:val="uk-UA"/>
        </w:rPr>
        <w:t>грн.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У 4 кварталі </w:t>
      </w:r>
      <w:r w:rsidR="00332A64">
        <w:rPr>
          <w:lang w:val="uk-UA"/>
        </w:rPr>
        <w:t xml:space="preserve">2018 року </w:t>
      </w:r>
      <w:r>
        <w:rPr>
          <w:lang w:val="uk-UA"/>
        </w:rPr>
        <w:t xml:space="preserve">планувалась заміна  </w:t>
      </w:r>
      <w:r w:rsidRPr="004F102F">
        <w:rPr>
          <w:lang w:val="uk-UA"/>
        </w:rPr>
        <w:t xml:space="preserve">зарядного пристрою </w:t>
      </w:r>
      <w:r w:rsidR="00332A64">
        <w:rPr>
          <w:lang w:val="uk-UA"/>
        </w:rPr>
        <w:t>на</w:t>
      </w:r>
      <w:r w:rsidRPr="004F102F">
        <w:rPr>
          <w:lang w:val="uk-UA"/>
        </w:rPr>
        <w:t xml:space="preserve"> ПРК</w:t>
      </w:r>
      <w:r w:rsidR="00257E7F">
        <w:rPr>
          <w:lang w:val="uk-UA"/>
        </w:rPr>
        <w:t>-</w:t>
      </w:r>
      <w:r w:rsidRPr="004F102F">
        <w:rPr>
          <w:lang w:val="uk-UA"/>
        </w:rPr>
        <w:t>03</w:t>
      </w:r>
      <w:r>
        <w:rPr>
          <w:lang w:val="uk-UA"/>
        </w:rPr>
        <w:t xml:space="preserve"> </w:t>
      </w:r>
      <w:proofErr w:type="spellStart"/>
      <w:r w:rsidRPr="004F102F">
        <w:rPr>
          <w:lang w:val="uk-UA"/>
        </w:rPr>
        <w:t>Phoenix</w:t>
      </w:r>
      <w:proofErr w:type="spellEnd"/>
      <w:r w:rsidRPr="004F102F">
        <w:rPr>
          <w:lang w:val="uk-UA"/>
        </w:rPr>
        <w:t xml:space="preserve"> </w:t>
      </w:r>
      <w:proofErr w:type="spellStart"/>
      <w:r w:rsidRPr="004F102F">
        <w:rPr>
          <w:lang w:val="uk-UA"/>
        </w:rPr>
        <w:t>Compact</w:t>
      </w:r>
      <w:proofErr w:type="spellEnd"/>
      <w:r w:rsidRPr="004F102F">
        <w:rPr>
          <w:lang w:val="uk-UA"/>
        </w:rPr>
        <w:t xml:space="preserve"> 12/3000 12/220 3КВт орієнтовною вартістю 66 тис.</w:t>
      </w:r>
      <w:r>
        <w:rPr>
          <w:lang w:val="uk-UA"/>
        </w:rPr>
        <w:t xml:space="preserve"> </w:t>
      </w:r>
      <w:r w:rsidRPr="004F102F">
        <w:rPr>
          <w:lang w:val="uk-UA"/>
        </w:rPr>
        <w:t>грн.</w:t>
      </w:r>
      <w:r>
        <w:rPr>
          <w:lang w:val="uk-UA"/>
        </w:rPr>
        <w:t xml:space="preserve">, але за причиною невідповідності тендерним умовам наданих пропозицій учасниками відкритих торгів, торги були відмінені. </w:t>
      </w:r>
      <w:r w:rsidRPr="004F102F">
        <w:rPr>
          <w:lang w:val="uk-UA"/>
        </w:rPr>
        <w:t xml:space="preserve">Витрати на фарбу заплановані в сумі </w:t>
      </w:r>
      <w:r w:rsidR="002B25D2">
        <w:rPr>
          <w:lang w:val="uk-UA"/>
        </w:rPr>
        <w:t>4</w:t>
      </w:r>
      <w:r w:rsidRPr="004F102F">
        <w:rPr>
          <w:lang w:val="uk-UA"/>
        </w:rPr>
        <w:t>00 тис.</w:t>
      </w:r>
      <w:r>
        <w:rPr>
          <w:lang w:val="uk-UA"/>
        </w:rPr>
        <w:t xml:space="preserve"> </w:t>
      </w:r>
      <w:r w:rsidRPr="004F102F">
        <w:rPr>
          <w:lang w:val="uk-UA"/>
        </w:rPr>
        <w:t>грн.</w:t>
      </w:r>
      <w:r w:rsidRPr="0057052C">
        <w:t xml:space="preserve"> </w:t>
      </w:r>
      <w:r w:rsidRPr="004F102F">
        <w:rPr>
          <w:lang w:val="uk-UA"/>
        </w:rPr>
        <w:t>Договір на постачання фарб</w:t>
      </w:r>
      <w:r>
        <w:rPr>
          <w:lang w:val="uk-UA"/>
        </w:rPr>
        <w:t>и,</w:t>
      </w:r>
      <w:r w:rsidRPr="004F102F">
        <w:rPr>
          <w:lang w:val="uk-UA"/>
        </w:rPr>
        <w:t xml:space="preserve"> після проведення повторних торгів</w:t>
      </w:r>
      <w:r>
        <w:rPr>
          <w:lang w:val="uk-UA"/>
        </w:rPr>
        <w:t>,</w:t>
      </w:r>
      <w:r w:rsidRPr="004F102F">
        <w:rPr>
          <w:lang w:val="uk-UA"/>
        </w:rPr>
        <w:t xml:space="preserve"> було </w:t>
      </w:r>
      <w:r>
        <w:rPr>
          <w:lang w:val="uk-UA"/>
        </w:rPr>
        <w:t xml:space="preserve">складено </w:t>
      </w:r>
      <w:r w:rsidRPr="004F102F">
        <w:rPr>
          <w:lang w:val="uk-UA"/>
        </w:rPr>
        <w:t xml:space="preserve">лише </w:t>
      </w:r>
      <w:r>
        <w:rPr>
          <w:lang w:val="uk-UA"/>
        </w:rPr>
        <w:t>наприкінці року. Фактичні витрати на спецодяг складають 30% від запланованого рівня.</w:t>
      </w:r>
      <w:r w:rsidR="002B25D2">
        <w:rPr>
          <w:lang w:val="uk-UA"/>
        </w:rPr>
        <w:t xml:space="preserve"> </w:t>
      </w:r>
      <w:r w:rsidR="002B25D2" w:rsidRPr="00CA745E">
        <w:rPr>
          <w:color w:val="000000"/>
          <w:lang w:val="uk-UA"/>
        </w:rPr>
        <w:t xml:space="preserve">Витрати на продукти харчування для екіпажу р/с "Сапфір" та на </w:t>
      </w:r>
      <w:proofErr w:type="spellStart"/>
      <w:r w:rsidR="002B25D2" w:rsidRPr="00CA745E">
        <w:rPr>
          <w:color w:val="000000"/>
          <w:lang w:val="uk-UA"/>
        </w:rPr>
        <w:t>сухпайки</w:t>
      </w:r>
      <w:proofErr w:type="spellEnd"/>
      <w:r w:rsidR="002B25D2" w:rsidRPr="00CA745E">
        <w:rPr>
          <w:color w:val="000000"/>
          <w:lang w:val="uk-UA"/>
        </w:rPr>
        <w:t xml:space="preserve"> для екіпажів ПРК фактично склали 81% від плану на рік.</w:t>
      </w:r>
    </w:p>
    <w:p w:rsidR="002B25D2" w:rsidRDefault="00CA745E" w:rsidP="002B25D2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="002B25D2">
        <w:rPr>
          <w:color w:val="000000"/>
          <w:lang w:val="uk-UA"/>
        </w:rPr>
        <w:t>Витрати на паливо (рядок 1012) виконані на 56,5%</w:t>
      </w:r>
      <w:r w:rsidR="00D976E3">
        <w:rPr>
          <w:color w:val="000000"/>
          <w:lang w:val="uk-UA"/>
        </w:rPr>
        <w:t xml:space="preserve"> від плану</w:t>
      </w:r>
      <w:r w:rsidR="002B25D2">
        <w:rPr>
          <w:color w:val="000000"/>
          <w:lang w:val="uk-UA"/>
        </w:rPr>
        <w:t xml:space="preserve">. </w:t>
      </w:r>
      <w:r w:rsidR="002B25D2" w:rsidRPr="00F74480">
        <w:rPr>
          <w:color w:val="000000"/>
          <w:lang w:val="uk-UA"/>
        </w:rPr>
        <w:t xml:space="preserve">Графік навчально-тренувальних заходів </w:t>
      </w:r>
      <w:r w:rsidR="002B25D2">
        <w:rPr>
          <w:color w:val="000000"/>
          <w:lang w:val="uk-UA"/>
        </w:rPr>
        <w:t xml:space="preserve">пошуково-рятувальних суден у </w:t>
      </w:r>
      <w:proofErr w:type="spellStart"/>
      <w:r w:rsidR="00F103DE">
        <w:rPr>
          <w:color w:val="000000"/>
          <w:lang w:val="uk-UA"/>
        </w:rPr>
        <w:t>прикінці</w:t>
      </w:r>
      <w:proofErr w:type="spellEnd"/>
      <w:r w:rsidR="00F103DE">
        <w:rPr>
          <w:color w:val="000000"/>
          <w:lang w:val="uk-UA"/>
        </w:rPr>
        <w:t xml:space="preserve"> року </w:t>
      </w:r>
      <w:r w:rsidR="002B25D2">
        <w:rPr>
          <w:color w:val="000000"/>
          <w:lang w:val="uk-UA"/>
        </w:rPr>
        <w:t xml:space="preserve">було </w:t>
      </w:r>
      <w:r w:rsidR="002B25D2" w:rsidRPr="00F74480">
        <w:rPr>
          <w:color w:val="000000"/>
          <w:lang w:val="uk-UA"/>
        </w:rPr>
        <w:t>скоригован</w:t>
      </w:r>
      <w:r w:rsidR="002B25D2">
        <w:rPr>
          <w:color w:val="000000"/>
          <w:lang w:val="uk-UA"/>
        </w:rPr>
        <w:t>о</w:t>
      </w:r>
      <w:r w:rsidR="002B25D2" w:rsidRPr="00F74480">
        <w:rPr>
          <w:color w:val="000000"/>
          <w:lang w:val="uk-UA"/>
        </w:rPr>
        <w:t xml:space="preserve"> виходячи із фактичного залишку пального </w:t>
      </w:r>
      <w:r w:rsidR="002B25D2">
        <w:rPr>
          <w:color w:val="000000"/>
          <w:lang w:val="uk-UA"/>
        </w:rPr>
        <w:t xml:space="preserve">та очікуваного строку складання договору на закупівлю пального. </w:t>
      </w:r>
    </w:p>
    <w:p w:rsidR="00EA6221" w:rsidRPr="00112F34" w:rsidRDefault="00EA6221" w:rsidP="00216021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Витрати на електроенергію </w:t>
      </w:r>
      <w:r w:rsidR="00A267A5">
        <w:rPr>
          <w:color w:val="000000"/>
          <w:lang w:val="uk-UA"/>
        </w:rPr>
        <w:t>(рядок 1</w:t>
      </w:r>
      <w:r w:rsidR="002B25D2">
        <w:rPr>
          <w:color w:val="000000"/>
          <w:lang w:val="uk-UA"/>
        </w:rPr>
        <w:t>0</w:t>
      </w:r>
      <w:r w:rsidR="00A267A5">
        <w:rPr>
          <w:color w:val="000000"/>
          <w:lang w:val="uk-UA"/>
        </w:rPr>
        <w:t xml:space="preserve">13) </w:t>
      </w:r>
      <w:r>
        <w:rPr>
          <w:color w:val="000000"/>
          <w:lang w:val="uk-UA"/>
        </w:rPr>
        <w:t xml:space="preserve">виконані на </w:t>
      </w:r>
      <w:r w:rsidR="002B25D2">
        <w:rPr>
          <w:color w:val="000000"/>
          <w:lang w:val="uk-UA"/>
        </w:rPr>
        <w:t>78</w:t>
      </w:r>
      <w:r>
        <w:rPr>
          <w:color w:val="000000"/>
          <w:lang w:val="uk-UA"/>
        </w:rPr>
        <w:t>,</w:t>
      </w:r>
      <w:r w:rsidR="002B25D2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% від планового показника. </w:t>
      </w:r>
      <w:r w:rsidRPr="00EA6221">
        <w:rPr>
          <w:color w:val="000000"/>
          <w:lang w:val="uk-UA"/>
        </w:rPr>
        <w:t xml:space="preserve">У зв'язку з відсутністю статистики по фактичному споживанню суднами електроенергії планові витрати були </w:t>
      </w:r>
      <w:r w:rsidR="00CE2CAB">
        <w:rPr>
          <w:color w:val="000000"/>
          <w:lang w:val="uk-UA"/>
        </w:rPr>
        <w:t xml:space="preserve">розраховані </w:t>
      </w:r>
      <w:r w:rsidRPr="00EA6221">
        <w:rPr>
          <w:color w:val="000000"/>
          <w:lang w:val="uk-UA"/>
        </w:rPr>
        <w:t>виходячи з максимального споживання електроенергії</w:t>
      </w:r>
      <w:r w:rsidRPr="00112F34">
        <w:rPr>
          <w:color w:val="000000"/>
          <w:lang w:val="uk-UA"/>
        </w:rPr>
        <w:t>.</w:t>
      </w:r>
    </w:p>
    <w:p w:rsidR="00C8067D" w:rsidRPr="00CB0887" w:rsidRDefault="00CB363B" w:rsidP="00216021">
      <w:pPr>
        <w:ind w:firstLine="708"/>
        <w:jc w:val="both"/>
        <w:rPr>
          <w:color w:val="000000"/>
          <w:lang w:val="uk-UA"/>
        </w:rPr>
      </w:pPr>
      <w:r w:rsidRPr="00112F34">
        <w:rPr>
          <w:color w:val="000000"/>
          <w:lang w:val="uk-UA"/>
        </w:rPr>
        <w:t>Виконання статті витрат на проведення технічного обслуговування та ремонтів (рядок 1016) складає 61,7%</w:t>
      </w:r>
      <w:r w:rsidR="00A421B6" w:rsidRPr="00112F34">
        <w:rPr>
          <w:color w:val="000000"/>
          <w:lang w:val="uk-UA"/>
        </w:rPr>
        <w:t xml:space="preserve"> від плану</w:t>
      </w:r>
      <w:r w:rsidRPr="00112F34">
        <w:rPr>
          <w:color w:val="000000"/>
          <w:lang w:val="uk-UA"/>
        </w:rPr>
        <w:t xml:space="preserve">. </w:t>
      </w:r>
      <w:r w:rsidR="00CB0887" w:rsidRPr="00112F34">
        <w:rPr>
          <w:color w:val="000000"/>
          <w:lang w:val="uk-UA"/>
        </w:rPr>
        <w:t>Економія на витратах на проведення ремонту та технічного огляду</w:t>
      </w:r>
      <w:r w:rsidR="00AD1BA6">
        <w:rPr>
          <w:color w:val="000000"/>
          <w:lang w:val="uk-UA"/>
        </w:rPr>
        <w:t xml:space="preserve"> плавзасобів, </w:t>
      </w:r>
      <w:r w:rsidR="000B3B4F">
        <w:rPr>
          <w:color w:val="000000"/>
          <w:lang w:val="uk-UA"/>
        </w:rPr>
        <w:t xml:space="preserve">автотранспорту, технічного обслуговування та </w:t>
      </w:r>
      <w:proofErr w:type="spellStart"/>
      <w:r w:rsidR="000B3B4F">
        <w:rPr>
          <w:color w:val="000000"/>
          <w:lang w:val="uk-UA"/>
        </w:rPr>
        <w:t>опосвідчення</w:t>
      </w:r>
      <w:proofErr w:type="spellEnd"/>
      <w:r w:rsidR="000B3B4F">
        <w:rPr>
          <w:color w:val="000000"/>
          <w:lang w:val="uk-UA"/>
        </w:rPr>
        <w:t xml:space="preserve"> </w:t>
      </w:r>
      <w:r w:rsidR="00AD1BA6">
        <w:rPr>
          <w:color w:val="000000"/>
          <w:lang w:val="uk-UA"/>
        </w:rPr>
        <w:t>аварійно-рятувального майна</w:t>
      </w:r>
      <w:r w:rsidR="000B3B4F">
        <w:rPr>
          <w:color w:val="000000"/>
          <w:lang w:val="uk-UA"/>
        </w:rPr>
        <w:t>, радіолокаційного обладнання</w:t>
      </w:r>
      <w:r w:rsidR="00AD1BA6">
        <w:rPr>
          <w:color w:val="000000"/>
          <w:lang w:val="uk-UA"/>
        </w:rPr>
        <w:t xml:space="preserve"> </w:t>
      </w:r>
      <w:r w:rsidR="00CB0887" w:rsidRPr="00112F34">
        <w:rPr>
          <w:color w:val="000000"/>
          <w:lang w:val="uk-UA"/>
        </w:rPr>
        <w:t xml:space="preserve">обумовлена наступними чинниками: </w:t>
      </w:r>
      <w:r w:rsidR="00A421B6" w:rsidRPr="00112F34">
        <w:rPr>
          <w:color w:val="000000"/>
          <w:lang w:val="uk-UA"/>
        </w:rPr>
        <w:t xml:space="preserve">при проведенні </w:t>
      </w:r>
      <w:r w:rsidR="00CB0887" w:rsidRPr="00112F34">
        <w:rPr>
          <w:color w:val="000000"/>
          <w:lang w:val="uk-UA"/>
        </w:rPr>
        <w:t>ремонт</w:t>
      </w:r>
      <w:r w:rsidR="00A421B6" w:rsidRPr="00112F34">
        <w:rPr>
          <w:color w:val="000000"/>
          <w:lang w:val="uk-UA"/>
        </w:rPr>
        <w:t>у</w:t>
      </w:r>
      <w:r w:rsidR="00CB0887" w:rsidRPr="00112F34">
        <w:rPr>
          <w:color w:val="000000"/>
          <w:lang w:val="uk-UA"/>
        </w:rPr>
        <w:t xml:space="preserve"> </w:t>
      </w:r>
      <w:r w:rsidR="000B3B4F">
        <w:rPr>
          <w:color w:val="000000"/>
          <w:lang w:val="uk-UA"/>
        </w:rPr>
        <w:t xml:space="preserve">пошуково-рятувального катеру (далі ПРК) </w:t>
      </w:r>
      <w:r w:rsidR="00A421B6" w:rsidRPr="00112F34">
        <w:rPr>
          <w:color w:val="000000"/>
          <w:lang w:val="uk-UA"/>
        </w:rPr>
        <w:t>ПРК</w:t>
      </w:r>
      <w:r w:rsidR="00CB0887" w:rsidRPr="00112F34">
        <w:rPr>
          <w:color w:val="000000"/>
          <w:lang w:val="uk-UA"/>
        </w:rPr>
        <w:t xml:space="preserve">-01 </w:t>
      </w:r>
      <w:r w:rsidR="00A421B6" w:rsidRPr="00112F34">
        <w:rPr>
          <w:color w:val="000000"/>
          <w:lang w:val="uk-UA"/>
        </w:rPr>
        <w:t>відповідно до</w:t>
      </w:r>
      <w:r w:rsidR="00A421B6">
        <w:rPr>
          <w:color w:val="000000"/>
          <w:lang w:val="uk-UA"/>
        </w:rPr>
        <w:t xml:space="preserve"> договору </w:t>
      </w:r>
      <w:r w:rsidR="00CB0887" w:rsidRPr="00CB0887">
        <w:rPr>
          <w:color w:val="000000"/>
          <w:lang w:val="uk-UA"/>
        </w:rPr>
        <w:t>економія склала 101 тис.</w:t>
      </w:r>
      <w:r w:rsidR="00A421B6">
        <w:rPr>
          <w:color w:val="000000"/>
          <w:lang w:val="uk-UA"/>
        </w:rPr>
        <w:t xml:space="preserve"> </w:t>
      </w:r>
      <w:r w:rsidR="00CB0887" w:rsidRPr="00CB0887">
        <w:rPr>
          <w:color w:val="000000"/>
          <w:lang w:val="uk-UA"/>
        </w:rPr>
        <w:t>грн.</w:t>
      </w:r>
      <w:r w:rsidR="00A421B6">
        <w:rPr>
          <w:color w:val="000000"/>
          <w:lang w:val="uk-UA"/>
        </w:rPr>
        <w:t>;</w:t>
      </w:r>
      <w:r w:rsidR="00CB0887" w:rsidRPr="00CB0887">
        <w:rPr>
          <w:color w:val="000000"/>
          <w:lang w:val="uk-UA"/>
        </w:rPr>
        <w:t xml:space="preserve"> </w:t>
      </w:r>
      <w:r w:rsidR="00A421B6">
        <w:rPr>
          <w:color w:val="000000"/>
          <w:lang w:val="uk-UA"/>
        </w:rPr>
        <w:t xml:space="preserve">на </w:t>
      </w:r>
      <w:r w:rsidR="00A421B6" w:rsidRPr="00CB0887">
        <w:rPr>
          <w:color w:val="000000"/>
          <w:lang w:val="uk-UA"/>
        </w:rPr>
        <w:t xml:space="preserve">ремонт </w:t>
      </w:r>
      <w:r w:rsidR="00A421B6">
        <w:rPr>
          <w:color w:val="000000"/>
          <w:lang w:val="uk-UA"/>
        </w:rPr>
        <w:t>ПРК</w:t>
      </w:r>
      <w:r w:rsidR="00257E7F">
        <w:rPr>
          <w:color w:val="000000"/>
          <w:lang w:val="uk-UA"/>
        </w:rPr>
        <w:t>-</w:t>
      </w:r>
      <w:r w:rsidR="00CB0887" w:rsidRPr="00CB0887">
        <w:rPr>
          <w:color w:val="000000"/>
          <w:lang w:val="uk-UA"/>
        </w:rPr>
        <w:t>03</w:t>
      </w:r>
      <w:r w:rsidR="00257E7F">
        <w:rPr>
          <w:color w:val="000000"/>
          <w:lang w:val="uk-UA"/>
        </w:rPr>
        <w:t xml:space="preserve"> – </w:t>
      </w:r>
      <w:r w:rsidR="00DB3AF0">
        <w:rPr>
          <w:color w:val="000000"/>
          <w:lang w:val="uk-UA"/>
        </w:rPr>
        <w:t>ПРК</w:t>
      </w:r>
      <w:r w:rsidR="00257E7F">
        <w:rPr>
          <w:color w:val="000000"/>
          <w:lang w:val="uk-UA"/>
        </w:rPr>
        <w:t>-</w:t>
      </w:r>
      <w:r w:rsidR="00A421B6">
        <w:rPr>
          <w:color w:val="000000"/>
          <w:lang w:val="uk-UA"/>
        </w:rPr>
        <w:t>0</w:t>
      </w:r>
      <w:r w:rsidR="00CB0887" w:rsidRPr="00CB0887">
        <w:rPr>
          <w:color w:val="000000"/>
          <w:lang w:val="uk-UA"/>
        </w:rPr>
        <w:t>5 бу</w:t>
      </w:r>
      <w:r w:rsidR="00A421B6">
        <w:rPr>
          <w:color w:val="000000"/>
          <w:lang w:val="uk-UA"/>
        </w:rPr>
        <w:t xml:space="preserve">ло заплановано 2030 тис. грн., але ремонт був проведений силами робітників КП «МПРС», </w:t>
      </w:r>
      <w:r w:rsidR="0033728F">
        <w:rPr>
          <w:color w:val="000000"/>
          <w:lang w:val="uk-UA"/>
        </w:rPr>
        <w:t xml:space="preserve">тому </w:t>
      </w:r>
      <w:r w:rsidR="00A421B6">
        <w:rPr>
          <w:color w:val="000000"/>
          <w:lang w:val="uk-UA"/>
        </w:rPr>
        <w:t xml:space="preserve">економія на </w:t>
      </w:r>
      <w:r w:rsidR="00CB0887" w:rsidRPr="00CB0887">
        <w:rPr>
          <w:color w:val="000000"/>
          <w:lang w:val="uk-UA"/>
        </w:rPr>
        <w:t xml:space="preserve">витратах </w:t>
      </w:r>
      <w:r w:rsidR="00A421B6">
        <w:rPr>
          <w:color w:val="000000"/>
          <w:lang w:val="uk-UA"/>
        </w:rPr>
        <w:t xml:space="preserve">відповідно до плану склала </w:t>
      </w:r>
      <w:r w:rsidR="00CB0887" w:rsidRPr="00CB0887">
        <w:rPr>
          <w:color w:val="000000"/>
          <w:lang w:val="uk-UA"/>
        </w:rPr>
        <w:t>2030 тис.</w:t>
      </w:r>
      <w:r w:rsidR="00A421B6">
        <w:rPr>
          <w:color w:val="000000"/>
          <w:lang w:val="uk-UA"/>
        </w:rPr>
        <w:t xml:space="preserve"> </w:t>
      </w:r>
      <w:r w:rsidR="00CB0887" w:rsidRPr="00CB0887">
        <w:rPr>
          <w:color w:val="000000"/>
          <w:lang w:val="uk-UA"/>
        </w:rPr>
        <w:t>грн.</w:t>
      </w:r>
      <w:r w:rsidR="00A421B6">
        <w:rPr>
          <w:color w:val="000000"/>
          <w:lang w:val="uk-UA"/>
        </w:rPr>
        <w:t xml:space="preserve">; </w:t>
      </w:r>
      <w:r w:rsidR="00CB0887" w:rsidRPr="00CB0887">
        <w:rPr>
          <w:color w:val="000000"/>
          <w:lang w:val="uk-UA"/>
        </w:rPr>
        <w:t xml:space="preserve"> </w:t>
      </w:r>
      <w:r w:rsidR="0033728F">
        <w:rPr>
          <w:color w:val="000000"/>
          <w:lang w:val="uk-UA"/>
        </w:rPr>
        <w:t>у зв’язку із перенесенням вводу в експлуатацію нових базових станцій проведення технічного об</w:t>
      </w:r>
      <w:r w:rsidR="00112F34">
        <w:rPr>
          <w:color w:val="000000"/>
          <w:lang w:val="uk-UA"/>
        </w:rPr>
        <w:t xml:space="preserve">слуговування берегових об’єктів ГМЗЛБ, систем пожежної сигналізації, автономної системи пожежогасіння автономної дії та системи передавання тривожних сповіщень у сумі 238 тис. грн. було перенесено на 2019 рік.; у зв’язку із відсутності фактичної наробітки </w:t>
      </w:r>
      <w:proofErr w:type="spellStart"/>
      <w:r w:rsidR="00112F34">
        <w:rPr>
          <w:color w:val="000000"/>
          <w:lang w:val="uk-UA"/>
        </w:rPr>
        <w:t>моточасів</w:t>
      </w:r>
      <w:proofErr w:type="spellEnd"/>
      <w:r w:rsidR="00112F34">
        <w:rPr>
          <w:color w:val="000000"/>
          <w:lang w:val="uk-UA"/>
        </w:rPr>
        <w:t xml:space="preserve"> для проведення технічного обслуговування моторів човнів, що куплені у 2017 році, проведення їх </w:t>
      </w:r>
      <w:r w:rsidR="00DB3AF0">
        <w:rPr>
          <w:color w:val="000000"/>
          <w:lang w:val="uk-UA"/>
        </w:rPr>
        <w:t xml:space="preserve">технічного обслуговування </w:t>
      </w:r>
      <w:r w:rsidR="00112F34">
        <w:rPr>
          <w:color w:val="000000"/>
          <w:lang w:val="uk-UA"/>
        </w:rPr>
        <w:t xml:space="preserve"> у сумі 88 тис. грн.</w:t>
      </w:r>
      <w:r w:rsidR="00DB3AF0">
        <w:rPr>
          <w:color w:val="000000"/>
          <w:lang w:val="uk-UA"/>
        </w:rPr>
        <w:t xml:space="preserve"> перенесено на 2019 рік.</w:t>
      </w:r>
      <w:r w:rsidR="00112F34">
        <w:rPr>
          <w:color w:val="000000"/>
          <w:lang w:val="uk-UA"/>
        </w:rPr>
        <w:t xml:space="preserve"> </w:t>
      </w:r>
    </w:p>
    <w:p w:rsidR="00FD4C38" w:rsidRPr="000274C2" w:rsidRDefault="00C8067D" w:rsidP="000274C2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274C2">
        <w:rPr>
          <w:rFonts w:ascii="Times New Roman" w:hAnsi="Times New Roman" w:cs="Times New Roman"/>
          <w:sz w:val="24"/>
          <w:szCs w:val="24"/>
          <w:lang w:val="uk-UA"/>
        </w:rPr>
        <w:t>Витрати на відрядження (рядок 1018/2) виконані на 64,9%</w:t>
      </w:r>
      <w:r w:rsidR="00AD1BA6">
        <w:rPr>
          <w:rFonts w:ascii="Times New Roman" w:hAnsi="Times New Roman" w:cs="Times New Roman"/>
          <w:sz w:val="24"/>
          <w:szCs w:val="24"/>
          <w:lang w:val="uk-UA"/>
        </w:rPr>
        <w:t xml:space="preserve"> від плану</w:t>
      </w:r>
      <w:r w:rsidRPr="000274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2" w:name="_Hlk947128"/>
      <w:r w:rsidRPr="000274C2">
        <w:rPr>
          <w:rFonts w:ascii="Times New Roman" w:hAnsi="Times New Roman" w:cs="Times New Roman"/>
          <w:sz w:val="24"/>
          <w:szCs w:val="24"/>
          <w:lang w:val="uk-UA"/>
        </w:rPr>
        <w:t xml:space="preserve">Зниження запланованих витрат пов’язано із зменшенням витрат на міжнародні відрядження працівників КП «МПРС». </w:t>
      </w:r>
      <w:bookmarkEnd w:id="2"/>
      <w:r w:rsidRPr="000274C2">
        <w:rPr>
          <w:rFonts w:ascii="Times New Roman" w:hAnsi="Times New Roman" w:cs="Times New Roman"/>
          <w:sz w:val="24"/>
          <w:szCs w:val="24"/>
          <w:lang w:val="uk-UA"/>
        </w:rPr>
        <w:t xml:space="preserve">Участь у 2-му засіданні Наглядового комітету Проекту «Морська безпека, охорона та захист навколишнього середовища в регіонах Чорного та Каспійського морів», м. Батумі, Грузія одного із двох представників КП «МПРС» було здійснено за рахунок проекту. Делегація КП «МПРС» </w:t>
      </w:r>
      <w:r w:rsidR="00FD4C38" w:rsidRPr="000274C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0274C2">
        <w:rPr>
          <w:rFonts w:ascii="Times New Roman" w:hAnsi="Times New Roman" w:cs="Times New Roman"/>
          <w:sz w:val="24"/>
          <w:szCs w:val="24"/>
          <w:lang w:val="uk-UA"/>
        </w:rPr>
        <w:t xml:space="preserve"> 99-ї чергової сесії Комітету з безпеки на морі, Міжнародної морської організації у травні поточного року була скорочена до двох осіб. </w:t>
      </w:r>
      <w:r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Візит до Морської адміністрації Румунії - не відбу</w:t>
      </w:r>
      <w:r w:rsidR="0088473A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>ся, оскільки вирішення  питань, що планувалися до обговорення з румунською стороною, було здійснено дипломатичними каналами через МЗС України.</w:t>
      </w:r>
      <w:r w:rsidRPr="000274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3115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</w:t>
      </w:r>
      <w:r w:rsidR="00FD4C38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дрядження </w:t>
      </w:r>
      <w:r w:rsidR="001A3115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Морської адміністрації Грузії, м. Батумі не відбулося, оскільки обговорення питань було проведено </w:t>
      </w:r>
      <w:r w:rsidR="000274C2" w:rsidRPr="000274C2">
        <w:rPr>
          <w:rFonts w:ascii="Times New Roman" w:hAnsi="Times New Roman" w:cs="Times New Roman"/>
          <w:sz w:val="24"/>
          <w:szCs w:val="24"/>
          <w:lang w:val="uk-UA"/>
        </w:rPr>
        <w:t>під час відвідування представників КП «МПРС» у складі делегації України Міжнародного Морського Форуму (</w:t>
      </w:r>
      <w:proofErr w:type="spellStart"/>
      <w:r w:rsidR="000274C2" w:rsidRPr="000274C2">
        <w:rPr>
          <w:rFonts w:ascii="Times New Roman" w:hAnsi="Times New Roman" w:cs="Times New Roman"/>
          <w:sz w:val="24"/>
          <w:szCs w:val="24"/>
          <w:lang w:val="uk-UA"/>
        </w:rPr>
        <w:t>м.Батумі</w:t>
      </w:r>
      <w:proofErr w:type="spellEnd"/>
      <w:r w:rsidR="000274C2" w:rsidRPr="000274C2">
        <w:rPr>
          <w:rFonts w:ascii="Times New Roman" w:hAnsi="Times New Roman" w:cs="Times New Roman"/>
          <w:sz w:val="24"/>
          <w:szCs w:val="24"/>
          <w:lang w:val="uk-UA"/>
        </w:rPr>
        <w:t xml:space="preserve">, 12-14.09.2018). </w:t>
      </w:r>
      <w:r w:rsidR="00FD4C38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зв’язку із відсутністю виробничої потреби візит до представництва компанії «</w:t>
      </w:r>
      <w:proofErr w:type="spellStart"/>
      <w:r w:rsidR="00FD4C38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>Ейрбас</w:t>
      </w:r>
      <w:proofErr w:type="spellEnd"/>
      <w:r w:rsidR="00FD4C38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="00304ACD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Париж </w:t>
      </w:r>
      <w:r w:rsidR="00FD4C38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було відмінено. Усі витрати щодо відвідування семінару в рамках Проекту з питань Чорного та Каспійського морів </w:t>
      </w:r>
      <w:r w:rsidR="00FD4C38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Європейського агентства з питань морської безпеки було здійснено за рахунок приймаючої сторони.</w:t>
      </w:r>
    </w:p>
    <w:p w:rsidR="00346090" w:rsidRDefault="00B2141F" w:rsidP="00216021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Витрати на охорону праці виконані на 70,5%. </w:t>
      </w:r>
      <w:r w:rsidRPr="00B2141F">
        <w:rPr>
          <w:color w:val="000000"/>
          <w:lang w:val="uk-UA"/>
        </w:rPr>
        <w:t>Витрати на медичне обстеження працівників освоєні виходячи з виробничої потреби підприємства.</w:t>
      </w:r>
      <w:r>
        <w:rPr>
          <w:color w:val="000000"/>
          <w:lang w:val="uk-UA"/>
        </w:rPr>
        <w:t xml:space="preserve"> </w:t>
      </w:r>
      <w:r w:rsidRPr="00B2141F">
        <w:rPr>
          <w:color w:val="000000"/>
          <w:lang w:val="uk-UA"/>
        </w:rPr>
        <w:t>Витрати на навчання з електробезпеки перенесені на 2019 рік.</w:t>
      </w:r>
    </w:p>
    <w:p w:rsidR="00510485" w:rsidRDefault="00510485" w:rsidP="00216021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Витрати на зв'язок </w:t>
      </w:r>
      <w:r w:rsidR="00C341AD">
        <w:rPr>
          <w:color w:val="000000"/>
          <w:lang w:val="uk-UA"/>
        </w:rPr>
        <w:t xml:space="preserve">(рядок 1018/3/3) </w:t>
      </w:r>
      <w:r>
        <w:rPr>
          <w:color w:val="000000"/>
          <w:lang w:val="uk-UA"/>
        </w:rPr>
        <w:t>виконані на 55,4%</w:t>
      </w:r>
      <w:r w:rsidR="00AD1BA6">
        <w:rPr>
          <w:color w:val="000000"/>
          <w:lang w:val="uk-UA"/>
        </w:rPr>
        <w:t xml:space="preserve"> від плану</w:t>
      </w:r>
      <w:r>
        <w:rPr>
          <w:color w:val="000000"/>
          <w:lang w:val="uk-UA"/>
        </w:rPr>
        <w:t xml:space="preserve">. </w:t>
      </w:r>
      <w:r w:rsidRPr="00510485">
        <w:rPr>
          <w:color w:val="000000"/>
          <w:lang w:val="uk-UA"/>
        </w:rPr>
        <w:t xml:space="preserve">Витрати складені відповідно до фактичного використаного трафіка супутникового зв’язку INMARSAT </w:t>
      </w:r>
      <w:r>
        <w:rPr>
          <w:color w:val="000000"/>
          <w:lang w:val="uk-UA"/>
        </w:rPr>
        <w:t xml:space="preserve">у сумі </w:t>
      </w:r>
      <w:r w:rsidRPr="00510485">
        <w:rPr>
          <w:color w:val="000000"/>
          <w:lang w:val="uk-UA"/>
        </w:rPr>
        <w:t>479 тис.</w:t>
      </w:r>
      <w:r>
        <w:rPr>
          <w:color w:val="000000"/>
          <w:lang w:val="uk-UA"/>
        </w:rPr>
        <w:t xml:space="preserve"> </w:t>
      </w:r>
      <w:r w:rsidRPr="00510485">
        <w:rPr>
          <w:color w:val="000000"/>
          <w:lang w:val="uk-UA"/>
        </w:rPr>
        <w:t>грн.</w:t>
      </w:r>
      <w:r>
        <w:rPr>
          <w:color w:val="000000"/>
          <w:lang w:val="uk-UA"/>
        </w:rPr>
        <w:t>, що складає 47,4% від запланованих витрат на супутниковий зв'язок</w:t>
      </w:r>
      <w:r w:rsidRPr="00510485">
        <w:rPr>
          <w:color w:val="000000"/>
          <w:lang w:val="uk-UA"/>
        </w:rPr>
        <w:t>. Витрати на супутниковий зв'язок INMARSAT планувалися для навчання та випадок проведення пошуково-рятувальної операції. Фактичні витрати на користування каналами передачі даних склали 46 тис.</w:t>
      </w:r>
      <w:r>
        <w:rPr>
          <w:color w:val="000000"/>
          <w:lang w:val="uk-UA"/>
        </w:rPr>
        <w:t xml:space="preserve"> </w:t>
      </w:r>
      <w:r w:rsidRPr="00510485">
        <w:rPr>
          <w:color w:val="000000"/>
          <w:lang w:val="uk-UA"/>
        </w:rPr>
        <w:t>грн</w:t>
      </w:r>
      <w:r>
        <w:rPr>
          <w:color w:val="000000"/>
          <w:lang w:val="uk-UA"/>
        </w:rPr>
        <w:t xml:space="preserve">. за рік, що складає 27,2% від планового показника. Економія витрат </w:t>
      </w:r>
      <w:r w:rsidR="00160FF7">
        <w:rPr>
          <w:color w:val="000000"/>
          <w:lang w:val="uk-UA"/>
        </w:rPr>
        <w:t xml:space="preserve">пов’язана із </w:t>
      </w:r>
      <w:r>
        <w:rPr>
          <w:color w:val="000000"/>
          <w:lang w:val="uk-UA"/>
        </w:rPr>
        <w:t>перенесення</w:t>
      </w:r>
      <w:r w:rsidR="00160FF7">
        <w:rPr>
          <w:color w:val="000000"/>
          <w:lang w:val="uk-UA"/>
        </w:rPr>
        <w:t>м</w:t>
      </w:r>
      <w:r>
        <w:rPr>
          <w:color w:val="000000"/>
          <w:lang w:val="uk-UA"/>
        </w:rPr>
        <w:t xml:space="preserve"> вводу в експлуатацію нових базових станцій </w:t>
      </w:r>
      <w:r w:rsidR="00C43F3F">
        <w:rPr>
          <w:color w:val="000000"/>
          <w:lang w:val="uk-UA"/>
        </w:rPr>
        <w:t xml:space="preserve">та відсутності підключення </w:t>
      </w:r>
      <w:r w:rsidR="00C43F3F" w:rsidRPr="00510485">
        <w:rPr>
          <w:color w:val="000000"/>
          <w:lang w:val="uk-UA"/>
        </w:rPr>
        <w:t>додатков</w:t>
      </w:r>
      <w:r w:rsidR="00C43F3F">
        <w:rPr>
          <w:color w:val="000000"/>
          <w:lang w:val="uk-UA"/>
        </w:rPr>
        <w:t>их</w:t>
      </w:r>
      <w:r w:rsidR="00C43F3F" w:rsidRPr="00510485">
        <w:rPr>
          <w:color w:val="000000"/>
          <w:lang w:val="uk-UA"/>
        </w:rPr>
        <w:t xml:space="preserve"> канал</w:t>
      </w:r>
      <w:r w:rsidR="00C43F3F">
        <w:rPr>
          <w:color w:val="000000"/>
          <w:lang w:val="uk-UA"/>
        </w:rPr>
        <w:t>ів</w:t>
      </w:r>
      <w:r w:rsidR="00C43F3F" w:rsidRPr="00510485">
        <w:rPr>
          <w:color w:val="000000"/>
          <w:lang w:val="uk-UA"/>
        </w:rPr>
        <w:t xml:space="preserve"> передачі даних</w:t>
      </w:r>
      <w:r w:rsidR="00C43F3F">
        <w:rPr>
          <w:color w:val="000000"/>
          <w:lang w:val="uk-UA"/>
        </w:rPr>
        <w:t>.</w:t>
      </w:r>
      <w:r w:rsidRPr="00510485">
        <w:rPr>
          <w:color w:val="000000"/>
          <w:lang w:val="uk-UA"/>
        </w:rPr>
        <w:t xml:space="preserve"> </w:t>
      </w:r>
      <w:r w:rsidR="00C43F3F" w:rsidRPr="00510485">
        <w:rPr>
          <w:color w:val="000000"/>
          <w:lang w:val="uk-UA"/>
        </w:rPr>
        <w:t xml:space="preserve">Економія </w:t>
      </w:r>
      <w:r w:rsidRPr="00510485">
        <w:rPr>
          <w:color w:val="000000"/>
          <w:lang w:val="uk-UA"/>
        </w:rPr>
        <w:t>на послугах мобільного та стаціонарного зв'язку склала 19 тис.</w:t>
      </w:r>
      <w:r w:rsidR="00C43F3F">
        <w:rPr>
          <w:color w:val="000000"/>
          <w:lang w:val="uk-UA"/>
        </w:rPr>
        <w:t xml:space="preserve"> </w:t>
      </w:r>
      <w:r w:rsidRPr="00510485">
        <w:rPr>
          <w:color w:val="000000"/>
          <w:lang w:val="uk-UA"/>
        </w:rPr>
        <w:t>грн.</w:t>
      </w:r>
      <w:r w:rsidR="00C43F3F">
        <w:rPr>
          <w:color w:val="000000"/>
          <w:lang w:val="uk-UA"/>
        </w:rPr>
        <w:t xml:space="preserve"> за рік.</w:t>
      </w:r>
    </w:p>
    <w:p w:rsidR="00510485" w:rsidRDefault="00510485" w:rsidP="00216021">
      <w:pPr>
        <w:ind w:firstLine="708"/>
        <w:jc w:val="both"/>
        <w:rPr>
          <w:color w:val="000000"/>
          <w:lang w:val="uk-UA"/>
        </w:rPr>
      </w:pPr>
    </w:p>
    <w:p w:rsidR="00C341AD" w:rsidRDefault="00C341AD" w:rsidP="00216021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Витрати на навчання виробничого персоналу (рядок 1018/3/4) виконані на 64,9%</w:t>
      </w:r>
      <w:r w:rsidR="00577505">
        <w:rPr>
          <w:color w:val="000000"/>
          <w:lang w:val="uk-UA"/>
        </w:rPr>
        <w:t xml:space="preserve"> від плану</w:t>
      </w:r>
      <w:r>
        <w:rPr>
          <w:color w:val="000000"/>
          <w:lang w:val="uk-UA"/>
        </w:rPr>
        <w:t xml:space="preserve">.  Загальна економія витрат після проведення торгів </w:t>
      </w:r>
      <w:r w:rsidR="0088473A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з закупівлі послуг </w:t>
      </w:r>
      <w:r w:rsidRPr="00C341AD">
        <w:rPr>
          <w:color w:val="000000"/>
          <w:lang w:val="uk-UA"/>
        </w:rPr>
        <w:t>з навчання екіпажів ПРК за напрямками "Психологічна підготовка екіпажів ПРК" , курси комунікації та підтримки, "Матрос пошуково-рятувальної одиниці", "Оцінка та управління ризиками", "Координатор на місці проведення SAR" склала 129 тис.</w:t>
      </w:r>
      <w:r>
        <w:rPr>
          <w:color w:val="000000"/>
          <w:lang w:val="uk-UA"/>
        </w:rPr>
        <w:t xml:space="preserve"> </w:t>
      </w:r>
      <w:r w:rsidRPr="00C341AD">
        <w:rPr>
          <w:color w:val="000000"/>
          <w:lang w:val="uk-UA"/>
        </w:rPr>
        <w:t xml:space="preserve">грн. Отримання послуг </w:t>
      </w:r>
      <w:r>
        <w:rPr>
          <w:color w:val="000000"/>
          <w:lang w:val="uk-UA"/>
        </w:rPr>
        <w:t>щодо</w:t>
      </w:r>
      <w:r w:rsidRPr="00C341AD">
        <w:rPr>
          <w:color w:val="000000"/>
          <w:lang w:val="uk-UA"/>
        </w:rPr>
        <w:t xml:space="preserve"> навчанн</w:t>
      </w:r>
      <w:r>
        <w:rPr>
          <w:color w:val="000000"/>
          <w:lang w:val="uk-UA"/>
        </w:rPr>
        <w:t xml:space="preserve">я </w:t>
      </w:r>
      <w:r w:rsidRPr="00C341AD">
        <w:rPr>
          <w:color w:val="000000"/>
          <w:lang w:val="uk-UA"/>
        </w:rPr>
        <w:t>з безпечного виконання робіт на висоті та навчання спеціалістів відділу інформаційних технологій перенесено на наступні періоди.</w:t>
      </w:r>
    </w:p>
    <w:p w:rsidR="00F6445C" w:rsidRDefault="00F6445C" w:rsidP="00216021">
      <w:pPr>
        <w:ind w:firstLine="708"/>
        <w:jc w:val="both"/>
        <w:rPr>
          <w:color w:val="000000"/>
          <w:lang w:val="uk-UA"/>
        </w:rPr>
      </w:pPr>
      <w:r w:rsidRPr="00F6445C">
        <w:rPr>
          <w:color w:val="000000"/>
          <w:lang w:val="uk-UA"/>
        </w:rPr>
        <w:t xml:space="preserve">Витрати </w:t>
      </w:r>
      <w:r>
        <w:rPr>
          <w:color w:val="000000"/>
          <w:lang w:val="uk-UA"/>
        </w:rPr>
        <w:t xml:space="preserve">на охорону навколишнього середовища (рядок 1018/3/8) </w:t>
      </w:r>
      <w:r w:rsidR="00C341AD">
        <w:rPr>
          <w:color w:val="000000"/>
          <w:lang w:val="uk-UA"/>
        </w:rPr>
        <w:t xml:space="preserve">складають 50,8% від плану. </w:t>
      </w:r>
      <w:r w:rsidR="00C341AD" w:rsidRPr="00F6445C">
        <w:rPr>
          <w:color w:val="000000"/>
          <w:lang w:val="uk-UA"/>
        </w:rPr>
        <w:t xml:space="preserve">Складені </w:t>
      </w:r>
      <w:r w:rsidR="00C341AD">
        <w:rPr>
          <w:color w:val="000000"/>
          <w:lang w:val="uk-UA"/>
        </w:rPr>
        <w:t xml:space="preserve">витрати </w:t>
      </w:r>
      <w:r w:rsidRPr="00F6445C">
        <w:rPr>
          <w:color w:val="000000"/>
          <w:lang w:val="uk-UA"/>
        </w:rPr>
        <w:t>виходячи із фактичного об'єму відходів суден КП МПРС відповідно до санітарних норм, що діють в портах заходу. Недовиконання планового показника пов'язане з відсутністю на дату складанні фін</w:t>
      </w:r>
      <w:r>
        <w:rPr>
          <w:color w:val="000000"/>
          <w:lang w:val="uk-UA"/>
        </w:rPr>
        <w:t>ансового</w:t>
      </w:r>
      <w:r w:rsidRPr="00F6445C">
        <w:rPr>
          <w:color w:val="000000"/>
          <w:lang w:val="uk-UA"/>
        </w:rPr>
        <w:t xml:space="preserve"> плану статистики р/с Сапфір щодо об'ємів </w:t>
      </w:r>
      <w:proofErr w:type="spellStart"/>
      <w:r w:rsidRPr="00F6445C">
        <w:rPr>
          <w:color w:val="000000"/>
          <w:lang w:val="uk-UA"/>
        </w:rPr>
        <w:t>лляльних</w:t>
      </w:r>
      <w:proofErr w:type="spellEnd"/>
      <w:r w:rsidRPr="00F6445C">
        <w:rPr>
          <w:color w:val="000000"/>
          <w:lang w:val="uk-UA"/>
        </w:rPr>
        <w:t xml:space="preserve"> та стічних вод та відходів, що утворилися в результаті життєдіяльності екіпажу судна.</w:t>
      </w:r>
    </w:p>
    <w:p w:rsidR="00F52858" w:rsidRDefault="00A31D42" w:rsidP="00F52858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Виконання рядка 1018/3/10 «Організаційно-технічні послуги» на </w:t>
      </w:r>
      <w:r w:rsidR="00043CBC">
        <w:rPr>
          <w:color w:val="000000"/>
          <w:lang w:val="uk-UA"/>
        </w:rPr>
        <w:t>43</w:t>
      </w:r>
      <w:r>
        <w:rPr>
          <w:color w:val="000000"/>
          <w:lang w:val="uk-UA"/>
        </w:rPr>
        <w:t>,</w:t>
      </w:r>
      <w:r w:rsidR="00043CBC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% </w:t>
      </w:r>
      <w:r w:rsidR="00577505">
        <w:rPr>
          <w:color w:val="000000"/>
          <w:lang w:val="uk-UA"/>
        </w:rPr>
        <w:t xml:space="preserve">від плану </w:t>
      </w:r>
      <w:r>
        <w:rPr>
          <w:color w:val="000000"/>
          <w:lang w:val="uk-UA"/>
        </w:rPr>
        <w:t xml:space="preserve">пов’язано з перенесенням </w:t>
      </w:r>
      <w:r w:rsidR="00577505">
        <w:rPr>
          <w:color w:val="000000"/>
          <w:lang w:val="uk-UA"/>
        </w:rPr>
        <w:t xml:space="preserve">на наступні періоди </w:t>
      </w:r>
      <w:r w:rsidR="00F52858" w:rsidRPr="00043CBC">
        <w:rPr>
          <w:color w:val="000000"/>
          <w:lang w:val="uk-UA"/>
        </w:rPr>
        <w:t>розробки проекту керівного нормативного документа України: "Норми постачання матеріалами, інвентарним майном (у тому числі аварійно-рятувальним майном (АРМ) для цілей пошуку та рятування) і інструментом суден, що забезпечують пошуково-рятувальні роботи"</w:t>
      </w:r>
      <w:r w:rsidR="00F52858">
        <w:rPr>
          <w:color w:val="000000"/>
          <w:lang w:val="uk-UA"/>
        </w:rPr>
        <w:t xml:space="preserve"> із збільшенням суми закупівлі до 300 тис. грн. </w:t>
      </w:r>
      <w:r w:rsidR="00F52858" w:rsidRPr="00043CBC">
        <w:rPr>
          <w:color w:val="000000"/>
          <w:lang w:val="uk-UA"/>
        </w:rPr>
        <w:t xml:space="preserve">Витрати на оцінку майна, </w:t>
      </w:r>
      <w:r w:rsidR="00F52858">
        <w:rPr>
          <w:color w:val="000000"/>
          <w:lang w:val="uk-UA"/>
        </w:rPr>
        <w:t>з</w:t>
      </w:r>
      <w:r w:rsidR="00F52858" w:rsidRPr="00043CBC">
        <w:rPr>
          <w:color w:val="000000"/>
          <w:lang w:val="uk-UA"/>
        </w:rPr>
        <w:t xml:space="preserve">няття з обліку </w:t>
      </w:r>
      <w:r w:rsidR="00F52858">
        <w:rPr>
          <w:color w:val="000000"/>
          <w:lang w:val="uk-UA"/>
        </w:rPr>
        <w:t xml:space="preserve">транспортних засобів, </w:t>
      </w:r>
      <w:r w:rsidR="00F52858" w:rsidRPr="00043CBC">
        <w:rPr>
          <w:color w:val="000000"/>
          <w:lang w:val="uk-UA"/>
        </w:rPr>
        <w:t xml:space="preserve">отримання технічних висновків </w:t>
      </w:r>
      <w:r w:rsidR="00F52858">
        <w:rPr>
          <w:color w:val="000000"/>
          <w:lang w:val="uk-UA"/>
        </w:rPr>
        <w:t xml:space="preserve"> </w:t>
      </w:r>
      <w:r w:rsidR="00F52858" w:rsidRPr="00043CBC">
        <w:rPr>
          <w:color w:val="000000"/>
          <w:lang w:val="uk-UA"/>
        </w:rPr>
        <w:t xml:space="preserve">щодо майна ДП "МАРС" </w:t>
      </w:r>
      <w:r w:rsidR="00577505">
        <w:rPr>
          <w:color w:val="000000"/>
          <w:lang w:val="uk-UA"/>
        </w:rPr>
        <w:t xml:space="preserve">у сумі 485 тис. грн. </w:t>
      </w:r>
      <w:r w:rsidR="00F52858" w:rsidRPr="00043CBC">
        <w:rPr>
          <w:color w:val="000000"/>
          <w:lang w:val="uk-UA"/>
        </w:rPr>
        <w:t>перенесені до інших операційних витрат</w:t>
      </w:r>
      <w:r w:rsidR="00577505">
        <w:rPr>
          <w:color w:val="000000"/>
          <w:lang w:val="uk-UA"/>
        </w:rPr>
        <w:t xml:space="preserve"> (рядок 1086/8)</w:t>
      </w:r>
      <w:r w:rsidR="00F52858">
        <w:rPr>
          <w:color w:val="000000"/>
          <w:lang w:val="uk-UA"/>
        </w:rPr>
        <w:t xml:space="preserve">. У зв’язку із перенесенням </w:t>
      </w:r>
      <w:r w:rsidR="00F52858" w:rsidRPr="00043CBC">
        <w:rPr>
          <w:color w:val="000000"/>
          <w:lang w:val="uk-UA"/>
        </w:rPr>
        <w:t xml:space="preserve">закупівлі діелектричного інструменту та засобів діелектричного захисту на кінець 2018 року отримання  послуг з проведення електротехнічних вимірювальних робіт заплановане </w:t>
      </w:r>
      <w:r w:rsidR="00F52858">
        <w:rPr>
          <w:color w:val="000000"/>
          <w:lang w:val="uk-UA"/>
        </w:rPr>
        <w:t>на</w:t>
      </w:r>
      <w:r w:rsidR="00F52858" w:rsidRPr="00043CBC">
        <w:rPr>
          <w:color w:val="000000"/>
          <w:lang w:val="uk-UA"/>
        </w:rPr>
        <w:t xml:space="preserve"> 2019 р</w:t>
      </w:r>
      <w:r w:rsidR="00F52858">
        <w:rPr>
          <w:color w:val="000000"/>
          <w:lang w:val="uk-UA"/>
        </w:rPr>
        <w:t>ік.</w:t>
      </w:r>
      <w:r w:rsidR="00F52858" w:rsidRPr="00043CBC">
        <w:rPr>
          <w:color w:val="000000"/>
          <w:lang w:val="uk-UA"/>
        </w:rPr>
        <w:t xml:space="preserve"> </w:t>
      </w:r>
      <w:r w:rsidR="00F52858">
        <w:rPr>
          <w:color w:val="000000"/>
          <w:lang w:val="uk-UA"/>
        </w:rPr>
        <w:t>(</w:t>
      </w:r>
      <w:r w:rsidR="00F52858" w:rsidRPr="00043CBC">
        <w:rPr>
          <w:color w:val="000000"/>
          <w:lang w:val="uk-UA"/>
        </w:rPr>
        <w:t>30 тис.</w:t>
      </w:r>
      <w:r w:rsidR="00F52858">
        <w:rPr>
          <w:color w:val="000000"/>
          <w:lang w:val="uk-UA"/>
        </w:rPr>
        <w:t xml:space="preserve"> </w:t>
      </w:r>
      <w:r w:rsidR="00F52858" w:rsidRPr="00043CBC">
        <w:rPr>
          <w:color w:val="000000"/>
          <w:lang w:val="uk-UA"/>
        </w:rPr>
        <w:t>грн.)</w:t>
      </w:r>
      <w:r w:rsidR="00F52858">
        <w:rPr>
          <w:color w:val="000000"/>
          <w:lang w:val="uk-UA"/>
        </w:rPr>
        <w:t>.</w:t>
      </w:r>
      <w:r w:rsidR="00F52858" w:rsidRPr="00043CBC">
        <w:rPr>
          <w:color w:val="000000"/>
          <w:lang w:val="uk-UA"/>
        </w:rPr>
        <w:t xml:space="preserve"> Економія витрат по іншим послугам (метрологічна перевірка, коректура карт, експертні обстеження тощо) склал</w:t>
      </w:r>
      <w:r w:rsidR="00F52858">
        <w:rPr>
          <w:color w:val="000000"/>
          <w:lang w:val="uk-UA"/>
        </w:rPr>
        <w:t>а</w:t>
      </w:r>
      <w:r w:rsidR="00F52858" w:rsidRPr="00043CBC">
        <w:rPr>
          <w:color w:val="000000"/>
          <w:lang w:val="uk-UA"/>
        </w:rPr>
        <w:t xml:space="preserve"> 72 тис.</w:t>
      </w:r>
      <w:r w:rsidR="00F52858">
        <w:rPr>
          <w:color w:val="000000"/>
          <w:lang w:val="uk-UA"/>
        </w:rPr>
        <w:t xml:space="preserve"> </w:t>
      </w:r>
      <w:r w:rsidR="00F52858" w:rsidRPr="00043CBC">
        <w:rPr>
          <w:color w:val="000000"/>
          <w:lang w:val="uk-UA"/>
        </w:rPr>
        <w:t>грн.</w:t>
      </w:r>
    </w:p>
    <w:p w:rsidR="00B25F12" w:rsidRDefault="00F52858" w:rsidP="00216021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B25F12" w:rsidRPr="00B25F12">
        <w:rPr>
          <w:color w:val="000000"/>
          <w:lang w:val="uk-UA"/>
        </w:rPr>
        <w:t xml:space="preserve">Зменшення витрат </w:t>
      </w:r>
      <w:r w:rsidR="00B25F12">
        <w:rPr>
          <w:color w:val="000000"/>
          <w:lang w:val="uk-UA"/>
        </w:rPr>
        <w:t xml:space="preserve">рядка 101/3/11 «Плата за використання радіочастотного моніторингу» </w:t>
      </w:r>
      <w:r w:rsidR="00B466FA">
        <w:rPr>
          <w:color w:val="000000"/>
          <w:lang w:val="uk-UA"/>
        </w:rPr>
        <w:t xml:space="preserve">до 74,5% відповідно до плану </w:t>
      </w:r>
      <w:r w:rsidR="00B25F12" w:rsidRPr="00B25F12">
        <w:rPr>
          <w:color w:val="000000"/>
          <w:lang w:val="uk-UA"/>
        </w:rPr>
        <w:t>пов’язано зі зменшенням витрат за використання радіочастотного ресурсу України, через отримання нових дозволів на використ</w:t>
      </w:r>
      <w:r w:rsidR="00B25F12">
        <w:rPr>
          <w:color w:val="000000"/>
          <w:lang w:val="uk-UA"/>
        </w:rPr>
        <w:t>а</w:t>
      </w:r>
      <w:r w:rsidR="00B25F12" w:rsidRPr="00B25F12">
        <w:rPr>
          <w:color w:val="000000"/>
          <w:lang w:val="uk-UA"/>
        </w:rPr>
        <w:t>ння радіочастотн</w:t>
      </w:r>
      <w:r w:rsidR="00B25F12">
        <w:rPr>
          <w:color w:val="000000"/>
          <w:lang w:val="uk-UA"/>
        </w:rPr>
        <w:t>о</w:t>
      </w:r>
      <w:r w:rsidR="00B25F12" w:rsidRPr="00B25F12">
        <w:rPr>
          <w:color w:val="000000"/>
          <w:lang w:val="uk-UA"/>
        </w:rPr>
        <w:t>го ресурсу України в межах виділеної частини смуг радіочастот загального користування (відповідно до ст. 254 ПКУ)</w:t>
      </w:r>
      <w:r w:rsidR="004652E5">
        <w:rPr>
          <w:color w:val="000000"/>
          <w:lang w:val="uk-UA"/>
        </w:rPr>
        <w:t>.</w:t>
      </w:r>
    </w:p>
    <w:p w:rsidR="002D3CAC" w:rsidRPr="002D3CAC" w:rsidRDefault="002D3CAC" w:rsidP="002D3CAC">
      <w:pPr>
        <w:ind w:firstLine="708"/>
        <w:jc w:val="both"/>
        <w:rPr>
          <w:color w:val="000000"/>
          <w:lang w:val="uk-UA"/>
        </w:rPr>
      </w:pPr>
      <w:r w:rsidRPr="002D3CAC">
        <w:rPr>
          <w:lang w:val="uk-UA"/>
        </w:rPr>
        <w:t xml:space="preserve">Витрати на утримання основних </w:t>
      </w:r>
      <w:r w:rsidR="00593B77">
        <w:rPr>
          <w:lang w:val="uk-UA"/>
        </w:rPr>
        <w:t>засобів</w:t>
      </w:r>
      <w:r w:rsidRPr="002D3CAC">
        <w:rPr>
          <w:lang w:val="uk-UA"/>
        </w:rPr>
        <w:t xml:space="preserve"> (</w:t>
      </w:r>
      <w:proofErr w:type="spellStart"/>
      <w:r w:rsidRPr="002D3CAC">
        <w:rPr>
          <w:lang w:val="uk-UA"/>
        </w:rPr>
        <w:t>м.Бердянськ</w:t>
      </w:r>
      <w:proofErr w:type="spellEnd"/>
      <w:r w:rsidRPr="002D3CAC">
        <w:rPr>
          <w:lang w:val="uk-UA"/>
        </w:rPr>
        <w:t>, вул.</w:t>
      </w:r>
      <w:r w:rsidR="00593B77">
        <w:rPr>
          <w:lang w:val="uk-UA"/>
        </w:rPr>
        <w:t xml:space="preserve"> </w:t>
      </w:r>
      <w:r w:rsidRPr="002D3CAC">
        <w:rPr>
          <w:lang w:val="uk-UA"/>
        </w:rPr>
        <w:t>Горького</w:t>
      </w:r>
      <w:r w:rsidR="00C23C4C">
        <w:rPr>
          <w:lang w:val="uk-UA"/>
        </w:rPr>
        <w:t>,</w:t>
      </w:r>
      <w:r w:rsidRPr="002D3CAC">
        <w:rPr>
          <w:lang w:val="uk-UA"/>
        </w:rPr>
        <w:t xml:space="preserve"> 12; с</w:t>
      </w:r>
      <w:r>
        <w:rPr>
          <w:lang w:val="uk-UA"/>
        </w:rPr>
        <w:t xml:space="preserve">мт </w:t>
      </w:r>
      <w:r w:rsidRPr="002D3CAC">
        <w:rPr>
          <w:lang w:val="uk-UA"/>
        </w:rPr>
        <w:t>Олександрівка)</w:t>
      </w:r>
      <w:r>
        <w:rPr>
          <w:lang w:val="uk-UA"/>
        </w:rPr>
        <w:t xml:space="preserve"> за 2018 рік складають 80,1% від плану</w:t>
      </w:r>
      <w:r w:rsidR="00C23C4C">
        <w:rPr>
          <w:lang w:val="uk-UA"/>
        </w:rPr>
        <w:t xml:space="preserve"> та включають витрати на охорону будівель та споруд смт Олександрівка, будівлі МРПЦ (м. Бердянськ </w:t>
      </w:r>
      <w:r w:rsidR="00C23C4C" w:rsidRPr="002D3CAC">
        <w:rPr>
          <w:lang w:val="uk-UA"/>
        </w:rPr>
        <w:t>вул.</w:t>
      </w:r>
      <w:r w:rsidR="00C23C4C">
        <w:rPr>
          <w:lang w:val="uk-UA"/>
        </w:rPr>
        <w:t xml:space="preserve"> </w:t>
      </w:r>
      <w:r w:rsidR="00C23C4C" w:rsidRPr="002D3CAC">
        <w:rPr>
          <w:lang w:val="uk-UA"/>
        </w:rPr>
        <w:t>Горького</w:t>
      </w:r>
      <w:r w:rsidR="00C23C4C">
        <w:rPr>
          <w:lang w:val="uk-UA"/>
        </w:rPr>
        <w:t>,</w:t>
      </w:r>
      <w:r w:rsidR="00C23C4C" w:rsidRPr="002D3CAC">
        <w:rPr>
          <w:lang w:val="uk-UA"/>
        </w:rPr>
        <w:t xml:space="preserve"> 12</w:t>
      </w:r>
      <w:r w:rsidR="00C23C4C">
        <w:rPr>
          <w:lang w:val="uk-UA"/>
        </w:rPr>
        <w:t xml:space="preserve">) та  адміністративної </w:t>
      </w:r>
      <w:r w:rsidR="00C23C4C" w:rsidRPr="002D3CAC">
        <w:rPr>
          <w:lang w:val="uk-UA"/>
        </w:rPr>
        <w:t xml:space="preserve">будівлі </w:t>
      </w:r>
      <w:r w:rsidR="00C23C4C">
        <w:rPr>
          <w:lang w:val="uk-UA"/>
        </w:rPr>
        <w:t>АСПТР (</w:t>
      </w:r>
      <w:proofErr w:type="spellStart"/>
      <w:r w:rsidR="00C23C4C" w:rsidRPr="002D3CAC">
        <w:rPr>
          <w:lang w:val="uk-UA"/>
        </w:rPr>
        <w:t>м.Одеса</w:t>
      </w:r>
      <w:proofErr w:type="spellEnd"/>
      <w:r w:rsidR="00C23C4C" w:rsidRPr="002D3CAC">
        <w:rPr>
          <w:lang w:val="uk-UA"/>
        </w:rPr>
        <w:t xml:space="preserve">, </w:t>
      </w:r>
      <w:proofErr w:type="spellStart"/>
      <w:r w:rsidR="00C23C4C" w:rsidRPr="002D3CAC">
        <w:rPr>
          <w:lang w:val="uk-UA"/>
        </w:rPr>
        <w:t>вул.Приморська</w:t>
      </w:r>
      <w:proofErr w:type="spellEnd"/>
      <w:r w:rsidR="00C23C4C" w:rsidRPr="002D3CAC">
        <w:rPr>
          <w:lang w:val="uk-UA"/>
        </w:rPr>
        <w:t>, 3а</w:t>
      </w:r>
      <w:r w:rsidR="00C23C4C">
        <w:rPr>
          <w:lang w:val="uk-UA"/>
        </w:rPr>
        <w:t>)</w:t>
      </w:r>
      <w:r>
        <w:rPr>
          <w:lang w:val="uk-UA"/>
        </w:rPr>
        <w:t xml:space="preserve">. </w:t>
      </w:r>
      <w:r w:rsidRPr="002D3CAC">
        <w:rPr>
          <w:lang w:val="uk-UA"/>
        </w:rPr>
        <w:t>У першому кварталі</w:t>
      </w:r>
      <w:r w:rsidR="0088473A">
        <w:rPr>
          <w:lang w:val="uk-UA"/>
        </w:rPr>
        <w:t xml:space="preserve"> 2018</w:t>
      </w:r>
      <w:r w:rsidRPr="002D3CAC">
        <w:rPr>
          <w:lang w:val="uk-UA"/>
        </w:rPr>
        <w:t xml:space="preserve"> року по даній статті було заплановано витрати на охорону </w:t>
      </w:r>
      <w:r>
        <w:rPr>
          <w:lang w:val="uk-UA"/>
        </w:rPr>
        <w:t xml:space="preserve">адміністративної </w:t>
      </w:r>
      <w:r w:rsidRPr="002D3CAC">
        <w:rPr>
          <w:lang w:val="uk-UA"/>
        </w:rPr>
        <w:t xml:space="preserve">будівлі </w:t>
      </w:r>
      <w:r>
        <w:rPr>
          <w:lang w:val="uk-UA"/>
        </w:rPr>
        <w:t>АСПТР</w:t>
      </w:r>
      <w:r w:rsidR="00537C5D">
        <w:rPr>
          <w:lang w:val="uk-UA"/>
        </w:rPr>
        <w:t xml:space="preserve"> (</w:t>
      </w:r>
      <w:proofErr w:type="spellStart"/>
      <w:r w:rsidRPr="002D3CAC">
        <w:rPr>
          <w:lang w:val="uk-UA"/>
        </w:rPr>
        <w:t>м.Одеса</w:t>
      </w:r>
      <w:proofErr w:type="spellEnd"/>
      <w:r w:rsidRPr="002D3CAC">
        <w:rPr>
          <w:lang w:val="uk-UA"/>
        </w:rPr>
        <w:t xml:space="preserve">, </w:t>
      </w:r>
      <w:proofErr w:type="spellStart"/>
      <w:r w:rsidRPr="002D3CAC">
        <w:rPr>
          <w:lang w:val="uk-UA"/>
        </w:rPr>
        <w:t>вул.Приморська</w:t>
      </w:r>
      <w:proofErr w:type="spellEnd"/>
      <w:r w:rsidRPr="002D3CAC">
        <w:rPr>
          <w:lang w:val="uk-UA"/>
        </w:rPr>
        <w:t>, 3а</w:t>
      </w:r>
      <w:r w:rsidR="00537C5D">
        <w:rPr>
          <w:lang w:val="uk-UA"/>
        </w:rPr>
        <w:t>)</w:t>
      </w:r>
      <w:r w:rsidRPr="002D3CAC">
        <w:rPr>
          <w:lang w:val="uk-UA"/>
        </w:rPr>
        <w:t xml:space="preserve">. Фактичні витрати на охорону </w:t>
      </w:r>
      <w:r>
        <w:rPr>
          <w:lang w:val="uk-UA"/>
        </w:rPr>
        <w:t xml:space="preserve">адміністративної будівлі </w:t>
      </w:r>
      <w:r w:rsidR="00537C5D">
        <w:rPr>
          <w:lang w:val="uk-UA"/>
        </w:rPr>
        <w:t xml:space="preserve">за 2018 рік </w:t>
      </w:r>
      <w:r w:rsidRPr="002D3CAC">
        <w:rPr>
          <w:lang w:val="uk-UA"/>
        </w:rPr>
        <w:t>відображені у рядку 1051/4/11</w:t>
      </w:r>
      <w:r w:rsidR="00593B77">
        <w:rPr>
          <w:lang w:val="uk-UA"/>
        </w:rPr>
        <w:t xml:space="preserve"> фінансового плану</w:t>
      </w:r>
      <w:r>
        <w:rPr>
          <w:lang w:val="uk-UA"/>
        </w:rPr>
        <w:t>.</w:t>
      </w:r>
    </w:p>
    <w:p w:rsidR="006E37AF" w:rsidRDefault="006E37AF" w:rsidP="009D4F05">
      <w:pPr>
        <w:ind w:firstLine="708"/>
        <w:jc w:val="both"/>
        <w:rPr>
          <w:color w:val="000000"/>
          <w:lang w:val="uk-UA"/>
        </w:rPr>
      </w:pPr>
    </w:p>
    <w:p w:rsidR="00CE7D02" w:rsidRPr="0038726B" w:rsidRDefault="00EC07CF" w:rsidP="009D4F05">
      <w:pPr>
        <w:ind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lastRenderedPageBreak/>
        <w:t>Адміністративн</w:t>
      </w:r>
      <w:r>
        <w:rPr>
          <w:color w:val="000000"/>
          <w:lang w:val="uk-UA"/>
        </w:rPr>
        <w:t>і</w:t>
      </w:r>
      <w:r w:rsidRPr="0038726B">
        <w:rPr>
          <w:color w:val="000000"/>
          <w:lang w:val="uk-UA"/>
        </w:rPr>
        <w:t xml:space="preserve"> </w:t>
      </w:r>
      <w:r w:rsidR="00CE7D02" w:rsidRPr="0038726B">
        <w:rPr>
          <w:color w:val="000000"/>
          <w:lang w:val="uk-UA"/>
        </w:rPr>
        <w:t>витрат</w:t>
      </w:r>
      <w:r>
        <w:rPr>
          <w:color w:val="000000"/>
          <w:lang w:val="uk-UA"/>
        </w:rPr>
        <w:t>и</w:t>
      </w:r>
      <w:r w:rsidR="00DA78A2" w:rsidRPr="0038726B">
        <w:rPr>
          <w:color w:val="000000"/>
          <w:lang w:val="uk-UA"/>
        </w:rPr>
        <w:t xml:space="preserve"> </w:t>
      </w:r>
      <w:r w:rsidR="00671B03" w:rsidRPr="0038726B">
        <w:rPr>
          <w:color w:val="000000"/>
          <w:lang w:val="uk-UA"/>
        </w:rPr>
        <w:t>за</w:t>
      </w:r>
      <w:r w:rsidR="006C5E78" w:rsidRPr="0038726B">
        <w:rPr>
          <w:color w:val="000000"/>
          <w:lang w:val="uk-UA"/>
        </w:rPr>
        <w:t xml:space="preserve"> </w:t>
      </w:r>
      <w:r w:rsidR="00E30F09" w:rsidRPr="0038726B">
        <w:rPr>
          <w:color w:val="000000"/>
          <w:lang w:val="uk-UA"/>
        </w:rPr>
        <w:t>201</w:t>
      </w:r>
      <w:r w:rsidR="00B13AA1">
        <w:rPr>
          <w:color w:val="000000"/>
          <w:lang w:val="uk-UA"/>
        </w:rPr>
        <w:t>8</w:t>
      </w:r>
      <w:r w:rsidR="00E30F09" w:rsidRPr="0038726B">
        <w:rPr>
          <w:color w:val="000000"/>
          <w:lang w:val="uk-UA"/>
        </w:rPr>
        <w:t xml:space="preserve"> р</w:t>
      </w:r>
      <w:r w:rsidR="00834A5B">
        <w:rPr>
          <w:color w:val="000000"/>
          <w:lang w:val="uk-UA"/>
        </w:rPr>
        <w:t>і</w:t>
      </w:r>
      <w:r w:rsidR="00E30F09" w:rsidRPr="0038726B">
        <w:rPr>
          <w:color w:val="000000"/>
          <w:lang w:val="uk-UA"/>
        </w:rPr>
        <w:t xml:space="preserve">к </w:t>
      </w:r>
      <w:r w:rsidR="00057648" w:rsidRPr="0038726B">
        <w:rPr>
          <w:color w:val="000000"/>
          <w:lang w:val="uk-UA"/>
        </w:rPr>
        <w:t xml:space="preserve">складають </w:t>
      </w:r>
      <w:r w:rsidR="00CE21EF">
        <w:rPr>
          <w:color w:val="000000"/>
          <w:lang w:val="uk-UA"/>
        </w:rPr>
        <w:t>40424</w:t>
      </w:r>
      <w:r w:rsidR="00DA78A2" w:rsidRPr="0038726B">
        <w:rPr>
          <w:color w:val="000000"/>
          <w:lang w:val="uk-UA"/>
        </w:rPr>
        <w:t xml:space="preserve"> тис. грн.,</w:t>
      </w:r>
      <w:r w:rsidR="006C5E78" w:rsidRPr="0038726B">
        <w:rPr>
          <w:color w:val="000000"/>
          <w:lang w:val="uk-UA"/>
        </w:rPr>
        <w:t xml:space="preserve"> </w:t>
      </w:r>
      <w:r w:rsidR="00EA4804">
        <w:rPr>
          <w:color w:val="000000"/>
          <w:lang w:val="uk-UA"/>
        </w:rPr>
        <w:t xml:space="preserve">або </w:t>
      </w:r>
      <w:r w:rsidR="00CE21EF">
        <w:rPr>
          <w:color w:val="000000"/>
          <w:lang w:val="uk-UA"/>
        </w:rPr>
        <w:t>96</w:t>
      </w:r>
      <w:r>
        <w:rPr>
          <w:color w:val="000000"/>
          <w:lang w:val="uk-UA"/>
        </w:rPr>
        <w:t>,</w:t>
      </w:r>
      <w:r w:rsidR="00CE21EF">
        <w:rPr>
          <w:color w:val="000000"/>
          <w:lang w:val="uk-UA"/>
        </w:rPr>
        <w:t>5</w:t>
      </w:r>
      <w:r w:rsidR="00C041D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% від </w:t>
      </w:r>
      <w:r w:rsidR="00440C60">
        <w:rPr>
          <w:color w:val="000000"/>
          <w:lang w:val="uk-UA"/>
        </w:rPr>
        <w:t>планов</w:t>
      </w:r>
      <w:r>
        <w:rPr>
          <w:color w:val="000000"/>
          <w:lang w:val="uk-UA"/>
        </w:rPr>
        <w:t>ого</w:t>
      </w:r>
      <w:r w:rsidR="00440C60">
        <w:rPr>
          <w:color w:val="000000"/>
          <w:lang w:val="uk-UA"/>
        </w:rPr>
        <w:t xml:space="preserve"> показник</w:t>
      </w:r>
      <w:r>
        <w:rPr>
          <w:color w:val="000000"/>
          <w:lang w:val="uk-UA"/>
        </w:rPr>
        <w:t>а</w:t>
      </w:r>
      <w:r w:rsidR="006C5E78" w:rsidRPr="0038726B">
        <w:rPr>
          <w:color w:val="000000"/>
          <w:lang w:val="uk-UA"/>
        </w:rPr>
        <w:t xml:space="preserve">. Статті витрат щодо адміністративних витрат </w:t>
      </w:r>
      <w:r w:rsidR="00CE7D02" w:rsidRPr="0038726B">
        <w:rPr>
          <w:color w:val="000000"/>
          <w:lang w:val="uk-UA"/>
        </w:rPr>
        <w:t>наведен</w:t>
      </w:r>
      <w:r w:rsidR="00E30F09" w:rsidRPr="0038726B">
        <w:rPr>
          <w:color w:val="000000"/>
          <w:lang w:val="uk-UA"/>
        </w:rPr>
        <w:t>і</w:t>
      </w:r>
      <w:r w:rsidR="00CE7D02" w:rsidRPr="0038726B">
        <w:rPr>
          <w:color w:val="000000"/>
          <w:lang w:val="uk-UA"/>
        </w:rPr>
        <w:t xml:space="preserve"> в таблиці</w:t>
      </w:r>
      <w:r w:rsidR="006F10FA" w:rsidRPr="0038726B">
        <w:rPr>
          <w:color w:val="000000"/>
          <w:lang w:val="uk-UA"/>
        </w:rPr>
        <w:t xml:space="preserve"> 4.</w:t>
      </w:r>
    </w:p>
    <w:p w:rsidR="002746B3" w:rsidRPr="00CE21EF" w:rsidRDefault="002C6AA0" w:rsidP="002C6AA0">
      <w:pPr>
        <w:ind w:left="7788" w:firstLine="708"/>
        <w:rPr>
          <w:color w:val="000000"/>
          <w:sz w:val="22"/>
          <w:szCs w:val="22"/>
          <w:lang w:val="uk-UA"/>
        </w:rPr>
      </w:pPr>
      <w:r w:rsidRPr="00CE21EF">
        <w:rPr>
          <w:color w:val="000000"/>
          <w:sz w:val="22"/>
          <w:szCs w:val="22"/>
          <w:lang w:val="uk-UA"/>
        </w:rPr>
        <w:t>Таблиця 4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972"/>
        <w:gridCol w:w="1701"/>
        <w:gridCol w:w="1559"/>
        <w:gridCol w:w="1843"/>
        <w:gridCol w:w="1559"/>
      </w:tblGrid>
      <w:tr w:rsidR="00CE21EF" w:rsidRPr="00CE21EF" w:rsidTr="00CE21EF">
        <w:trPr>
          <w:trHeight w:val="4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EF" w:rsidRPr="00CE21EF" w:rsidRDefault="00CE21EF" w:rsidP="00CE21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EF" w:rsidRPr="002C6AA0" w:rsidRDefault="00CE21EF" w:rsidP="00CE21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C6AA0">
              <w:rPr>
                <w:color w:val="000000"/>
                <w:sz w:val="22"/>
                <w:szCs w:val="22"/>
                <w:lang w:val="uk-UA"/>
              </w:rPr>
              <w:t xml:space="preserve">План, </w:t>
            </w:r>
          </w:p>
          <w:p w:rsidR="00CE21EF" w:rsidRPr="002C6AA0" w:rsidRDefault="00CE21EF" w:rsidP="00CE21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C6AA0">
              <w:rPr>
                <w:color w:val="000000"/>
                <w:sz w:val="22"/>
                <w:szCs w:val="22"/>
                <w:lang w:val="uk-UA"/>
              </w:rPr>
              <w:t xml:space="preserve">тис. грн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EF" w:rsidRPr="002C6AA0" w:rsidRDefault="00CE21EF" w:rsidP="00CE21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C6AA0">
              <w:rPr>
                <w:color w:val="000000"/>
                <w:sz w:val="22"/>
                <w:szCs w:val="22"/>
                <w:lang w:val="uk-UA"/>
              </w:rPr>
              <w:t xml:space="preserve">Факт, </w:t>
            </w:r>
          </w:p>
          <w:p w:rsidR="00CE21EF" w:rsidRPr="002C6AA0" w:rsidRDefault="00CE21EF" w:rsidP="00CE21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C6AA0">
              <w:rPr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EF" w:rsidRPr="002C6AA0" w:rsidRDefault="00CE21EF" w:rsidP="00CE21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C6AA0">
              <w:rPr>
                <w:color w:val="000000"/>
                <w:sz w:val="22"/>
                <w:szCs w:val="22"/>
                <w:lang w:val="uk-UA"/>
              </w:rPr>
              <w:t xml:space="preserve">відхилення,  +/– </w:t>
            </w:r>
          </w:p>
          <w:p w:rsidR="00CE21EF" w:rsidRPr="002C6AA0" w:rsidRDefault="00CE21EF" w:rsidP="00CE21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C6AA0">
              <w:rPr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EF" w:rsidRPr="002C6AA0" w:rsidRDefault="00CE21EF" w:rsidP="00CE21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C6AA0">
              <w:rPr>
                <w:color w:val="000000"/>
                <w:sz w:val="22"/>
                <w:szCs w:val="22"/>
                <w:lang w:val="uk-UA"/>
              </w:rPr>
              <w:t>виконання, %</w:t>
            </w:r>
          </w:p>
        </w:tc>
      </w:tr>
      <w:tr w:rsidR="00AD3256" w:rsidRPr="00CE21EF" w:rsidTr="00AD3256">
        <w:trPr>
          <w:trHeight w:val="2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56" w:rsidRPr="00CE21EF" w:rsidRDefault="00AD3256" w:rsidP="00AD32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56" w:rsidRPr="00CE21EF" w:rsidRDefault="00AD3256" w:rsidP="00AD32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56" w:rsidRPr="00CE21EF" w:rsidRDefault="00AD3256" w:rsidP="00AD32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56" w:rsidRDefault="00AD3256" w:rsidP="00AD32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56" w:rsidRPr="00CE21EF" w:rsidRDefault="00AD3256" w:rsidP="00AD32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CE21EF" w:rsidRPr="00CE21EF" w:rsidTr="00CE21EF">
        <w:trPr>
          <w:trHeight w:val="4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Адміністративні витрати,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41 903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40 424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1 479,0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96,5</w:t>
            </w:r>
          </w:p>
        </w:tc>
      </w:tr>
      <w:tr w:rsidR="00CE21EF" w:rsidRPr="00CE21EF" w:rsidTr="00CE21EF">
        <w:trPr>
          <w:trHeight w:val="9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46,2</w:t>
            </w:r>
          </w:p>
        </w:tc>
      </w:tr>
      <w:tr w:rsidR="00CE21EF" w:rsidRPr="00CE21EF" w:rsidTr="00CE21EF">
        <w:trPr>
          <w:trHeight w:val="41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витрати на службові відрядження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1 671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1 319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352,0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78,9</w:t>
            </w:r>
          </w:p>
        </w:tc>
      </w:tr>
      <w:tr w:rsidR="00CE21EF" w:rsidRPr="00CE21EF" w:rsidTr="006E37AF">
        <w:trPr>
          <w:trHeight w:val="4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витрати на зв’язок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A06CC6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58,5</w:t>
            </w:r>
          </w:p>
        </w:tc>
      </w:tr>
      <w:tr w:rsidR="00CE21EF" w:rsidRPr="00CE21EF" w:rsidTr="00870869">
        <w:trPr>
          <w:trHeight w:val="43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витрати на оплату праці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21 709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21 142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567,0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97,4</w:t>
            </w:r>
          </w:p>
        </w:tc>
      </w:tr>
      <w:tr w:rsidR="00CE21EF" w:rsidRPr="00CE21EF" w:rsidTr="00CE21EF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4 776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4 603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96,4</w:t>
            </w:r>
          </w:p>
        </w:tc>
      </w:tr>
      <w:tr w:rsidR="00CE21EF" w:rsidRPr="00CE21EF" w:rsidTr="00CE21EF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амортизація основних засобів і нематеріальних активів загальногосподарського призначення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1 327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144,6</w:t>
            </w:r>
          </w:p>
        </w:tc>
      </w:tr>
      <w:tr w:rsidR="00CE21EF" w:rsidRPr="00CE21EF" w:rsidTr="00CE21EF">
        <w:trPr>
          <w:trHeight w:val="8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витрати на операційну оренду основних засобів та роялті, що мають загальногосподарське призначення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7 641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7 668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100,4</w:t>
            </w:r>
          </w:p>
        </w:tc>
      </w:tr>
      <w:tr w:rsidR="00CE21EF" w:rsidRPr="00CE21EF" w:rsidTr="006E37AF">
        <w:trPr>
          <w:trHeight w:val="5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організаційно-технічні послуги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 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81,4</w:t>
            </w:r>
          </w:p>
        </w:tc>
      </w:tr>
      <w:tr w:rsidR="00CE21EF" w:rsidRPr="00CE21EF" w:rsidTr="006E37AF">
        <w:trPr>
          <w:trHeight w:val="38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юридичні послуги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32,0</w:t>
            </w:r>
          </w:p>
        </w:tc>
      </w:tr>
      <w:tr w:rsidR="00CE21EF" w:rsidRPr="00CE21EF" w:rsidTr="00CE21EF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витрати на підвищення кваліфікації та перепідготовку кадрів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41,5</w:t>
            </w:r>
          </w:p>
        </w:tc>
      </w:tr>
      <w:tr w:rsidR="00CE21EF" w:rsidRPr="00CE21EF" w:rsidTr="00CE21EF">
        <w:trPr>
          <w:trHeight w:val="8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витрати на утримання основних фондів, інших необоротних активів загальногосподарського використання,  у тому числі: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1 647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1 611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97,8</w:t>
            </w:r>
          </w:p>
        </w:tc>
      </w:tr>
      <w:tr w:rsidR="00CE21EF" w:rsidRPr="00CE21EF" w:rsidTr="00CE21EF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6E37A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інші адміністративні витрати</w:t>
            </w:r>
            <w:r w:rsidR="00FF2D25">
              <w:rPr>
                <w:sz w:val="22"/>
                <w:szCs w:val="22"/>
                <w:lang w:val="uk-UA"/>
              </w:rPr>
              <w:t>, у тому числі</w:t>
            </w:r>
            <w:r w:rsidRPr="00CE21E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2 747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2 431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316,0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88,5</w:t>
            </w:r>
          </w:p>
        </w:tc>
      </w:tr>
      <w:tr w:rsidR="00CE21EF" w:rsidRPr="00CE21EF" w:rsidTr="00CE21EF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6E37A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витрати на матеріали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 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91,6</w:t>
            </w:r>
          </w:p>
        </w:tc>
      </w:tr>
      <w:tr w:rsidR="00CE21EF" w:rsidRPr="00CE21EF" w:rsidTr="00CE21E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6E37A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2 141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1 876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87,6</w:t>
            </w:r>
          </w:p>
        </w:tc>
      </w:tr>
      <w:tr w:rsidR="00CE21EF" w:rsidRPr="00CE21EF" w:rsidTr="00CE21E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Послуги банку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 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91,1</w:t>
            </w:r>
          </w:p>
        </w:tc>
      </w:tr>
      <w:tr w:rsidR="00CE21EF" w:rsidRPr="00CE21EF" w:rsidTr="006E37AF">
        <w:trPr>
          <w:trHeight w:val="44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Обслуговування комп'ютерних програм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 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65,6</w:t>
            </w:r>
          </w:p>
        </w:tc>
      </w:tr>
      <w:tr w:rsidR="00CE21EF" w:rsidRPr="00CE21EF" w:rsidTr="00CE21EF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Компенсація витрат балансоутримувача на утримання офісного будинку у м. Одеса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101,0</w:t>
            </w:r>
          </w:p>
        </w:tc>
      </w:tr>
      <w:tr w:rsidR="00CE21EF" w:rsidRPr="00CE21EF" w:rsidTr="009D73AE">
        <w:trPr>
          <w:trHeight w:val="12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lastRenderedPageBreak/>
              <w:t>Рекламні послуги, висвітлення діяльності підприємства, розміщення інформації в ЗМІ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 277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76,9</w:t>
            </w:r>
          </w:p>
        </w:tc>
      </w:tr>
      <w:tr w:rsidR="00CE21EF" w:rsidRPr="00CE21EF" w:rsidTr="00CE21EF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Підписка на періодичні видання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102,0</w:t>
            </w:r>
          </w:p>
        </w:tc>
      </w:tr>
      <w:tr w:rsidR="00CE21EF" w:rsidRPr="00CE21EF" w:rsidTr="00CE21E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Послуги державних </w:t>
            </w:r>
            <w:r w:rsidR="002D5E70" w:rsidRPr="00CE21EF">
              <w:rPr>
                <w:sz w:val="22"/>
                <w:szCs w:val="22"/>
                <w:lang w:val="uk-UA"/>
              </w:rPr>
              <w:t>реєстраторів</w:t>
            </w:r>
            <w:r w:rsidRPr="00CE21EF">
              <w:rPr>
                <w:sz w:val="22"/>
                <w:szCs w:val="22"/>
                <w:lang w:val="uk-UA"/>
              </w:rPr>
              <w:t xml:space="preserve"> та ТПП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   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0,0</w:t>
            </w:r>
          </w:p>
        </w:tc>
      </w:tr>
      <w:tr w:rsidR="00CE21EF" w:rsidRPr="00CE21EF" w:rsidTr="00CE21E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Витрати на консультування щодо бухобліку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5A21AA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 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A06CC6" w:rsidP="00CE21E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CE21EF" w:rsidRPr="00CE21EF">
              <w:rPr>
                <w:sz w:val="22"/>
                <w:szCs w:val="22"/>
                <w:lang w:val="uk-UA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46,0</w:t>
            </w:r>
          </w:p>
        </w:tc>
      </w:tr>
      <w:tr w:rsidR="00CE21EF" w:rsidRPr="00CE21EF" w:rsidTr="006E37AF">
        <w:trPr>
          <w:trHeight w:val="105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Витрати на утримання основних фондів адміністративного призначення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 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 xml:space="preserve">                 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EF" w:rsidRPr="00CE21EF" w:rsidRDefault="00CE21EF" w:rsidP="00CE21EF">
            <w:pPr>
              <w:jc w:val="right"/>
              <w:rPr>
                <w:sz w:val="22"/>
                <w:szCs w:val="22"/>
                <w:lang w:val="uk-UA"/>
              </w:rPr>
            </w:pPr>
            <w:r w:rsidRPr="00CE21EF">
              <w:rPr>
                <w:sz w:val="22"/>
                <w:szCs w:val="22"/>
                <w:lang w:val="uk-UA"/>
              </w:rPr>
              <w:t>137,2</w:t>
            </w:r>
          </w:p>
        </w:tc>
      </w:tr>
    </w:tbl>
    <w:p w:rsidR="00CE21EF" w:rsidRDefault="00CE21EF" w:rsidP="00CE21EF">
      <w:pPr>
        <w:rPr>
          <w:color w:val="000000"/>
          <w:lang w:val="uk-UA"/>
        </w:rPr>
      </w:pPr>
    </w:p>
    <w:p w:rsidR="00C041DB" w:rsidRPr="000274C2" w:rsidRDefault="00C041DB" w:rsidP="000274C2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484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відрядження (рядок 1036) складають </w:t>
      </w:r>
      <w:r w:rsidR="00350484">
        <w:rPr>
          <w:rFonts w:ascii="Times New Roman" w:hAnsi="Times New Roman" w:cs="Times New Roman"/>
          <w:sz w:val="24"/>
          <w:szCs w:val="24"/>
          <w:lang w:val="uk-UA"/>
        </w:rPr>
        <w:t>78</w:t>
      </w:r>
      <w:r w:rsidRPr="0035048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048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50484">
        <w:rPr>
          <w:rFonts w:ascii="Times New Roman" w:hAnsi="Times New Roman" w:cs="Times New Roman"/>
          <w:sz w:val="24"/>
          <w:szCs w:val="24"/>
          <w:lang w:val="uk-UA"/>
        </w:rPr>
        <w:t xml:space="preserve">% від планового показника. </w:t>
      </w:r>
      <w:r w:rsidR="000274C2" w:rsidRPr="00350484">
        <w:rPr>
          <w:rFonts w:ascii="Times New Roman" w:hAnsi="Times New Roman" w:cs="Times New Roman"/>
          <w:sz w:val="24"/>
          <w:szCs w:val="24"/>
          <w:lang w:val="uk-UA"/>
        </w:rPr>
        <w:t>Зниження</w:t>
      </w:r>
      <w:r w:rsidR="000274C2" w:rsidRPr="000274C2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запланованих витрат пов’язано із зменшенням витрат на міжнародні відрядження працівників КП «МПРС». Участь у  2-му засіданні Наглядового комітету Проекту «Морська безпека, охорона та захист навколишнього середовища в регіонах Чорного та Каспійського морів», м. Батумі, Грузія одного із двох представників КП «МПРС» було здійснено за рахунок проекту. Делегація КП «МПРС» на 99-ї чергової сесії Комітету з безпеки на морі, Міжнародної морської організації у травні поточного року була скорочена до двох осіб. </w:t>
      </w:r>
      <w:r w:rsidR="000274C2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Візит</w:t>
      </w:r>
      <w:r w:rsidR="00390132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0274C2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Морської адміністрації Румунії - не </w:t>
      </w:r>
      <w:r w:rsidR="00390132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відбулося</w:t>
      </w:r>
      <w:r w:rsidR="000274C2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>, оскільки вирішення  питань, що планувалися до обговорення з румунською стороною, було здійснено дипломатичними каналами через МЗС України.</w:t>
      </w:r>
      <w:r w:rsidR="000274C2" w:rsidRPr="000274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74C2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Відрядження до Морської адміністрації Грузії, м. Батумі не відбулося, оскільки обговорення питань було проведено </w:t>
      </w:r>
      <w:r w:rsidR="000274C2" w:rsidRPr="000274C2">
        <w:rPr>
          <w:rFonts w:ascii="Times New Roman" w:hAnsi="Times New Roman" w:cs="Times New Roman"/>
          <w:sz w:val="24"/>
          <w:szCs w:val="24"/>
          <w:lang w:val="uk-UA"/>
        </w:rPr>
        <w:t>під час відвідування представників КП «МПРС» у складі делегації України Міжнародного Морського Форуму (</w:t>
      </w:r>
      <w:proofErr w:type="spellStart"/>
      <w:r w:rsidR="000274C2" w:rsidRPr="000274C2">
        <w:rPr>
          <w:rFonts w:ascii="Times New Roman" w:hAnsi="Times New Roman" w:cs="Times New Roman"/>
          <w:sz w:val="24"/>
          <w:szCs w:val="24"/>
          <w:lang w:val="uk-UA"/>
        </w:rPr>
        <w:t>м.Батумі</w:t>
      </w:r>
      <w:proofErr w:type="spellEnd"/>
      <w:r w:rsidR="000274C2" w:rsidRPr="000274C2">
        <w:rPr>
          <w:rFonts w:ascii="Times New Roman" w:hAnsi="Times New Roman" w:cs="Times New Roman"/>
          <w:sz w:val="24"/>
          <w:szCs w:val="24"/>
          <w:lang w:val="uk-UA"/>
        </w:rPr>
        <w:t xml:space="preserve">, 12-14.09.2018). </w:t>
      </w:r>
      <w:r w:rsidR="000274C2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зв’язку із відсутністю виробничої потреби візит до представництва компанії «</w:t>
      </w:r>
      <w:proofErr w:type="spellStart"/>
      <w:r w:rsidR="000274C2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>Ейрбас</w:t>
      </w:r>
      <w:proofErr w:type="spellEnd"/>
      <w:r w:rsidR="000274C2" w:rsidRP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>» м. Париж було відмінено. Усі витрати щодо відвідування семінару в рамках Проекту з питань Чорного та Каспійського морів Європейського агентства з питань морської безпеки було здійснено за рахунок приймаючої сторони.</w:t>
      </w:r>
      <w:r w:rsidR="000274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274C2" w:rsidRPr="000274C2">
        <w:rPr>
          <w:rFonts w:ascii="Times New Roman" w:hAnsi="Times New Roman" w:cs="Times New Roman"/>
          <w:sz w:val="24"/>
          <w:szCs w:val="24"/>
          <w:lang w:val="uk-UA"/>
        </w:rPr>
        <w:t xml:space="preserve">Фактичні </w:t>
      </w:r>
      <w:r w:rsidRPr="000274C2">
        <w:rPr>
          <w:rFonts w:ascii="Times New Roman" w:hAnsi="Times New Roman" w:cs="Times New Roman"/>
          <w:sz w:val="24"/>
          <w:szCs w:val="24"/>
          <w:lang w:val="uk-UA"/>
        </w:rPr>
        <w:t>витрати на відрядження керівн</w:t>
      </w:r>
      <w:r w:rsidR="000274C2">
        <w:rPr>
          <w:rFonts w:ascii="Times New Roman" w:hAnsi="Times New Roman" w:cs="Times New Roman"/>
          <w:sz w:val="24"/>
          <w:szCs w:val="24"/>
          <w:lang w:val="uk-UA"/>
        </w:rPr>
        <w:t>ого складу</w:t>
      </w:r>
      <w:r w:rsidRPr="000274C2">
        <w:rPr>
          <w:rFonts w:ascii="Times New Roman" w:hAnsi="Times New Roman" w:cs="Times New Roman"/>
          <w:sz w:val="24"/>
          <w:szCs w:val="24"/>
          <w:lang w:val="uk-UA"/>
        </w:rPr>
        <w:t xml:space="preserve"> КП</w:t>
      </w:r>
      <w:r w:rsidR="000D5A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74C2">
        <w:rPr>
          <w:rFonts w:ascii="Times New Roman" w:hAnsi="Times New Roman" w:cs="Times New Roman"/>
          <w:sz w:val="24"/>
          <w:szCs w:val="24"/>
          <w:lang w:val="uk-UA"/>
        </w:rPr>
        <w:t>"МПРС", а також працівників юридичної служби, були менші від запланованих.</w:t>
      </w:r>
    </w:p>
    <w:p w:rsidR="004652E5" w:rsidRDefault="002E09B3" w:rsidP="00713895">
      <w:pPr>
        <w:ind w:firstLine="708"/>
        <w:jc w:val="both"/>
        <w:rPr>
          <w:lang w:val="uk-UA"/>
        </w:rPr>
      </w:pPr>
      <w:r>
        <w:rPr>
          <w:lang w:val="uk-UA"/>
        </w:rPr>
        <w:t>Витрати на юридичні по</w:t>
      </w:r>
      <w:r w:rsidR="005C723B">
        <w:rPr>
          <w:lang w:val="uk-UA"/>
        </w:rPr>
        <w:t>с</w:t>
      </w:r>
      <w:r>
        <w:rPr>
          <w:lang w:val="uk-UA"/>
        </w:rPr>
        <w:t xml:space="preserve">луги (рядок </w:t>
      </w:r>
      <w:r w:rsidR="005C723B">
        <w:rPr>
          <w:lang w:val="uk-UA"/>
        </w:rPr>
        <w:t>1046</w:t>
      </w:r>
      <w:r>
        <w:rPr>
          <w:lang w:val="uk-UA"/>
        </w:rPr>
        <w:t>)</w:t>
      </w:r>
      <w:r w:rsidR="005C723B">
        <w:rPr>
          <w:lang w:val="uk-UA"/>
        </w:rPr>
        <w:t xml:space="preserve"> виконані на </w:t>
      </w:r>
      <w:r w:rsidR="004652E5">
        <w:rPr>
          <w:lang w:val="uk-UA"/>
        </w:rPr>
        <w:t>32</w:t>
      </w:r>
      <w:r w:rsidR="005C723B">
        <w:rPr>
          <w:lang w:val="uk-UA"/>
        </w:rPr>
        <w:t>%</w:t>
      </w:r>
      <w:r w:rsidR="000D5A2B">
        <w:rPr>
          <w:lang w:val="uk-UA"/>
        </w:rPr>
        <w:t xml:space="preserve"> від плану</w:t>
      </w:r>
      <w:r w:rsidR="005C723B">
        <w:rPr>
          <w:lang w:val="uk-UA"/>
        </w:rPr>
        <w:t xml:space="preserve">.  </w:t>
      </w:r>
      <w:r w:rsidRPr="002E09B3">
        <w:rPr>
          <w:lang w:val="uk-UA"/>
        </w:rPr>
        <w:t xml:space="preserve">У зв’язку із перенесенням розгляду двох справ, </w:t>
      </w:r>
      <w:r w:rsidR="005C723B">
        <w:rPr>
          <w:lang w:val="uk-UA"/>
        </w:rPr>
        <w:t>що</w:t>
      </w:r>
      <w:r w:rsidRPr="002E09B3">
        <w:rPr>
          <w:lang w:val="uk-UA"/>
        </w:rPr>
        <w:t xml:space="preserve"> планувалися у </w:t>
      </w:r>
      <w:proofErr w:type="spellStart"/>
      <w:r w:rsidR="004652E5">
        <w:rPr>
          <w:lang w:val="uk-UA"/>
        </w:rPr>
        <w:t>прикінці</w:t>
      </w:r>
      <w:proofErr w:type="spellEnd"/>
      <w:r w:rsidR="004652E5">
        <w:rPr>
          <w:lang w:val="uk-UA"/>
        </w:rPr>
        <w:t xml:space="preserve"> </w:t>
      </w:r>
      <w:r w:rsidRPr="002E09B3">
        <w:rPr>
          <w:lang w:val="uk-UA"/>
        </w:rPr>
        <w:t>2018 року, зменшились в</w:t>
      </w:r>
      <w:r w:rsidR="0088473A">
        <w:rPr>
          <w:lang w:val="uk-UA"/>
        </w:rPr>
        <w:t>и</w:t>
      </w:r>
      <w:r w:rsidRPr="002E09B3">
        <w:rPr>
          <w:lang w:val="uk-UA"/>
        </w:rPr>
        <w:t>трати на  послуги з представництва адвокатом в суді.</w:t>
      </w:r>
      <w:r w:rsidR="004652E5" w:rsidRPr="004652E5">
        <w:rPr>
          <w:lang w:val="uk-UA"/>
        </w:rPr>
        <w:t xml:space="preserve"> Фактичні витрати на представництво адвоката в судових засіданнях склали лише 52 тис.</w:t>
      </w:r>
      <w:r w:rsidR="004652E5">
        <w:rPr>
          <w:lang w:val="uk-UA"/>
        </w:rPr>
        <w:t xml:space="preserve"> </w:t>
      </w:r>
      <w:r w:rsidR="004652E5" w:rsidRPr="004652E5">
        <w:rPr>
          <w:lang w:val="uk-UA"/>
        </w:rPr>
        <w:t>грн. в порівнянні з 323</w:t>
      </w:r>
      <w:r w:rsidR="004652E5">
        <w:rPr>
          <w:lang w:val="uk-UA"/>
        </w:rPr>
        <w:t xml:space="preserve"> </w:t>
      </w:r>
      <w:r w:rsidR="004652E5" w:rsidRPr="004652E5">
        <w:rPr>
          <w:lang w:val="uk-UA"/>
        </w:rPr>
        <w:t>тис.</w:t>
      </w:r>
      <w:r w:rsidR="004652E5">
        <w:rPr>
          <w:lang w:val="uk-UA"/>
        </w:rPr>
        <w:t xml:space="preserve"> </w:t>
      </w:r>
      <w:r w:rsidR="004652E5" w:rsidRPr="004652E5">
        <w:rPr>
          <w:lang w:val="uk-UA"/>
        </w:rPr>
        <w:t>грн. по плану. Витрати на судові збори склали 76 тис.</w:t>
      </w:r>
      <w:r w:rsidR="004652E5">
        <w:rPr>
          <w:lang w:val="uk-UA"/>
        </w:rPr>
        <w:t xml:space="preserve"> </w:t>
      </w:r>
      <w:r w:rsidR="004652E5" w:rsidRPr="004652E5">
        <w:rPr>
          <w:lang w:val="uk-UA"/>
        </w:rPr>
        <w:t>грн. в порівнянні з 80 тис.</w:t>
      </w:r>
      <w:r w:rsidR="004652E5">
        <w:rPr>
          <w:lang w:val="uk-UA"/>
        </w:rPr>
        <w:t xml:space="preserve"> </w:t>
      </w:r>
      <w:r w:rsidR="004652E5" w:rsidRPr="004652E5">
        <w:rPr>
          <w:lang w:val="uk-UA"/>
        </w:rPr>
        <w:t>грн. згідно плану, витрати на послуги нотаріусів 1 тис.</w:t>
      </w:r>
      <w:r w:rsidR="004652E5">
        <w:rPr>
          <w:lang w:val="uk-UA"/>
        </w:rPr>
        <w:t xml:space="preserve"> </w:t>
      </w:r>
      <w:r w:rsidR="004652E5" w:rsidRPr="004652E5">
        <w:rPr>
          <w:lang w:val="uk-UA"/>
        </w:rPr>
        <w:t>грн. в порівнянні з 9 тис.</w:t>
      </w:r>
      <w:r w:rsidR="004652E5">
        <w:rPr>
          <w:lang w:val="uk-UA"/>
        </w:rPr>
        <w:t xml:space="preserve"> </w:t>
      </w:r>
      <w:r w:rsidR="004652E5" w:rsidRPr="004652E5">
        <w:rPr>
          <w:lang w:val="uk-UA"/>
        </w:rPr>
        <w:t>грн згідно план</w:t>
      </w:r>
      <w:r w:rsidR="00EF391C">
        <w:rPr>
          <w:lang w:val="uk-UA"/>
        </w:rPr>
        <w:t>у</w:t>
      </w:r>
      <w:r w:rsidR="004652E5" w:rsidRPr="004652E5">
        <w:rPr>
          <w:lang w:val="uk-UA"/>
        </w:rPr>
        <w:t>.</w:t>
      </w:r>
    </w:p>
    <w:p w:rsidR="00A729DF" w:rsidRDefault="00A729DF" w:rsidP="00713895">
      <w:pPr>
        <w:ind w:firstLine="708"/>
        <w:jc w:val="both"/>
        <w:rPr>
          <w:lang w:val="uk-UA"/>
        </w:rPr>
      </w:pPr>
      <w:r w:rsidRPr="007C1E6E">
        <w:rPr>
          <w:lang w:val="uk-UA"/>
        </w:rPr>
        <w:t>Витрати на обслуговування комп’ютерних програм (рядок 1051/4/2) склада</w:t>
      </w:r>
      <w:r w:rsidR="00875562">
        <w:rPr>
          <w:lang w:val="uk-UA"/>
        </w:rPr>
        <w:t>ють</w:t>
      </w:r>
      <w:r w:rsidRPr="007C1E6E">
        <w:rPr>
          <w:lang w:val="uk-UA"/>
        </w:rPr>
        <w:t xml:space="preserve"> 6</w:t>
      </w:r>
      <w:r w:rsidR="004652E5">
        <w:rPr>
          <w:lang w:val="uk-UA"/>
        </w:rPr>
        <w:t>5</w:t>
      </w:r>
      <w:r w:rsidRPr="007C1E6E">
        <w:rPr>
          <w:lang w:val="uk-UA"/>
        </w:rPr>
        <w:t>,</w:t>
      </w:r>
      <w:r w:rsidR="004652E5">
        <w:rPr>
          <w:lang w:val="uk-UA"/>
        </w:rPr>
        <w:t>6</w:t>
      </w:r>
      <w:r w:rsidRPr="007C1E6E">
        <w:rPr>
          <w:lang w:val="uk-UA"/>
        </w:rPr>
        <w:t xml:space="preserve">% від планового показника. Економія пов’язана з відсутністю потреби </w:t>
      </w:r>
      <w:r w:rsidR="005B10E5">
        <w:rPr>
          <w:lang w:val="uk-UA"/>
        </w:rPr>
        <w:t xml:space="preserve">протягом року </w:t>
      </w:r>
      <w:r w:rsidRPr="007C1E6E">
        <w:rPr>
          <w:lang w:val="uk-UA"/>
        </w:rPr>
        <w:t>в обслуг</w:t>
      </w:r>
      <w:r w:rsidRPr="00A729DF">
        <w:rPr>
          <w:lang w:val="uk-UA"/>
        </w:rPr>
        <w:t>овуванн</w:t>
      </w:r>
      <w:r>
        <w:rPr>
          <w:lang w:val="uk-UA"/>
        </w:rPr>
        <w:t>і</w:t>
      </w:r>
      <w:r w:rsidRPr="00A729DF">
        <w:rPr>
          <w:lang w:val="uk-UA"/>
        </w:rPr>
        <w:t xml:space="preserve"> </w:t>
      </w:r>
      <w:r w:rsidR="005742F5">
        <w:rPr>
          <w:lang w:val="uk-UA"/>
        </w:rPr>
        <w:t>бухгалтерської програми</w:t>
      </w:r>
      <w:r w:rsidRPr="00A729DF">
        <w:rPr>
          <w:lang w:val="uk-UA"/>
        </w:rPr>
        <w:t>.</w:t>
      </w:r>
    </w:p>
    <w:p w:rsidR="007C1E6E" w:rsidRDefault="007C1E6E" w:rsidP="00713895">
      <w:pPr>
        <w:ind w:firstLine="708"/>
        <w:jc w:val="both"/>
        <w:rPr>
          <w:lang w:val="uk-UA"/>
        </w:rPr>
      </w:pPr>
      <w:r w:rsidRPr="007C1E6E">
        <w:rPr>
          <w:lang w:val="uk-UA"/>
        </w:rPr>
        <w:t>Рекламні послуги, висвітлення діяльності підприємства, розміщення інформації в ЗМІ</w:t>
      </w:r>
      <w:r>
        <w:rPr>
          <w:lang w:val="uk-UA"/>
        </w:rPr>
        <w:t xml:space="preserve"> (рядок 1051/4/4).</w:t>
      </w:r>
      <w:r w:rsidR="005B10E5">
        <w:rPr>
          <w:lang w:val="uk-UA"/>
        </w:rPr>
        <w:t xml:space="preserve"> </w:t>
      </w:r>
      <w:r w:rsidRPr="007C1E6E">
        <w:rPr>
          <w:lang w:val="uk-UA"/>
        </w:rPr>
        <w:t>Аналіз вартості ефірного часу телерадіокомпаній та часи виходу не відповідають запланованим витратам КП «МПРС». Потрібний ефірний час або зайнятий або не вкладається в фінансові можливості підприємства.</w:t>
      </w:r>
      <w:r>
        <w:rPr>
          <w:lang w:val="uk-UA"/>
        </w:rPr>
        <w:t xml:space="preserve"> Економія за статтею складає </w:t>
      </w:r>
      <w:r w:rsidR="00644327">
        <w:rPr>
          <w:lang w:val="uk-UA"/>
        </w:rPr>
        <w:t>64</w:t>
      </w:r>
      <w:r w:rsidR="00ED0690" w:rsidRPr="00ED0690">
        <w:t xml:space="preserve"> </w:t>
      </w:r>
      <w:r>
        <w:rPr>
          <w:lang w:val="uk-UA"/>
        </w:rPr>
        <w:t>тис. грн.</w:t>
      </w:r>
      <w:r w:rsidR="005B10E5">
        <w:rPr>
          <w:lang w:val="uk-UA"/>
        </w:rPr>
        <w:t xml:space="preserve"> </w:t>
      </w:r>
    </w:p>
    <w:p w:rsidR="00644327" w:rsidRDefault="00573940" w:rsidP="00F520D8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lang w:val="uk-UA"/>
        </w:rPr>
        <w:tab/>
      </w:r>
      <w:r w:rsidR="00392E8C" w:rsidRPr="00392E8C">
        <w:rPr>
          <w:lang w:val="uk-UA"/>
        </w:rPr>
        <w:t xml:space="preserve">Витрати на консультування щодо бухобліку </w:t>
      </w:r>
      <w:r w:rsidR="00392E8C">
        <w:rPr>
          <w:lang w:val="uk-UA"/>
        </w:rPr>
        <w:t xml:space="preserve">використанні </w:t>
      </w:r>
      <w:r w:rsidR="00392E8C" w:rsidRPr="00392E8C">
        <w:rPr>
          <w:lang w:val="uk-UA"/>
        </w:rPr>
        <w:t>в рамках потреби</w:t>
      </w:r>
      <w:r w:rsidR="00392E8C">
        <w:rPr>
          <w:lang w:val="uk-UA"/>
        </w:rPr>
        <w:t xml:space="preserve"> та складають 46% від плану.</w:t>
      </w:r>
    </w:p>
    <w:p w:rsidR="00F05032" w:rsidRDefault="00CF1AAA" w:rsidP="00F520D8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lang w:val="uk-UA"/>
        </w:rPr>
        <w:tab/>
      </w:r>
      <w:r w:rsidR="00F05032" w:rsidRPr="00F05032">
        <w:rPr>
          <w:lang w:val="uk-UA"/>
        </w:rPr>
        <w:t>Витрати на утримання основних фондів адміністративного призначення (рядок 1086/8) складають 137,2% за результат</w:t>
      </w:r>
      <w:r w:rsidR="00F05032">
        <w:rPr>
          <w:lang w:val="uk-UA"/>
        </w:rPr>
        <w:t>а</w:t>
      </w:r>
      <w:r w:rsidR="00F05032" w:rsidRPr="00F05032">
        <w:rPr>
          <w:lang w:val="uk-UA"/>
        </w:rPr>
        <w:t>ми роботи за 2018 рік</w:t>
      </w:r>
      <w:r w:rsidR="00F05032">
        <w:rPr>
          <w:lang w:val="uk-UA"/>
        </w:rPr>
        <w:t xml:space="preserve"> та включають </w:t>
      </w:r>
      <w:r w:rsidR="00F05032" w:rsidRPr="00F05032">
        <w:rPr>
          <w:lang w:val="uk-UA"/>
        </w:rPr>
        <w:t xml:space="preserve">витрати на </w:t>
      </w:r>
      <w:r w:rsidR="003B54BC" w:rsidRPr="002D3CAC">
        <w:rPr>
          <w:lang w:val="uk-UA"/>
        </w:rPr>
        <w:t xml:space="preserve">охорону </w:t>
      </w:r>
      <w:r w:rsidR="00F05032">
        <w:rPr>
          <w:lang w:val="uk-UA"/>
        </w:rPr>
        <w:t>адміністративної будівлі АСПТР</w:t>
      </w:r>
      <w:r w:rsidR="0032290F">
        <w:rPr>
          <w:lang w:val="uk-UA"/>
        </w:rPr>
        <w:t xml:space="preserve">, що знаходиться </w:t>
      </w:r>
      <w:r w:rsidR="00F05032" w:rsidRPr="00F05032">
        <w:rPr>
          <w:lang w:val="uk-UA"/>
        </w:rPr>
        <w:t xml:space="preserve">за </w:t>
      </w:r>
      <w:proofErr w:type="spellStart"/>
      <w:r w:rsidR="00F05032" w:rsidRPr="00F05032">
        <w:rPr>
          <w:lang w:val="uk-UA"/>
        </w:rPr>
        <w:t>адресою</w:t>
      </w:r>
      <w:proofErr w:type="spellEnd"/>
      <w:r w:rsidR="00F05032" w:rsidRPr="00F05032">
        <w:rPr>
          <w:lang w:val="uk-UA"/>
        </w:rPr>
        <w:t xml:space="preserve">: </w:t>
      </w:r>
      <w:proofErr w:type="spellStart"/>
      <w:r w:rsidR="00F05032" w:rsidRPr="00F05032">
        <w:rPr>
          <w:lang w:val="uk-UA"/>
        </w:rPr>
        <w:t>м.Одеса</w:t>
      </w:r>
      <w:proofErr w:type="spellEnd"/>
      <w:r w:rsidR="00F05032" w:rsidRPr="00F05032">
        <w:rPr>
          <w:lang w:val="uk-UA"/>
        </w:rPr>
        <w:t>, вул.</w:t>
      </w:r>
      <w:r w:rsidR="00F05032">
        <w:rPr>
          <w:lang w:val="uk-UA"/>
        </w:rPr>
        <w:t xml:space="preserve"> </w:t>
      </w:r>
      <w:r w:rsidR="00F05032" w:rsidRPr="00F05032">
        <w:rPr>
          <w:lang w:val="uk-UA"/>
        </w:rPr>
        <w:t>Приморська, 3а</w:t>
      </w:r>
      <w:r w:rsidR="00F05032">
        <w:rPr>
          <w:lang w:val="uk-UA"/>
        </w:rPr>
        <w:t xml:space="preserve">. У 1 кварталі 2018 року витрати </w:t>
      </w:r>
      <w:r w:rsidR="003B54BC" w:rsidRPr="002D3CAC">
        <w:rPr>
          <w:lang w:val="uk-UA"/>
        </w:rPr>
        <w:t xml:space="preserve">на охорону </w:t>
      </w:r>
      <w:r w:rsidR="00F05032">
        <w:rPr>
          <w:lang w:val="uk-UA"/>
        </w:rPr>
        <w:t>будівлі було заплановано у</w:t>
      </w:r>
      <w:r w:rsidR="00CC5AED">
        <w:rPr>
          <w:lang w:val="uk-UA"/>
        </w:rPr>
        <w:t xml:space="preserve"> рядку (</w:t>
      </w:r>
      <w:r w:rsidR="00E979A6">
        <w:rPr>
          <w:lang w:val="uk-UA"/>
        </w:rPr>
        <w:t>1018/3/13</w:t>
      </w:r>
      <w:r w:rsidR="00CC5AED">
        <w:rPr>
          <w:lang w:val="uk-UA"/>
        </w:rPr>
        <w:t>)</w:t>
      </w:r>
      <w:r w:rsidR="00F05032" w:rsidRPr="00F05032">
        <w:rPr>
          <w:lang w:val="uk-UA"/>
        </w:rPr>
        <w:t xml:space="preserve"> собіварт</w:t>
      </w:r>
      <w:r w:rsidR="00F05032">
        <w:rPr>
          <w:lang w:val="uk-UA"/>
        </w:rPr>
        <w:t>о</w:t>
      </w:r>
      <w:r w:rsidR="00F05032" w:rsidRPr="00F05032">
        <w:rPr>
          <w:lang w:val="uk-UA"/>
        </w:rPr>
        <w:t>ст</w:t>
      </w:r>
      <w:r w:rsidR="00F05032">
        <w:rPr>
          <w:lang w:val="uk-UA"/>
        </w:rPr>
        <w:t>і</w:t>
      </w:r>
      <w:r w:rsidR="00F05032" w:rsidRPr="00F05032">
        <w:rPr>
          <w:lang w:val="uk-UA"/>
        </w:rPr>
        <w:t xml:space="preserve">, проте </w:t>
      </w:r>
      <w:r w:rsidR="00F05032">
        <w:rPr>
          <w:lang w:val="uk-UA"/>
        </w:rPr>
        <w:t xml:space="preserve">фактично </w:t>
      </w:r>
      <w:r w:rsidR="00F05032" w:rsidRPr="00F05032">
        <w:rPr>
          <w:lang w:val="uk-UA"/>
        </w:rPr>
        <w:t>витрати обліковувалися в розділі адміністративних витрат починаючи з 1 кварталу 2018 року</w:t>
      </w:r>
      <w:r w:rsidR="00F05032">
        <w:rPr>
          <w:lang w:val="uk-UA"/>
        </w:rPr>
        <w:t>.</w:t>
      </w:r>
    </w:p>
    <w:p w:rsidR="00F05032" w:rsidRPr="00392E8C" w:rsidRDefault="00F05032" w:rsidP="00F520D8">
      <w:pPr>
        <w:tabs>
          <w:tab w:val="left" w:pos="0"/>
        </w:tabs>
        <w:spacing w:line="240" w:lineRule="atLeast"/>
        <w:jc w:val="both"/>
        <w:rPr>
          <w:lang w:val="uk-UA"/>
        </w:rPr>
      </w:pPr>
    </w:p>
    <w:p w:rsidR="001B2262" w:rsidRPr="0038726B" w:rsidRDefault="00644327" w:rsidP="00F520D8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lang w:val="uk-UA"/>
        </w:rPr>
        <w:tab/>
      </w:r>
      <w:r w:rsidR="001B2262" w:rsidRPr="0038726B">
        <w:rPr>
          <w:lang w:val="uk-UA"/>
        </w:rPr>
        <w:t>Інші операційні витрати за</w:t>
      </w:r>
      <w:r w:rsidR="00E30F09" w:rsidRPr="0038726B">
        <w:rPr>
          <w:lang w:val="uk-UA"/>
        </w:rPr>
        <w:t xml:space="preserve"> </w:t>
      </w:r>
      <w:r w:rsidR="001B2262" w:rsidRPr="0038726B">
        <w:rPr>
          <w:lang w:val="uk-UA"/>
        </w:rPr>
        <w:t>201</w:t>
      </w:r>
      <w:r w:rsidR="00226D5A">
        <w:rPr>
          <w:lang w:val="uk-UA"/>
        </w:rPr>
        <w:t>8</w:t>
      </w:r>
      <w:r w:rsidR="001B2262" w:rsidRPr="0038726B">
        <w:rPr>
          <w:lang w:val="uk-UA"/>
        </w:rPr>
        <w:t xml:space="preserve"> р</w:t>
      </w:r>
      <w:r w:rsidR="00C4321C">
        <w:rPr>
          <w:lang w:val="uk-UA"/>
        </w:rPr>
        <w:t>і</w:t>
      </w:r>
      <w:r w:rsidR="001B2262" w:rsidRPr="0038726B">
        <w:rPr>
          <w:lang w:val="uk-UA"/>
        </w:rPr>
        <w:t>к</w:t>
      </w:r>
      <w:r w:rsidR="00E30F09" w:rsidRPr="0038726B">
        <w:rPr>
          <w:lang w:val="uk-UA"/>
        </w:rPr>
        <w:t xml:space="preserve"> </w:t>
      </w:r>
      <w:r w:rsidR="008D1C56" w:rsidRPr="0038726B">
        <w:rPr>
          <w:lang w:val="uk-UA"/>
        </w:rPr>
        <w:t>с</w:t>
      </w:r>
      <w:r w:rsidR="001B2262" w:rsidRPr="0038726B">
        <w:rPr>
          <w:lang w:val="uk-UA"/>
        </w:rPr>
        <w:t xml:space="preserve">кладають </w:t>
      </w:r>
      <w:r w:rsidR="00947012" w:rsidRPr="00947012">
        <w:t>14453</w:t>
      </w:r>
      <w:r w:rsidR="00A10A4B">
        <w:rPr>
          <w:lang w:val="uk-UA"/>
        </w:rPr>
        <w:t xml:space="preserve"> тис. грн.</w:t>
      </w:r>
      <w:r w:rsidR="00947012" w:rsidRPr="00947012">
        <w:t xml:space="preserve"> </w:t>
      </w:r>
      <w:r w:rsidR="00947012">
        <w:rPr>
          <w:lang w:val="uk-UA"/>
        </w:rPr>
        <w:t>або 82,1%</w:t>
      </w:r>
      <w:r w:rsidR="00A35C62">
        <w:rPr>
          <w:lang w:val="uk-UA"/>
        </w:rPr>
        <w:t xml:space="preserve"> </w:t>
      </w:r>
      <w:r w:rsidR="00947012">
        <w:rPr>
          <w:lang w:val="uk-UA"/>
        </w:rPr>
        <w:t xml:space="preserve">від </w:t>
      </w:r>
      <w:r w:rsidR="00F520D8" w:rsidRPr="0038726B">
        <w:rPr>
          <w:lang w:val="uk-UA"/>
        </w:rPr>
        <w:t>планов</w:t>
      </w:r>
      <w:r w:rsidR="00947012">
        <w:rPr>
          <w:lang w:val="uk-UA"/>
        </w:rPr>
        <w:t>ого</w:t>
      </w:r>
      <w:r w:rsidR="00F520D8" w:rsidRPr="0038726B">
        <w:rPr>
          <w:lang w:val="uk-UA"/>
        </w:rPr>
        <w:t xml:space="preserve"> показник</w:t>
      </w:r>
      <w:r w:rsidR="00947012">
        <w:rPr>
          <w:lang w:val="uk-UA"/>
        </w:rPr>
        <w:t>а</w:t>
      </w:r>
      <w:r w:rsidR="00F520D8" w:rsidRPr="0038726B">
        <w:rPr>
          <w:lang w:val="uk-UA"/>
        </w:rPr>
        <w:t xml:space="preserve">. Статті витрат </w:t>
      </w:r>
      <w:r w:rsidR="00A850E2" w:rsidRPr="0038726B">
        <w:rPr>
          <w:lang w:val="uk-UA"/>
        </w:rPr>
        <w:t>наведені у таблиці 5.</w:t>
      </w:r>
    </w:p>
    <w:p w:rsidR="00A9394F" w:rsidRPr="0038726B" w:rsidRDefault="00A9394F" w:rsidP="001B2262">
      <w:pPr>
        <w:tabs>
          <w:tab w:val="left" w:pos="0"/>
        </w:tabs>
        <w:spacing w:line="240" w:lineRule="atLeast"/>
        <w:ind w:firstLine="709"/>
        <w:jc w:val="both"/>
        <w:rPr>
          <w:lang w:val="uk-UA"/>
        </w:rPr>
      </w:pPr>
    </w:p>
    <w:p w:rsidR="001B2262" w:rsidRDefault="001B2262" w:rsidP="001B2262">
      <w:pPr>
        <w:tabs>
          <w:tab w:val="left" w:pos="0"/>
        </w:tabs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="00503142" w:rsidRPr="0038726B">
        <w:rPr>
          <w:lang w:val="uk-UA"/>
        </w:rPr>
        <w:tab/>
      </w:r>
      <w:r w:rsidRPr="0038726B">
        <w:rPr>
          <w:lang w:val="uk-UA"/>
        </w:rPr>
        <w:t xml:space="preserve">Таблиця </w:t>
      </w:r>
      <w:r w:rsidR="00D41D86" w:rsidRPr="0038726B">
        <w:rPr>
          <w:lang w:val="uk-UA"/>
        </w:rPr>
        <w:t>5</w:t>
      </w:r>
      <w:r w:rsidRPr="0038726B">
        <w:rPr>
          <w:lang w:val="uk-UA"/>
        </w:rPr>
        <w:t xml:space="preserve">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1418"/>
        <w:gridCol w:w="1559"/>
      </w:tblGrid>
      <w:tr w:rsidR="003956E7" w:rsidRPr="003956E7" w:rsidTr="009B6107">
        <w:trPr>
          <w:trHeight w:val="4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E7" w:rsidRPr="00975E40" w:rsidRDefault="003956E7" w:rsidP="003956E7">
            <w:pPr>
              <w:jc w:val="center"/>
              <w:rPr>
                <w:sz w:val="22"/>
                <w:szCs w:val="22"/>
                <w:lang w:val="uk-UA"/>
              </w:rPr>
            </w:pPr>
            <w:r w:rsidRPr="00975E40">
              <w:rPr>
                <w:sz w:val="22"/>
                <w:szCs w:val="22"/>
                <w:lang w:val="uk-UA"/>
              </w:rPr>
              <w:t>На</w:t>
            </w:r>
            <w:r>
              <w:rPr>
                <w:sz w:val="22"/>
                <w:szCs w:val="22"/>
                <w:lang w:val="uk-UA"/>
              </w:rPr>
              <w:t>й</w:t>
            </w:r>
            <w:r w:rsidRPr="00975E40">
              <w:rPr>
                <w:sz w:val="22"/>
                <w:szCs w:val="22"/>
                <w:lang w:val="uk-UA"/>
              </w:rPr>
              <w:t>менування показника</w:t>
            </w:r>
          </w:p>
          <w:p w:rsidR="003956E7" w:rsidRPr="00975E40" w:rsidRDefault="003956E7" w:rsidP="003956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E7" w:rsidRDefault="003956E7" w:rsidP="003956E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592F">
              <w:rPr>
                <w:color w:val="000000"/>
                <w:sz w:val="22"/>
                <w:szCs w:val="22"/>
                <w:lang w:val="uk-UA"/>
              </w:rPr>
              <w:t>План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:rsidR="003956E7" w:rsidRPr="00EB592F" w:rsidRDefault="003956E7" w:rsidP="003956E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тис. грн</w:t>
            </w:r>
            <w:r w:rsidRPr="00EB592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E7" w:rsidRDefault="003956E7" w:rsidP="003956E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592F">
              <w:rPr>
                <w:color w:val="000000"/>
                <w:sz w:val="22"/>
                <w:szCs w:val="22"/>
                <w:lang w:val="uk-UA"/>
              </w:rPr>
              <w:t>Факт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:rsidR="003956E7" w:rsidRPr="00EB592F" w:rsidRDefault="003956E7" w:rsidP="003956E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E7" w:rsidRPr="00EB592F" w:rsidRDefault="003956E7" w:rsidP="003956E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592F">
              <w:rPr>
                <w:color w:val="000000"/>
                <w:sz w:val="22"/>
                <w:szCs w:val="22"/>
                <w:lang w:val="uk-UA"/>
              </w:rPr>
              <w:t>відхилення,  +/–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E7" w:rsidRPr="00EB592F" w:rsidRDefault="003956E7" w:rsidP="003956E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592F">
              <w:rPr>
                <w:color w:val="000000"/>
                <w:sz w:val="22"/>
                <w:szCs w:val="22"/>
                <w:lang w:val="uk-UA"/>
              </w:rPr>
              <w:t>виконання, %</w:t>
            </w:r>
          </w:p>
        </w:tc>
      </w:tr>
      <w:tr w:rsidR="00AD3256" w:rsidRPr="003956E7" w:rsidTr="009B6107">
        <w:trPr>
          <w:trHeight w:val="4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56" w:rsidRPr="003956E7" w:rsidRDefault="00AD3256" w:rsidP="00AD32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56" w:rsidRPr="003956E7" w:rsidRDefault="00AD3256" w:rsidP="00AD32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56" w:rsidRPr="003956E7" w:rsidRDefault="00AD3256" w:rsidP="00AD32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56" w:rsidRDefault="00AD3256" w:rsidP="00AD32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56" w:rsidRPr="003956E7" w:rsidRDefault="00AD3256" w:rsidP="00AD32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3956E7" w:rsidRPr="003956E7" w:rsidTr="009B6107">
        <w:trPr>
          <w:trHeight w:val="4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Інші операційні витрати, усього,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 xml:space="preserve">           17 595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 xml:space="preserve">         14 453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D01C24" w:rsidP="003956E7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3956E7" w:rsidRPr="003956E7">
              <w:rPr>
                <w:sz w:val="22"/>
                <w:szCs w:val="22"/>
                <w:lang w:val="uk-UA"/>
              </w:rPr>
              <w:t>3 142,0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82,1</w:t>
            </w:r>
          </w:p>
        </w:tc>
      </w:tr>
      <w:tr w:rsidR="003956E7" w:rsidRPr="003956E7" w:rsidTr="009B6107">
        <w:trPr>
          <w:trHeight w:val="40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курсові різниці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153,7</w:t>
            </w:r>
          </w:p>
        </w:tc>
      </w:tr>
      <w:tr w:rsidR="003956E7" w:rsidRPr="003956E7" w:rsidTr="009B6107">
        <w:trPr>
          <w:trHeight w:val="40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інші операційні витрати</w:t>
            </w:r>
            <w:r w:rsidR="007408A6">
              <w:rPr>
                <w:sz w:val="22"/>
                <w:szCs w:val="22"/>
                <w:lang w:val="uk-UA"/>
              </w:rPr>
              <w:t>, у тому числі</w:t>
            </w:r>
            <w:r w:rsidRPr="003956E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17 431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 xml:space="preserve">    14 201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 xml:space="preserve">             </w:t>
            </w:r>
            <w:r w:rsidR="00D01C24">
              <w:rPr>
                <w:sz w:val="22"/>
                <w:szCs w:val="22"/>
                <w:lang w:val="uk-UA"/>
              </w:rPr>
              <w:t>-</w:t>
            </w:r>
            <w:r w:rsidRPr="003956E7">
              <w:rPr>
                <w:sz w:val="22"/>
                <w:szCs w:val="22"/>
                <w:lang w:val="uk-UA"/>
              </w:rPr>
              <w:t xml:space="preserve">3 230,0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81,5</w:t>
            </w:r>
          </w:p>
        </w:tc>
      </w:tr>
      <w:tr w:rsidR="003956E7" w:rsidRPr="003956E7" w:rsidTr="009B6107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A31482">
            <w:pPr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перерахування профспілки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 xml:space="preserve">             6 983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 xml:space="preserve">           6 211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D01C24" w:rsidP="003956E7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3956E7" w:rsidRPr="003956E7">
              <w:rPr>
                <w:sz w:val="22"/>
                <w:szCs w:val="22"/>
                <w:lang w:val="uk-UA"/>
              </w:rPr>
              <w:t>772,0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88,9</w:t>
            </w:r>
          </w:p>
        </w:tc>
      </w:tr>
      <w:tr w:rsidR="003956E7" w:rsidRPr="003956E7" w:rsidTr="009B6107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A31482">
            <w:pPr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витрати згідно з Колдоговором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 xml:space="preserve">             6 906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 xml:space="preserve">           5 315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D01C24" w:rsidP="003956E7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3956E7" w:rsidRPr="003956E7">
              <w:rPr>
                <w:sz w:val="22"/>
                <w:szCs w:val="22"/>
                <w:lang w:val="uk-UA"/>
              </w:rPr>
              <w:t>1 591,0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77,0</w:t>
            </w:r>
          </w:p>
        </w:tc>
      </w:tr>
      <w:tr w:rsidR="003956E7" w:rsidRPr="003956E7" w:rsidTr="009B6107">
        <w:trPr>
          <w:trHeight w:val="40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A31482">
            <w:pPr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лікарняні  (перші 5 днів)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D01C24" w:rsidP="003956E7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3956E7" w:rsidRPr="003956E7">
              <w:rPr>
                <w:sz w:val="22"/>
                <w:szCs w:val="22"/>
                <w:lang w:val="uk-UA"/>
              </w:rPr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81,0</w:t>
            </w:r>
          </w:p>
        </w:tc>
      </w:tr>
      <w:tr w:rsidR="003956E7" w:rsidRPr="003956E7" w:rsidTr="009B6107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A31482">
            <w:pPr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 xml:space="preserve">ЄСВ на матеріальні заохочення та загальну суму лікарняних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 xml:space="preserve">             1 587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 xml:space="preserve">         1 061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D01C24" w:rsidP="003956E7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3956E7" w:rsidRPr="003956E7">
              <w:rPr>
                <w:sz w:val="22"/>
                <w:szCs w:val="22"/>
                <w:lang w:val="uk-UA"/>
              </w:rPr>
              <w:t>526,0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66,9</w:t>
            </w:r>
          </w:p>
        </w:tc>
      </w:tr>
      <w:tr w:rsidR="003956E7" w:rsidRPr="003956E7" w:rsidTr="009B6107">
        <w:trPr>
          <w:trHeight w:val="36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A31482">
            <w:pPr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D01C24" w:rsidP="003956E7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3956E7" w:rsidRPr="003956E7">
              <w:rPr>
                <w:sz w:val="22"/>
                <w:szCs w:val="22"/>
                <w:lang w:val="uk-UA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63,6</w:t>
            </w:r>
          </w:p>
        </w:tc>
      </w:tr>
      <w:tr w:rsidR="003956E7" w:rsidRPr="003956E7" w:rsidTr="009B6107">
        <w:trPr>
          <w:trHeight w:val="40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A31482">
            <w:pPr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невідшкодований ПДВ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122,2</w:t>
            </w:r>
          </w:p>
        </w:tc>
      </w:tr>
      <w:tr w:rsidR="003956E7" w:rsidRPr="003956E7" w:rsidTr="009B6107">
        <w:trPr>
          <w:trHeight w:val="7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A31482">
            <w:pPr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витрати, пов'язані з підготовкою до продажі необоротних активів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D01C24" w:rsidP="003956E7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3956E7" w:rsidRPr="003956E7">
              <w:rPr>
                <w:sz w:val="22"/>
                <w:szCs w:val="22"/>
                <w:lang w:val="uk-UA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16,5</w:t>
            </w:r>
          </w:p>
        </w:tc>
      </w:tr>
      <w:tr w:rsidR="003956E7" w:rsidRPr="003956E7" w:rsidTr="009B6107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A31482">
            <w:pPr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пільгові пенсії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126,9</w:t>
            </w:r>
          </w:p>
        </w:tc>
      </w:tr>
      <w:tr w:rsidR="003956E7" w:rsidRPr="003956E7" w:rsidTr="009B6107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A31482">
            <w:pPr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витрати на представництво міжнародним адвокатом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D01C24" w:rsidP="003956E7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3956E7" w:rsidRPr="003956E7">
              <w:rPr>
                <w:sz w:val="22"/>
                <w:szCs w:val="22"/>
                <w:lang w:val="uk-UA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7" w:rsidRPr="003956E7" w:rsidRDefault="003956E7" w:rsidP="003956E7">
            <w:pPr>
              <w:jc w:val="right"/>
              <w:rPr>
                <w:sz w:val="22"/>
                <w:szCs w:val="22"/>
                <w:lang w:val="uk-UA"/>
              </w:rPr>
            </w:pPr>
            <w:r w:rsidRPr="003956E7">
              <w:rPr>
                <w:sz w:val="22"/>
                <w:szCs w:val="22"/>
                <w:lang w:val="uk-UA"/>
              </w:rPr>
              <w:t>79,0</w:t>
            </w:r>
          </w:p>
        </w:tc>
      </w:tr>
    </w:tbl>
    <w:p w:rsidR="003956E7" w:rsidRDefault="003956E7" w:rsidP="003956E7">
      <w:pPr>
        <w:tabs>
          <w:tab w:val="left" w:pos="0"/>
        </w:tabs>
        <w:spacing w:line="240" w:lineRule="atLeast"/>
        <w:jc w:val="both"/>
        <w:rPr>
          <w:lang w:val="uk-UA"/>
        </w:rPr>
      </w:pPr>
    </w:p>
    <w:p w:rsidR="00DF5B90" w:rsidRDefault="00EC73DA" w:rsidP="00975E40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lang w:val="uk-UA"/>
        </w:rPr>
        <w:tab/>
      </w:r>
      <w:r w:rsidR="00C65EFC">
        <w:rPr>
          <w:lang w:val="uk-UA"/>
        </w:rPr>
        <w:t>Витрати згідно з Колдоговором</w:t>
      </w:r>
      <w:r w:rsidR="00BA6138">
        <w:rPr>
          <w:lang w:val="uk-UA"/>
        </w:rPr>
        <w:t xml:space="preserve"> (рядок 1086/2)</w:t>
      </w:r>
      <w:r w:rsidR="00C65EFC">
        <w:rPr>
          <w:lang w:val="uk-UA"/>
        </w:rPr>
        <w:t xml:space="preserve"> за</w:t>
      </w:r>
      <w:r w:rsidR="004E466C">
        <w:rPr>
          <w:lang w:val="uk-UA"/>
        </w:rPr>
        <w:t xml:space="preserve"> </w:t>
      </w:r>
      <w:r w:rsidR="00DF5B90">
        <w:rPr>
          <w:lang w:val="uk-UA"/>
        </w:rPr>
        <w:t>2018 рік складають 77% від план</w:t>
      </w:r>
      <w:r w:rsidR="00B40D8D">
        <w:rPr>
          <w:lang w:val="uk-UA"/>
        </w:rPr>
        <w:t>у</w:t>
      </w:r>
      <w:r w:rsidR="00DF5B90">
        <w:rPr>
          <w:lang w:val="uk-UA"/>
        </w:rPr>
        <w:t xml:space="preserve"> </w:t>
      </w:r>
      <w:r w:rsidR="00DF5B90" w:rsidRPr="00DF5B90">
        <w:rPr>
          <w:lang w:val="uk-UA"/>
        </w:rPr>
        <w:t>за рахунок зменшення витрат на додаткове заохочення працівників</w:t>
      </w:r>
      <w:r w:rsidR="00B40D8D">
        <w:rPr>
          <w:lang w:val="uk-UA"/>
        </w:rPr>
        <w:t xml:space="preserve"> у 2018 році</w:t>
      </w:r>
      <w:r w:rsidR="00DF5B90">
        <w:rPr>
          <w:lang w:val="uk-UA"/>
        </w:rPr>
        <w:t xml:space="preserve">.  </w:t>
      </w:r>
    </w:p>
    <w:p w:rsidR="00A9189E" w:rsidRDefault="00BA6138" w:rsidP="00BA6138">
      <w:pPr>
        <w:ind w:firstLine="708"/>
        <w:jc w:val="both"/>
        <w:rPr>
          <w:lang w:val="uk-UA"/>
        </w:rPr>
      </w:pPr>
      <w:r w:rsidRPr="00BA6138">
        <w:rPr>
          <w:lang w:val="uk-UA"/>
        </w:rPr>
        <w:t xml:space="preserve">Витрати на ЄСВ щодо матеріального заохочення та загальну суму лікарняних </w:t>
      </w:r>
      <w:r>
        <w:rPr>
          <w:lang w:val="uk-UA"/>
        </w:rPr>
        <w:t>(рядок 1086/3) виконані на 66,9% та пов’язані з фактичними витратами на додаткове заохочення працівників та витрат на лікарняні.</w:t>
      </w:r>
    </w:p>
    <w:p w:rsidR="00EC73DA" w:rsidRDefault="00335DEF" w:rsidP="00975E40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lang w:val="uk-UA"/>
        </w:rPr>
        <w:tab/>
      </w:r>
      <w:r w:rsidR="00EC73DA" w:rsidRPr="00EC73DA">
        <w:rPr>
          <w:lang w:val="uk-UA"/>
        </w:rPr>
        <w:t xml:space="preserve">З метою підготовки пакету документів для списання та продажу необоротних активів колишнього ДП "МАРС" </w:t>
      </w:r>
      <w:r>
        <w:rPr>
          <w:lang w:val="uk-UA"/>
        </w:rPr>
        <w:t xml:space="preserve">в 2018 році </w:t>
      </w:r>
      <w:r w:rsidR="00EC73DA" w:rsidRPr="00EC73DA">
        <w:rPr>
          <w:lang w:val="uk-UA"/>
        </w:rPr>
        <w:t xml:space="preserve">отримано технічне </w:t>
      </w:r>
      <w:r w:rsidR="004E466C" w:rsidRPr="00EC73DA">
        <w:rPr>
          <w:lang w:val="uk-UA"/>
        </w:rPr>
        <w:t>заключення</w:t>
      </w:r>
      <w:r w:rsidR="00EC73DA" w:rsidRPr="00EC73DA">
        <w:rPr>
          <w:lang w:val="uk-UA"/>
        </w:rPr>
        <w:t xml:space="preserve"> Регістру судноплавства України</w:t>
      </w:r>
      <w:r>
        <w:rPr>
          <w:lang w:val="uk-UA"/>
        </w:rPr>
        <w:t xml:space="preserve"> та п</w:t>
      </w:r>
      <w:r w:rsidR="00EC73DA" w:rsidRPr="00EC73DA">
        <w:rPr>
          <w:lang w:val="uk-UA"/>
        </w:rPr>
        <w:t>роведена процедура закупівлі послуг з оцінки майна</w:t>
      </w:r>
      <w:r w:rsidR="00B40D8D">
        <w:rPr>
          <w:lang w:val="uk-UA"/>
        </w:rPr>
        <w:t xml:space="preserve"> що планується до відчуження</w:t>
      </w:r>
      <w:r w:rsidR="00EC73DA" w:rsidRPr="00EC73DA">
        <w:rPr>
          <w:lang w:val="uk-UA"/>
        </w:rPr>
        <w:t xml:space="preserve">. </w:t>
      </w:r>
      <w:r w:rsidR="00274A8E">
        <w:rPr>
          <w:lang w:val="uk-UA"/>
        </w:rPr>
        <w:t xml:space="preserve">Документи щодо </w:t>
      </w:r>
      <w:r w:rsidR="00274A8E" w:rsidRPr="00EC73DA">
        <w:rPr>
          <w:lang w:val="uk-UA"/>
        </w:rPr>
        <w:t xml:space="preserve">переоформлення </w:t>
      </w:r>
      <w:r w:rsidR="00EC73DA" w:rsidRPr="00EC73DA">
        <w:rPr>
          <w:lang w:val="uk-UA"/>
        </w:rPr>
        <w:t xml:space="preserve">права власності та зняття з обліку флоту, </w:t>
      </w:r>
      <w:r w:rsidR="004E466C">
        <w:rPr>
          <w:lang w:val="uk-UA"/>
        </w:rPr>
        <w:t>авто</w:t>
      </w:r>
      <w:r w:rsidR="00EC73DA" w:rsidRPr="00EC73DA">
        <w:rPr>
          <w:lang w:val="uk-UA"/>
        </w:rPr>
        <w:t>транспорту, спецтехніки планується отримати в 201</w:t>
      </w:r>
      <w:r w:rsidR="00275D6A">
        <w:rPr>
          <w:lang w:val="uk-UA"/>
        </w:rPr>
        <w:t>9</w:t>
      </w:r>
      <w:r w:rsidR="00EC73DA" w:rsidRPr="00EC73DA">
        <w:rPr>
          <w:lang w:val="uk-UA"/>
        </w:rPr>
        <w:t xml:space="preserve"> ро</w:t>
      </w:r>
      <w:r w:rsidR="00275D6A">
        <w:rPr>
          <w:lang w:val="uk-UA"/>
        </w:rPr>
        <w:t>ці</w:t>
      </w:r>
      <w:r w:rsidR="004E466C">
        <w:rPr>
          <w:lang w:val="uk-UA"/>
        </w:rPr>
        <w:t>.</w:t>
      </w:r>
      <w:r w:rsidR="00835B35">
        <w:rPr>
          <w:lang w:val="uk-UA"/>
        </w:rPr>
        <w:t xml:space="preserve"> Виконання статті (рядок 1086/</w:t>
      </w:r>
      <w:r w:rsidR="007E2911">
        <w:rPr>
          <w:lang w:val="uk-UA"/>
        </w:rPr>
        <w:t>7</w:t>
      </w:r>
      <w:r w:rsidR="00835B35">
        <w:rPr>
          <w:lang w:val="uk-UA"/>
        </w:rPr>
        <w:t xml:space="preserve">) на 16,5% пов’язано із значним зменшенням витрат на проведення оцінки основних засобів </w:t>
      </w:r>
      <w:r w:rsidR="005A56ED">
        <w:rPr>
          <w:lang w:val="uk-UA"/>
        </w:rPr>
        <w:t xml:space="preserve">на </w:t>
      </w:r>
      <w:r w:rsidR="00835B35">
        <w:rPr>
          <w:lang w:val="uk-UA"/>
        </w:rPr>
        <w:t>відкритих торг</w:t>
      </w:r>
      <w:r w:rsidR="005A56ED">
        <w:rPr>
          <w:lang w:val="uk-UA"/>
        </w:rPr>
        <w:t>ах</w:t>
      </w:r>
      <w:r w:rsidR="00835B35">
        <w:rPr>
          <w:lang w:val="uk-UA"/>
        </w:rPr>
        <w:t xml:space="preserve"> </w:t>
      </w:r>
      <w:r w:rsidR="005A56ED">
        <w:rPr>
          <w:lang w:val="uk-UA"/>
        </w:rPr>
        <w:t>щодо</w:t>
      </w:r>
      <w:r w:rsidR="00B40D8D">
        <w:rPr>
          <w:lang w:val="uk-UA"/>
        </w:rPr>
        <w:t xml:space="preserve"> </w:t>
      </w:r>
      <w:r w:rsidR="00835B35">
        <w:rPr>
          <w:lang w:val="uk-UA"/>
        </w:rPr>
        <w:t>закупівл</w:t>
      </w:r>
      <w:r w:rsidR="005A56ED">
        <w:rPr>
          <w:lang w:val="uk-UA"/>
        </w:rPr>
        <w:t>і</w:t>
      </w:r>
      <w:r w:rsidR="00835B35">
        <w:rPr>
          <w:lang w:val="uk-UA"/>
        </w:rPr>
        <w:t xml:space="preserve"> послуг</w:t>
      </w:r>
      <w:r w:rsidR="00B40D8D">
        <w:rPr>
          <w:lang w:val="uk-UA"/>
        </w:rPr>
        <w:t xml:space="preserve"> з оцінки</w:t>
      </w:r>
      <w:r w:rsidR="00835B35">
        <w:rPr>
          <w:lang w:val="uk-UA"/>
        </w:rPr>
        <w:t xml:space="preserve">. </w:t>
      </w:r>
    </w:p>
    <w:p w:rsidR="007E2911" w:rsidRDefault="007E2911" w:rsidP="00975E40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lang w:val="uk-UA"/>
        </w:rPr>
        <w:tab/>
      </w:r>
      <w:r w:rsidRPr="007E2911">
        <w:rPr>
          <w:lang w:val="uk-UA"/>
        </w:rPr>
        <w:t xml:space="preserve">Витрати </w:t>
      </w:r>
      <w:r>
        <w:rPr>
          <w:lang w:val="uk-UA"/>
        </w:rPr>
        <w:t xml:space="preserve">на </w:t>
      </w:r>
      <w:r w:rsidR="00113974">
        <w:rPr>
          <w:lang w:val="uk-UA"/>
        </w:rPr>
        <w:t xml:space="preserve">відшкодування </w:t>
      </w:r>
      <w:r>
        <w:rPr>
          <w:lang w:val="uk-UA"/>
        </w:rPr>
        <w:t>пільгов</w:t>
      </w:r>
      <w:r w:rsidR="00113974">
        <w:rPr>
          <w:lang w:val="uk-UA"/>
        </w:rPr>
        <w:t>их</w:t>
      </w:r>
      <w:r>
        <w:rPr>
          <w:lang w:val="uk-UA"/>
        </w:rPr>
        <w:t xml:space="preserve"> пенсії (рядок 1086/8) здійснюються </w:t>
      </w:r>
      <w:r w:rsidRPr="007E2911">
        <w:rPr>
          <w:lang w:val="uk-UA"/>
        </w:rPr>
        <w:t>згідно Закону України «Про пенсійне забезпечення»</w:t>
      </w:r>
      <w:r>
        <w:rPr>
          <w:lang w:val="uk-UA"/>
        </w:rPr>
        <w:t xml:space="preserve">, на виконання обов’язків колишнього ДП «МАРС». </w:t>
      </w:r>
    </w:p>
    <w:p w:rsidR="00C65EFC" w:rsidRDefault="00113974" w:rsidP="00975E40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lang w:val="uk-UA"/>
        </w:rPr>
        <w:tab/>
      </w:r>
      <w:r w:rsidRPr="00113974">
        <w:rPr>
          <w:lang w:val="uk-UA"/>
        </w:rPr>
        <w:t>Витрати на представництво міжнародним адвокатом</w:t>
      </w:r>
      <w:r>
        <w:rPr>
          <w:lang w:val="uk-UA"/>
        </w:rPr>
        <w:t xml:space="preserve"> (рядок 1086/9) </w:t>
      </w:r>
      <w:r w:rsidR="00405D81">
        <w:rPr>
          <w:lang w:val="uk-UA"/>
        </w:rPr>
        <w:t>включа</w:t>
      </w:r>
      <w:r w:rsidR="00875562">
        <w:rPr>
          <w:lang w:val="uk-UA"/>
        </w:rPr>
        <w:t>ють</w:t>
      </w:r>
      <w:r>
        <w:rPr>
          <w:lang w:val="uk-UA"/>
        </w:rPr>
        <w:t xml:space="preserve"> витрати </w:t>
      </w:r>
      <w:r w:rsidR="00A860ED">
        <w:rPr>
          <w:lang w:val="uk-UA"/>
        </w:rPr>
        <w:t xml:space="preserve">у сумі 79 тис. грн. </w:t>
      </w:r>
      <w:r>
        <w:rPr>
          <w:lang w:val="uk-UA"/>
        </w:rPr>
        <w:t>на</w:t>
      </w:r>
      <w:r w:rsidR="00405D81">
        <w:rPr>
          <w:lang w:val="uk-UA"/>
        </w:rPr>
        <w:t xml:space="preserve"> отримання правового висновку щодо можливості оскарження рішення </w:t>
      </w:r>
      <w:r w:rsidR="00405D81">
        <w:rPr>
          <w:lang w:val="en-US"/>
        </w:rPr>
        <w:t>London</w:t>
      </w:r>
      <w:r w:rsidR="00405D81" w:rsidRPr="00405D81">
        <w:rPr>
          <w:lang w:val="uk-UA"/>
        </w:rPr>
        <w:t xml:space="preserve"> </w:t>
      </w:r>
      <w:r w:rsidR="00405D81">
        <w:rPr>
          <w:lang w:val="en-US"/>
        </w:rPr>
        <w:t>Maritime</w:t>
      </w:r>
      <w:r w:rsidR="00405D81" w:rsidRPr="00405D81">
        <w:rPr>
          <w:lang w:val="uk-UA"/>
        </w:rPr>
        <w:t xml:space="preserve"> </w:t>
      </w:r>
      <w:r w:rsidR="00405D81">
        <w:rPr>
          <w:lang w:val="en-US"/>
        </w:rPr>
        <w:t>Arbitration</w:t>
      </w:r>
      <w:r w:rsidR="00405D81" w:rsidRPr="00405D81">
        <w:rPr>
          <w:lang w:val="uk-UA"/>
        </w:rPr>
        <w:t xml:space="preserve"> </w:t>
      </w:r>
      <w:r w:rsidR="00405D81">
        <w:rPr>
          <w:lang w:val="en-US"/>
        </w:rPr>
        <w:t>Association</w:t>
      </w:r>
      <w:r w:rsidR="00405D81" w:rsidRPr="00405D81">
        <w:rPr>
          <w:lang w:val="uk-UA"/>
        </w:rPr>
        <w:t xml:space="preserve"> (</w:t>
      </w:r>
      <w:r w:rsidR="00405D81">
        <w:rPr>
          <w:lang w:val="en-US"/>
        </w:rPr>
        <w:t>LMAA</w:t>
      </w:r>
      <w:r w:rsidR="00405D81" w:rsidRPr="00405D81">
        <w:rPr>
          <w:lang w:val="uk-UA"/>
        </w:rPr>
        <w:t xml:space="preserve">) </w:t>
      </w:r>
      <w:r w:rsidR="00405D81">
        <w:rPr>
          <w:lang w:val="uk-UA"/>
        </w:rPr>
        <w:t xml:space="preserve">від 24.11.2008р. або повторного звернення до </w:t>
      </w:r>
      <w:r w:rsidR="00405D81">
        <w:rPr>
          <w:lang w:val="en-US"/>
        </w:rPr>
        <w:t>LMAA</w:t>
      </w:r>
      <w:r w:rsidR="00405D81" w:rsidRPr="00405D81">
        <w:rPr>
          <w:lang w:val="uk-UA"/>
        </w:rPr>
        <w:t xml:space="preserve"> </w:t>
      </w:r>
      <w:r w:rsidR="00405D81">
        <w:rPr>
          <w:lang w:val="uk-UA"/>
        </w:rPr>
        <w:t xml:space="preserve">або іншого арбітражу з позовною заявою відносно спору між КП «МПРС» (як правонаступника ДП «МАРС»)  та фрахтувальника – </w:t>
      </w:r>
      <w:r w:rsidR="00405D81">
        <w:rPr>
          <w:lang w:val="en-US"/>
        </w:rPr>
        <w:t>Marine</w:t>
      </w:r>
      <w:r w:rsidR="00405D81" w:rsidRPr="00405D81">
        <w:rPr>
          <w:lang w:val="uk-UA"/>
        </w:rPr>
        <w:t xml:space="preserve"> </w:t>
      </w:r>
      <w:r w:rsidR="00405D81">
        <w:rPr>
          <w:lang w:val="en-US"/>
        </w:rPr>
        <w:t>Offshore</w:t>
      </w:r>
      <w:r w:rsidR="00405D81" w:rsidRPr="00405D81">
        <w:rPr>
          <w:lang w:val="uk-UA"/>
        </w:rPr>
        <w:t xml:space="preserve"> </w:t>
      </w:r>
      <w:r w:rsidR="00405D81">
        <w:rPr>
          <w:lang w:val="en-US"/>
        </w:rPr>
        <w:t>Services</w:t>
      </w:r>
      <w:r w:rsidR="00405D81" w:rsidRPr="00405D81">
        <w:rPr>
          <w:lang w:val="uk-UA"/>
        </w:rPr>
        <w:t xml:space="preserve"> </w:t>
      </w:r>
      <w:r w:rsidR="00405D81">
        <w:rPr>
          <w:lang w:val="en-US"/>
        </w:rPr>
        <w:t>Ltd</w:t>
      </w:r>
      <w:r w:rsidR="00405D81">
        <w:rPr>
          <w:lang w:val="uk-UA"/>
        </w:rPr>
        <w:t xml:space="preserve">. </w:t>
      </w:r>
      <w:r w:rsidR="001B6871">
        <w:rPr>
          <w:lang w:val="en-US"/>
        </w:rPr>
        <w:t>c</w:t>
      </w:r>
      <w:r w:rsidR="001B6871" w:rsidRPr="00A860ED">
        <w:rPr>
          <w:lang w:val="uk-UA"/>
        </w:rPr>
        <w:t>/</w:t>
      </w:r>
      <w:r w:rsidR="001B6871">
        <w:rPr>
          <w:lang w:val="en-US"/>
        </w:rPr>
        <w:t>o</w:t>
      </w:r>
      <w:r w:rsidR="001B6871" w:rsidRPr="00A860ED">
        <w:rPr>
          <w:lang w:val="uk-UA"/>
        </w:rPr>
        <w:t xml:space="preserve"> </w:t>
      </w:r>
      <w:proofErr w:type="spellStart"/>
      <w:r w:rsidR="001B6871">
        <w:rPr>
          <w:lang w:val="en-US"/>
        </w:rPr>
        <w:t>Whitesea</w:t>
      </w:r>
      <w:proofErr w:type="spellEnd"/>
      <w:r w:rsidR="001B6871" w:rsidRPr="00A860ED">
        <w:rPr>
          <w:lang w:val="uk-UA"/>
        </w:rPr>
        <w:t xml:space="preserve"> </w:t>
      </w:r>
      <w:r w:rsidR="001B6871">
        <w:rPr>
          <w:lang w:val="en-US"/>
        </w:rPr>
        <w:t>Shipping</w:t>
      </w:r>
      <w:r w:rsidR="001B6871" w:rsidRPr="00A860ED">
        <w:rPr>
          <w:lang w:val="uk-UA"/>
        </w:rPr>
        <w:t xml:space="preserve"> &amp; </w:t>
      </w:r>
      <w:r w:rsidR="00A860ED">
        <w:rPr>
          <w:lang w:val="en-US"/>
        </w:rPr>
        <w:t>Supply</w:t>
      </w:r>
      <w:r w:rsidR="00A860ED" w:rsidRPr="00A860ED">
        <w:rPr>
          <w:lang w:val="uk-UA"/>
        </w:rPr>
        <w:t xml:space="preserve"> </w:t>
      </w:r>
      <w:r w:rsidR="00A860ED">
        <w:rPr>
          <w:lang w:val="en-US"/>
        </w:rPr>
        <w:t>L</w:t>
      </w:r>
      <w:r w:rsidR="00A860ED" w:rsidRPr="00A860ED">
        <w:rPr>
          <w:lang w:val="uk-UA"/>
        </w:rPr>
        <w:t>.</w:t>
      </w:r>
      <w:r w:rsidR="00A860ED">
        <w:rPr>
          <w:lang w:val="en-US"/>
        </w:rPr>
        <w:t>L</w:t>
      </w:r>
      <w:r w:rsidR="00A860ED" w:rsidRPr="00A860ED">
        <w:rPr>
          <w:lang w:val="uk-UA"/>
        </w:rPr>
        <w:t>.</w:t>
      </w:r>
      <w:r w:rsidR="00A860ED">
        <w:rPr>
          <w:lang w:val="en-US"/>
        </w:rPr>
        <w:t>C</w:t>
      </w:r>
      <w:r w:rsidR="00A860ED" w:rsidRPr="00A860ED">
        <w:rPr>
          <w:lang w:val="uk-UA"/>
        </w:rPr>
        <w:t>.</w:t>
      </w:r>
      <w:r w:rsidR="00A860ED">
        <w:rPr>
          <w:lang w:val="uk-UA"/>
        </w:rPr>
        <w:t>, що виник відносно суден «Орел» та «Гриф».</w:t>
      </w:r>
      <w:r w:rsidR="00405D81">
        <w:rPr>
          <w:lang w:val="uk-UA"/>
        </w:rPr>
        <w:t xml:space="preserve">  </w:t>
      </w:r>
      <w:r>
        <w:rPr>
          <w:lang w:val="uk-UA"/>
        </w:rPr>
        <w:t xml:space="preserve"> </w:t>
      </w:r>
    </w:p>
    <w:p w:rsidR="00113974" w:rsidRDefault="00113974" w:rsidP="00975E40">
      <w:pPr>
        <w:tabs>
          <w:tab w:val="left" w:pos="0"/>
        </w:tabs>
        <w:spacing w:line="240" w:lineRule="atLeast"/>
        <w:jc w:val="both"/>
        <w:rPr>
          <w:lang w:val="uk-UA"/>
        </w:rPr>
      </w:pPr>
    </w:p>
    <w:p w:rsidR="00113974" w:rsidRDefault="00113974" w:rsidP="00975E40">
      <w:pPr>
        <w:tabs>
          <w:tab w:val="left" w:pos="0"/>
        </w:tabs>
        <w:spacing w:line="240" w:lineRule="atLeast"/>
        <w:jc w:val="both"/>
        <w:rPr>
          <w:lang w:val="uk-UA"/>
        </w:rPr>
      </w:pPr>
    </w:p>
    <w:p w:rsidR="009E1AB8" w:rsidRPr="00312548" w:rsidRDefault="00312548" w:rsidP="003F5A96">
      <w:pPr>
        <w:tabs>
          <w:tab w:val="left" w:pos="0"/>
        </w:tabs>
        <w:spacing w:line="240" w:lineRule="atLeast"/>
        <w:jc w:val="center"/>
        <w:rPr>
          <w:b/>
          <w:lang w:val="uk-UA"/>
        </w:rPr>
      </w:pPr>
      <w:r w:rsidRPr="00312548">
        <w:rPr>
          <w:b/>
          <w:lang w:val="uk-UA"/>
        </w:rPr>
        <w:lastRenderedPageBreak/>
        <w:t>Сплата податків та обов’язкових платежів до бюджетів</w:t>
      </w:r>
    </w:p>
    <w:p w:rsidR="00562773" w:rsidRDefault="00562773" w:rsidP="00615745">
      <w:pPr>
        <w:tabs>
          <w:tab w:val="left" w:pos="0"/>
        </w:tabs>
        <w:spacing w:line="240" w:lineRule="atLeast"/>
        <w:jc w:val="both"/>
        <w:rPr>
          <w:lang w:val="uk-UA"/>
        </w:rPr>
      </w:pPr>
    </w:p>
    <w:p w:rsidR="00312548" w:rsidRDefault="00562773" w:rsidP="00615745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Таблиця 6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972"/>
        <w:gridCol w:w="851"/>
        <w:gridCol w:w="1417"/>
        <w:gridCol w:w="1418"/>
        <w:gridCol w:w="1559"/>
        <w:gridCol w:w="1559"/>
      </w:tblGrid>
      <w:tr w:rsidR="009E1AB8" w:rsidRPr="009E1AB8" w:rsidTr="000E2D2B">
        <w:trPr>
          <w:trHeight w:val="7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B8" w:rsidRPr="009E1AB8" w:rsidRDefault="009E1AB8" w:rsidP="000E2D2B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AB8" w:rsidRPr="009E1AB8" w:rsidRDefault="009E1AB8" w:rsidP="000E2D2B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AB8" w:rsidRPr="009E1AB8" w:rsidRDefault="009E1AB8" w:rsidP="000E2D2B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AB8" w:rsidRPr="009E1AB8" w:rsidRDefault="009E1AB8" w:rsidP="000E2D2B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факт 2018 року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AB8" w:rsidRPr="009E1AB8" w:rsidRDefault="009E1AB8" w:rsidP="000E2D2B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відхилення,  +/–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AB8" w:rsidRPr="009E1AB8" w:rsidRDefault="009E1AB8" w:rsidP="000E2D2B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виконання, %</w:t>
            </w:r>
          </w:p>
        </w:tc>
      </w:tr>
      <w:tr w:rsidR="005316D0" w:rsidRPr="005316D0" w:rsidTr="00AE71B3">
        <w:trPr>
          <w:trHeight w:val="42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6D0" w:rsidRPr="005316D0" w:rsidRDefault="005316D0" w:rsidP="005316D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6D0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6D0" w:rsidRPr="005316D0" w:rsidRDefault="005316D0" w:rsidP="005316D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6D0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6D0" w:rsidRPr="005316D0" w:rsidRDefault="005316D0" w:rsidP="005316D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6D0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6D0" w:rsidRPr="005316D0" w:rsidRDefault="005316D0" w:rsidP="005316D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6D0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6D0" w:rsidRPr="005316D0" w:rsidRDefault="005316D0" w:rsidP="005316D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6D0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6D0" w:rsidRPr="005316D0" w:rsidRDefault="005316D0" w:rsidP="005316D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6D0"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F7208F" w:rsidRPr="009E1AB8" w:rsidTr="0010214A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8F" w:rsidRPr="009E1AB8" w:rsidRDefault="00F7208F" w:rsidP="00F7208F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E1AB8">
              <w:rPr>
                <w:b/>
                <w:bCs/>
                <w:sz w:val="22"/>
                <w:szCs w:val="22"/>
                <w:lang w:val="uk-UA"/>
              </w:rPr>
              <w:t>Сплата податків та зборів до Державного бюджету України (податкові платежі), усього, у тому числі: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08F" w:rsidRPr="009E1AB8" w:rsidRDefault="00F7208F" w:rsidP="00F7208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E1AB8">
              <w:rPr>
                <w:b/>
                <w:bCs/>
                <w:sz w:val="22"/>
                <w:szCs w:val="22"/>
                <w:lang w:val="uk-UA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F7208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F7208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7812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F7208F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-154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F7208F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98,1</w:t>
            </w:r>
          </w:p>
        </w:tc>
      </w:tr>
      <w:tr w:rsidR="00F7208F" w:rsidRPr="009E1AB8" w:rsidTr="0010214A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8F" w:rsidRPr="009E1AB8" w:rsidRDefault="00F7208F" w:rsidP="00F7208F">
            <w:pPr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податок на прибуток підприємств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08F" w:rsidRPr="009E1AB8" w:rsidRDefault="00F7208F" w:rsidP="00F7208F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503F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503F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F7208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F7208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36,6</w:t>
            </w:r>
          </w:p>
        </w:tc>
      </w:tr>
      <w:tr w:rsidR="00F7208F" w:rsidRPr="009E1AB8" w:rsidTr="004C42F8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8F" w:rsidRPr="009E1AB8" w:rsidRDefault="00F7208F" w:rsidP="00F7208F">
            <w:pPr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08F" w:rsidRPr="009E1AB8" w:rsidRDefault="00F7208F" w:rsidP="00F7208F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1021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503F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F7208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F7208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128,5</w:t>
            </w:r>
          </w:p>
        </w:tc>
      </w:tr>
      <w:tr w:rsidR="00F7208F" w:rsidRPr="009E1AB8" w:rsidTr="004C42F8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8F" w:rsidRPr="009E1AB8" w:rsidRDefault="00F7208F" w:rsidP="00F7208F">
            <w:pPr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відрахування частини чистого прибутку державними унітарними підприємствами та їх об'єднаннями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08F" w:rsidRPr="009E1AB8" w:rsidRDefault="00F7208F" w:rsidP="00F7208F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6D43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6D43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F7208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10214A" w:rsidRDefault="0010214A" w:rsidP="00F7208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193,3</w:t>
            </w:r>
          </w:p>
        </w:tc>
      </w:tr>
      <w:tr w:rsidR="00F7208F" w:rsidRPr="009E1AB8" w:rsidTr="004C42F8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8F" w:rsidRPr="009E1AB8" w:rsidRDefault="00F7208F" w:rsidP="00F7208F">
            <w:pPr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інші податки та збори (розшифрувати)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08F" w:rsidRPr="009E1AB8" w:rsidRDefault="00F7208F" w:rsidP="00F7208F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6D434A" w:rsidRDefault="006D434A" w:rsidP="00503F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6D434A" w:rsidRDefault="006D434A" w:rsidP="00503F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6D434A" w:rsidRDefault="006D434A" w:rsidP="00F7208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6D434A" w:rsidRDefault="006D434A" w:rsidP="00F7208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82,9</w:t>
            </w:r>
          </w:p>
        </w:tc>
      </w:tr>
      <w:tr w:rsidR="00F7208F" w:rsidRPr="009E1AB8" w:rsidTr="004C42F8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8F" w:rsidRPr="009E1AB8" w:rsidRDefault="00F7208F" w:rsidP="00F7208F">
            <w:pPr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збір за використання радіочастотного ресурсу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08F" w:rsidRPr="009E1AB8" w:rsidRDefault="00F7208F" w:rsidP="00F7208F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2119/1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6D434A" w:rsidRDefault="006D434A" w:rsidP="00503F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6D434A" w:rsidRDefault="006D434A" w:rsidP="00503F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6D434A" w:rsidRDefault="006D434A" w:rsidP="00F7208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6D434A" w:rsidRDefault="006D434A" w:rsidP="00F7208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77,1</w:t>
            </w:r>
          </w:p>
        </w:tc>
      </w:tr>
      <w:tr w:rsidR="00F7208F" w:rsidRPr="009E1AB8" w:rsidTr="004C42F8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8F" w:rsidRPr="009E1AB8" w:rsidRDefault="00F7208F" w:rsidP="00F7208F">
            <w:pPr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військовий збір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08F" w:rsidRPr="009E1AB8" w:rsidRDefault="00F7208F" w:rsidP="00F7208F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2119/2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6D434A" w:rsidRDefault="006D434A" w:rsidP="00503F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6D434A" w:rsidRDefault="006D434A" w:rsidP="00503F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6D434A" w:rsidRDefault="006D434A" w:rsidP="00F7208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08F" w:rsidRPr="006D434A" w:rsidRDefault="006D434A" w:rsidP="00F7208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85,8</w:t>
            </w:r>
          </w:p>
        </w:tc>
      </w:tr>
      <w:tr w:rsidR="00D770B2" w:rsidRPr="009E1AB8" w:rsidTr="004C42F8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0B2" w:rsidRPr="009E1AB8" w:rsidRDefault="00D770B2" w:rsidP="00D770B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E1AB8">
              <w:rPr>
                <w:b/>
                <w:bCs/>
                <w:sz w:val="22"/>
                <w:szCs w:val="22"/>
                <w:lang w:val="uk-UA"/>
              </w:rPr>
              <w:t>Сплата податків та зборів до місцевих бюджетів (податкові платежі), усього, у тому числі: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0B2" w:rsidRPr="009E1AB8" w:rsidRDefault="00D770B2" w:rsidP="00D770B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E1AB8">
              <w:rPr>
                <w:b/>
                <w:bCs/>
                <w:sz w:val="22"/>
                <w:szCs w:val="22"/>
                <w:lang w:val="uk-UA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18486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15932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-2554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86,2</w:t>
            </w:r>
          </w:p>
        </w:tc>
      </w:tr>
      <w:tr w:rsidR="00D770B2" w:rsidRPr="009E1AB8" w:rsidTr="004C42F8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0B2" w:rsidRPr="009E1AB8" w:rsidRDefault="00D770B2" w:rsidP="00D770B2">
            <w:pPr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податок на доходи фізичних осіб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0B2" w:rsidRPr="009E1AB8" w:rsidRDefault="00D770B2" w:rsidP="00D770B2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85,8</w:t>
            </w:r>
          </w:p>
        </w:tc>
      </w:tr>
      <w:tr w:rsidR="00D770B2" w:rsidRPr="009E1AB8" w:rsidTr="004C42F8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0B2" w:rsidRPr="009E1AB8" w:rsidRDefault="00D770B2" w:rsidP="00D770B2">
            <w:pPr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земельний податок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0B2" w:rsidRPr="009E1AB8" w:rsidRDefault="00D770B2" w:rsidP="00D770B2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125,2</w:t>
            </w:r>
          </w:p>
        </w:tc>
      </w:tr>
      <w:tr w:rsidR="00D770B2" w:rsidRPr="009E1AB8" w:rsidTr="00FD646F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0B2" w:rsidRPr="009E1AB8" w:rsidRDefault="00D770B2" w:rsidP="00D770B2">
            <w:pPr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орендна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0B2" w:rsidRPr="009E1AB8" w:rsidRDefault="00D770B2" w:rsidP="00D770B2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85,8</w:t>
            </w:r>
          </w:p>
        </w:tc>
      </w:tr>
      <w:tr w:rsidR="00D770B2" w:rsidRPr="009E1AB8" w:rsidTr="004C42F8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0B2" w:rsidRPr="009E1AB8" w:rsidRDefault="00D770B2" w:rsidP="00D770B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E1AB8">
              <w:rPr>
                <w:b/>
                <w:bCs/>
                <w:sz w:val="22"/>
                <w:szCs w:val="22"/>
                <w:lang w:val="uk-UA"/>
              </w:rPr>
              <w:t>Інші податки, збори та платежі на користь держави, усього, у тому числі: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0B2" w:rsidRPr="009E1AB8" w:rsidRDefault="00D770B2" w:rsidP="00D770B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E1AB8">
              <w:rPr>
                <w:b/>
                <w:bCs/>
                <w:sz w:val="22"/>
                <w:szCs w:val="22"/>
                <w:lang w:val="uk-UA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18166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-3781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82,8</w:t>
            </w:r>
          </w:p>
        </w:tc>
      </w:tr>
      <w:tr w:rsidR="00D770B2" w:rsidRPr="009E1AB8" w:rsidTr="004C42F8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0B2" w:rsidRPr="009E1AB8" w:rsidRDefault="00D770B2" w:rsidP="00D770B2">
            <w:pPr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 xml:space="preserve">єдиний внесок на загальнообов'язкове державне соціальне страхування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0B2" w:rsidRPr="009E1AB8" w:rsidRDefault="00D770B2" w:rsidP="00D770B2">
            <w:pPr>
              <w:jc w:val="center"/>
              <w:rPr>
                <w:sz w:val="22"/>
                <w:szCs w:val="22"/>
                <w:lang w:val="uk-UA"/>
              </w:rPr>
            </w:pPr>
            <w:r w:rsidRPr="009E1AB8">
              <w:rPr>
                <w:sz w:val="22"/>
                <w:szCs w:val="22"/>
                <w:lang w:val="uk-UA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-3781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82,8</w:t>
            </w:r>
          </w:p>
        </w:tc>
      </w:tr>
      <w:tr w:rsidR="00D770B2" w:rsidRPr="009E1AB8" w:rsidTr="004C42F8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0B2" w:rsidRPr="009E1AB8" w:rsidRDefault="00D770B2" w:rsidP="00D770B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E1AB8">
              <w:rPr>
                <w:b/>
                <w:bCs/>
                <w:sz w:val="22"/>
                <w:szCs w:val="22"/>
                <w:lang w:val="uk-UA"/>
              </w:rPr>
              <w:t>Усього виплат на користь держави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0B2" w:rsidRPr="009E1AB8" w:rsidRDefault="00D770B2" w:rsidP="00D770B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E1AB8">
              <w:rPr>
                <w:b/>
                <w:bCs/>
                <w:sz w:val="22"/>
                <w:szCs w:val="22"/>
                <w:lang w:val="uk-UA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48399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6D434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-6489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0B2" w:rsidRPr="006D434A" w:rsidRDefault="006D434A" w:rsidP="00D770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86,6</w:t>
            </w:r>
          </w:p>
        </w:tc>
      </w:tr>
    </w:tbl>
    <w:p w:rsidR="009E1AB8" w:rsidRPr="009E1AB8" w:rsidRDefault="009E1AB8" w:rsidP="00615745">
      <w:pPr>
        <w:tabs>
          <w:tab w:val="left" w:pos="0"/>
        </w:tabs>
        <w:spacing w:line="240" w:lineRule="atLeast"/>
        <w:jc w:val="both"/>
        <w:rPr>
          <w:lang w:val="uk-UA"/>
        </w:rPr>
      </w:pPr>
    </w:p>
    <w:p w:rsidR="00F70B9E" w:rsidRDefault="005A5EDA" w:rsidP="005A5EDA">
      <w:pPr>
        <w:pStyle w:val="ad"/>
        <w:ind w:left="0" w:firstLine="709"/>
        <w:jc w:val="both"/>
        <w:rPr>
          <w:lang w:val="uk-UA"/>
        </w:rPr>
      </w:pPr>
      <w:r w:rsidRPr="00626DBE">
        <w:rPr>
          <w:lang w:val="uk-UA"/>
        </w:rPr>
        <w:t>У 2018 ро</w:t>
      </w:r>
      <w:r w:rsidR="00F75F7E">
        <w:rPr>
          <w:lang w:val="uk-UA"/>
        </w:rPr>
        <w:t>ці</w:t>
      </w:r>
      <w:r w:rsidRPr="00626DBE">
        <w:rPr>
          <w:lang w:val="uk-UA"/>
        </w:rPr>
        <w:t xml:space="preserve"> підприємство перерахувало до бюджетів та державних цільових фондів </w:t>
      </w:r>
      <w:r w:rsidR="00F75F7E">
        <w:rPr>
          <w:lang w:val="uk-UA"/>
        </w:rPr>
        <w:t>41910</w:t>
      </w:r>
      <w:r w:rsidRPr="00626DBE">
        <w:rPr>
          <w:lang w:val="uk-UA"/>
        </w:rPr>
        <w:t xml:space="preserve"> тис</w:t>
      </w:r>
      <w:r w:rsidR="00F0720D">
        <w:rPr>
          <w:lang w:val="uk-UA"/>
        </w:rPr>
        <w:t>.</w:t>
      </w:r>
      <w:r w:rsidRPr="00626DBE">
        <w:rPr>
          <w:lang w:val="uk-UA"/>
        </w:rPr>
        <w:t xml:space="preserve"> грн</w:t>
      </w:r>
      <w:r w:rsidR="00F70B9E" w:rsidRPr="00626DBE">
        <w:rPr>
          <w:lang w:val="uk-UA"/>
        </w:rPr>
        <w:t>.</w:t>
      </w:r>
      <w:r w:rsidR="005A3B29">
        <w:rPr>
          <w:lang w:val="uk-UA"/>
        </w:rPr>
        <w:t xml:space="preserve">, що </w:t>
      </w:r>
      <w:r w:rsidR="00F75F7E">
        <w:rPr>
          <w:lang w:val="uk-UA"/>
        </w:rPr>
        <w:t xml:space="preserve">складає 86,4% від </w:t>
      </w:r>
      <w:r w:rsidR="005A3B29">
        <w:rPr>
          <w:lang w:val="uk-UA"/>
        </w:rPr>
        <w:t>планов</w:t>
      </w:r>
      <w:r w:rsidR="00F75F7E">
        <w:rPr>
          <w:lang w:val="uk-UA"/>
        </w:rPr>
        <w:t>ого</w:t>
      </w:r>
      <w:r w:rsidR="005A3B29">
        <w:rPr>
          <w:lang w:val="uk-UA"/>
        </w:rPr>
        <w:t xml:space="preserve"> показник</w:t>
      </w:r>
      <w:r w:rsidR="00F75F7E">
        <w:rPr>
          <w:lang w:val="uk-UA"/>
        </w:rPr>
        <w:t>а</w:t>
      </w:r>
      <w:r w:rsidR="00B51A3C">
        <w:rPr>
          <w:lang w:val="uk-UA"/>
        </w:rPr>
        <w:t>.</w:t>
      </w:r>
    </w:p>
    <w:p w:rsidR="001272AF" w:rsidRDefault="001272AF" w:rsidP="001272AF">
      <w:pPr>
        <w:pStyle w:val="ad"/>
        <w:ind w:left="0" w:firstLine="709"/>
        <w:jc w:val="both"/>
        <w:rPr>
          <w:lang w:val="uk-UA"/>
        </w:rPr>
      </w:pPr>
      <w:r w:rsidRPr="00F84D6A">
        <w:rPr>
          <w:lang w:val="uk-UA"/>
        </w:rPr>
        <w:t xml:space="preserve">Звертаємо Вашу увагу, що фінансовий план на 2018 рік затверджений 03.10.2017 року. </w:t>
      </w:r>
      <w:r w:rsidR="00345D7F" w:rsidRPr="00F84D6A">
        <w:rPr>
          <w:lang w:val="uk-UA"/>
        </w:rPr>
        <w:t xml:space="preserve">На </w:t>
      </w:r>
      <w:r w:rsidR="00634D0C" w:rsidRPr="00F84D6A">
        <w:rPr>
          <w:lang w:val="uk-UA"/>
        </w:rPr>
        <w:t xml:space="preserve">1 квартал 2018 року була запланована сплата річної суми податку на прибуток за 2017 рік. </w:t>
      </w:r>
      <w:r w:rsidRPr="00F84D6A">
        <w:rPr>
          <w:lang w:val="uk-UA"/>
        </w:rPr>
        <w:t>Станом на 31.12.2017 року сума переплати за податком на прибуток КП «МПРС» складала 846 тис грн. Тому за результатами роботи у 1 кварталі</w:t>
      </w:r>
      <w:r w:rsidR="00634D0C" w:rsidRPr="00F84D6A">
        <w:rPr>
          <w:lang w:val="uk-UA"/>
        </w:rPr>
        <w:t xml:space="preserve"> 2018</w:t>
      </w:r>
      <w:r w:rsidRPr="00F84D6A">
        <w:rPr>
          <w:lang w:val="uk-UA"/>
        </w:rPr>
        <w:t xml:space="preserve"> року підприємство не перераховувало подат</w:t>
      </w:r>
      <w:r w:rsidR="00875562">
        <w:rPr>
          <w:lang w:val="uk-UA"/>
        </w:rPr>
        <w:t>ок</w:t>
      </w:r>
      <w:r w:rsidRPr="00F84D6A">
        <w:rPr>
          <w:lang w:val="uk-UA"/>
        </w:rPr>
        <w:t xml:space="preserve"> на прибуток.</w:t>
      </w:r>
      <w:r w:rsidR="00634D0C" w:rsidRPr="00F84D6A">
        <w:rPr>
          <w:lang w:val="uk-UA"/>
        </w:rPr>
        <w:t xml:space="preserve"> У 2 кварталі 2018 року показник сплати податку на прибуток був</w:t>
      </w:r>
      <w:r w:rsidR="00634D0C">
        <w:rPr>
          <w:lang w:val="uk-UA"/>
        </w:rPr>
        <w:t xml:space="preserve"> </w:t>
      </w:r>
      <w:r w:rsidR="00634D0C">
        <w:rPr>
          <w:lang w:val="uk-UA"/>
        </w:rPr>
        <w:lastRenderedPageBreak/>
        <w:t>перебільшений у 6 раз</w:t>
      </w:r>
      <w:r w:rsidR="00875562">
        <w:rPr>
          <w:lang w:val="uk-UA"/>
        </w:rPr>
        <w:t>і</w:t>
      </w:r>
      <w:r w:rsidR="00634D0C">
        <w:rPr>
          <w:lang w:val="uk-UA"/>
        </w:rPr>
        <w:t xml:space="preserve">в; у 3 кварталі </w:t>
      </w:r>
      <w:r w:rsidR="00A4111D">
        <w:rPr>
          <w:lang w:val="uk-UA"/>
        </w:rPr>
        <w:t xml:space="preserve">виконаний </w:t>
      </w:r>
      <w:r w:rsidR="00634D0C">
        <w:rPr>
          <w:lang w:val="uk-UA"/>
        </w:rPr>
        <w:t>на 143,4%; 4 кварталі – 294,6%</w:t>
      </w:r>
      <w:r w:rsidR="00345D7F">
        <w:rPr>
          <w:lang w:val="uk-UA"/>
        </w:rPr>
        <w:t>. Тому, накопиче</w:t>
      </w:r>
      <w:r w:rsidR="00875562">
        <w:rPr>
          <w:lang w:val="uk-UA"/>
        </w:rPr>
        <w:t>ний</w:t>
      </w:r>
      <w:r w:rsidR="00345D7F">
        <w:rPr>
          <w:lang w:val="uk-UA"/>
        </w:rPr>
        <w:t xml:space="preserve"> за результатами роботи за рік </w:t>
      </w:r>
      <w:r w:rsidR="00A4111D">
        <w:rPr>
          <w:lang w:val="uk-UA"/>
        </w:rPr>
        <w:t xml:space="preserve">показник </w:t>
      </w:r>
      <w:r w:rsidR="00345D7F">
        <w:rPr>
          <w:lang w:val="uk-UA"/>
        </w:rPr>
        <w:t>сплат</w:t>
      </w:r>
      <w:r w:rsidR="00A4111D">
        <w:rPr>
          <w:lang w:val="uk-UA"/>
        </w:rPr>
        <w:t>и</w:t>
      </w:r>
      <w:r w:rsidR="00345D7F">
        <w:rPr>
          <w:lang w:val="uk-UA"/>
        </w:rPr>
        <w:t xml:space="preserve"> податку на прибуток відповідно до плану на 2018 рік виконаний на 36,6%.</w:t>
      </w:r>
      <w:r w:rsidR="00634D0C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017440" w:rsidRDefault="00017440" w:rsidP="00401B80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lang w:val="uk-UA"/>
        </w:rPr>
        <w:tab/>
      </w:r>
      <w:r w:rsidR="001240C9">
        <w:rPr>
          <w:lang w:val="uk-UA"/>
        </w:rPr>
        <w:t xml:space="preserve">Розрахунок </w:t>
      </w:r>
      <w:r w:rsidR="001240C9" w:rsidRPr="00017440">
        <w:rPr>
          <w:lang w:val="uk-UA"/>
        </w:rPr>
        <w:t>податк</w:t>
      </w:r>
      <w:r w:rsidR="001240C9">
        <w:rPr>
          <w:lang w:val="uk-UA"/>
        </w:rPr>
        <w:t>у</w:t>
      </w:r>
      <w:r w:rsidR="001240C9" w:rsidRPr="00017440">
        <w:rPr>
          <w:lang w:val="uk-UA"/>
        </w:rPr>
        <w:t xml:space="preserve"> </w:t>
      </w:r>
      <w:r w:rsidRPr="00017440">
        <w:rPr>
          <w:lang w:val="uk-UA"/>
        </w:rPr>
        <w:t xml:space="preserve">на прибуток відповідно до декларації про податок на прибуток за  2018 </w:t>
      </w:r>
      <w:r>
        <w:rPr>
          <w:lang w:val="uk-UA"/>
        </w:rPr>
        <w:t>наданий у наступній таблиці</w:t>
      </w:r>
      <w:r w:rsidR="00D63440">
        <w:rPr>
          <w:lang w:val="uk-UA"/>
        </w:rPr>
        <w:t xml:space="preserve"> 7</w:t>
      </w:r>
      <w:r>
        <w:rPr>
          <w:lang w:val="uk-UA"/>
        </w:rPr>
        <w:t>:</w:t>
      </w:r>
    </w:p>
    <w:p w:rsidR="00E62AA2" w:rsidRDefault="00017440" w:rsidP="00401B80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63440" w:rsidRPr="00017440" w:rsidRDefault="00D63440" w:rsidP="00401B80">
      <w:pPr>
        <w:tabs>
          <w:tab w:val="left" w:pos="0"/>
        </w:tabs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ACE">
        <w:rPr>
          <w:lang w:val="uk-UA"/>
        </w:rPr>
        <w:t xml:space="preserve">Таблиця </w:t>
      </w:r>
      <w:r>
        <w:rPr>
          <w:lang w:val="uk-UA"/>
        </w:rPr>
        <w:t>7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00"/>
        <w:gridCol w:w="5400"/>
        <w:gridCol w:w="3534"/>
      </w:tblGrid>
      <w:tr w:rsidR="00E8390E" w:rsidRPr="00017440" w:rsidTr="00E8390E">
        <w:trPr>
          <w:trHeight w:val="7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390E" w:rsidRPr="00017440" w:rsidRDefault="00E8390E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390E" w:rsidRPr="00017440" w:rsidRDefault="00E8390E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 xml:space="preserve">Показники 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390E" w:rsidRPr="00017440" w:rsidRDefault="00E8390E" w:rsidP="00981A70">
            <w:pPr>
              <w:jc w:val="center"/>
              <w:rPr>
                <w:bCs/>
                <w:lang w:val="uk-UA"/>
              </w:rPr>
            </w:pPr>
            <w:r w:rsidRPr="00017440">
              <w:rPr>
                <w:lang w:val="uk-UA"/>
              </w:rPr>
              <w:t>Сума, тис.</w:t>
            </w:r>
            <w:r>
              <w:rPr>
                <w:lang w:val="uk-UA"/>
              </w:rPr>
              <w:t xml:space="preserve"> </w:t>
            </w:r>
            <w:r w:rsidRPr="00017440">
              <w:rPr>
                <w:lang w:val="uk-UA"/>
              </w:rPr>
              <w:t>грн.</w:t>
            </w:r>
          </w:p>
        </w:tc>
      </w:tr>
      <w:tr w:rsidR="00E62AA2" w:rsidRPr="00017440" w:rsidTr="00E8390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Валовий доход у т</w:t>
            </w:r>
            <w:r w:rsidR="00C53A1F">
              <w:rPr>
                <w:bCs/>
                <w:lang w:val="uk-UA"/>
              </w:rPr>
              <w:t xml:space="preserve">ому </w:t>
            </w:r>
            <w:r w:rsidRPr="00017440">
              <w:rPr>
                <w:bCs/>
                <w:lang w:val="uk-UA"/>
              </w:rPr>
              <w:t>ч</w:t>
            </w:r>
            <w:r w:rsidR="00C53A1F">
              <w:rPr>
                <w:bCs/>
                <w:lang w:val="uk-UA"/>
              </w:rPr>
              <w:t>ислі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183193,0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1.1.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lang w:val="uk-UA"/>
              </w:rPr>
            </w:pPr>
            <w:r w:rsidRPr="00017440">
              <w:rPr>
                <w:lang w:val="uk-UA"/>
              </w:rPr>
              <w:t>доходи від продажу товарів (робіт, послуг)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640,0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1.2.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lang w:val="uk-UA"/>
              </w:rPr>
            </w:pPr>
            <w:r w:rsidRPr="00017440">
              <w:rPr>
                <w:lang w:val="uk-UA"/>
              </w:rPr>
              <w:t>інші  доходи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182553,0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 xml:space="preserve">2.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Скоригований валовий доход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 xml:space="preserve"> Валові витрати у т</w:t>
            </w:r>
            <w:r w:rsidR="00C53A1F">
              <w:rPr>
                <w:bCs/>
                <w:lang w:val="uk-UA"/>
              </w:rPr>
              <w:t xml:space="preserve">ому </w:t>
            </w:r>
            <w:r w:rsidRPr="00017440">
              <w:rPr>
                <w:bCs/>
                <w:lang w:val="uk-UA"/>
              </w:rPr>
              <w:t>ч</w:t>
            </w:r>
            <w:r w:rsidR="00C53A1F">
              <w:rPr>
                <w:bCs/>
                <w:lang w:val="uk-UA"/>
              </w:rPr>
              <w:t>ислі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159049,0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3.1.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lang w:val="uk-UA"/>
              </w:rPr>
            </w:pPr>
            <w:r w:rsidRPr="00017440">
              <w:rPr>
                <w:lang w:val="uk-UA"/>
              </w:rPr>
              <w:t>витрати на придбання товарів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11812,0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3.2.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lang w:val="uk-UA"/>
              </w:rPr>
            </w:pPr>
            <w:r w:rsidRPr="00017440">
              <w:rPr>
                <w:lang w:val="uk-UA"/>
              </w:rPr>
              <w:t>витрати на оплату праці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89514,0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3.3.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rPr>
                <w:lang w:val="uk-UA"/>
              </w:rPr>
            </w:pPr>
            <w:r w:rsidRPr="00017440">
              <w:rPr>
                <w:lang w:val="uk-UA"/>
              </w:rPr>
              <w:t>податки та збори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19357,0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3.4.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lang w:val="uk-UA"/>
              </w:rPr>
            </w:pPr>
            <w:r w:rsidRPr="00017440">
              <w:rPr>
                <w:lang w:val="uk-UA"/>
              </w:rPr>
              <w:t>інші витрати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38366,0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Скориговані валові витрати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Сума амортизаційних відрахувань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15127,0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Об'єкт оподаткування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9 017,0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Прибуток, що підлягає оподаткуванню, у т</w:t>
            </w:r>
            <w:r w:rsidR="00C53A1F">
              <w:rPr>
                <w:bCs/>
                <w:lang w:val="uk-UA"/>
              </w:rPr>
              <w:t xml:space="preserve">ому </w:t>
            </w:r>
            <w:r w:rsidRPr="00017440">
              <w:rPr>
                <w:bCs/>
                <w:lang w:val="uk-UA"/>
              </w:rPr>
              <w:t>ч</w:t>
            </w:r>
            <w:r w:rsidR="00C53A1F">
              <w:rPr>
                <w:bCs/>
                <w:lang w:val="uk-UA"/>
              </w:rPr>
              <w:t>ислі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7.1.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lang w:val="uk-UA"/>
              </w:rPr>
            </w:pPr>
            <w:r w:rsidRPr="00017440">
              <w:rPr>
                <w:lang w:val="uk-UA"/>
              </w:rPr>
              <w:t>за базовою ставкою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18%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7.2.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lang w:val="uk-UA"/>
              </w:rPr>
            </w:pPr>
            <w:r w:rsidRPr="00017440">
              <w:rPr>
                <w:lang w:val="uk-UA"/>
              </w:rPr>
              <w:t>за пільговою ставкою _____ %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Нарахована сума податку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2535,0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Сума податку до сплати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506,0</w:t>
            </w:r>
          </w:p>
        </w:tc>
      </w:tr>
      <w:tr w:rsidR="00E62AA2" w:rsidRPr="00017440" w:rsidTr="00E62A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bCs/>
                <w:lang w:val="uk-UA"/>
              </w:rPr>
            </w:pPr>
            <w:r w:rsidRPr="00017440">
              <w:rPr>
                <w:bCs/>
                <w:lang w:val="uk-UA"/>
              </w:rPr>
              <w:t>Фактично сплачена сума податку на прибуток ( переплата)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1183,0</w:t>
            </w:r>
          </w:p>
        </w:tc>
      </w:tr>
      <w:tr w:rsidR="00E62AA2" w:rsidRPr="00017440" w:rsidTr="00E62AA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10.1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2AA2" w:rsidRPr="00017440" w:rsidRDefault="00E62AA2">
            <w:pPr>
              <w:rPr>
                <w:lang w:val="uk-UA"/>
              </w:rPr>
            </w:pPr>
            <w:r w:rsidRPr="00017440">
              <w:rPr>
                <w:lang w:val="uk-UA"/>
              </w:rPr>
              <w:t>у т</w:t>
            </w:r>
            <w:r w:rsidR="00C53A1F">
              <w:rPr>
                <w:lang w:val="uk-UA"/>
              </w:rPr>
              <w:t xml:space="preserve">ому </w:t>
            </w:r>
            <w:r w:rsidRPr="00017440">
              <w:rPr>
                <w:lang w:val="uk-UA"/>
              </w:rPr>
              <w:t>ч</w:t>
            </w:r>
            <w:r w:rsidR="00C53A1F">
              <w:rPr>
                <w:lang w:val="uk-UA"/>
              </w:rPr>
              <w:t>ислі</w:t>
            </w:r>
            <w:r w:rsidRPr="00017440">
              <w:rPr>
                <w:lang w:val="uk-UA"/>
              </w:rPr>
              <w:t xml:space="preserve"> переплата на початок року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2AA2" w:rsidRPr="00017440" w:rsidRDefault="00E62AA2" w:rsidP="001240C9">
            <w:pPr>
              <w:jc w:val="center"/>
              <w:rPr>
                <w:lang w:val="uk-UA"/>
              </w:rPr>
            </w:pPr>
            <w:r w:rsidRPr="00017440">
              <w:rPr>
                <w:lang w:val="uk-UA"/>
              </w:rPr>
              <w:t>846,0</w:t>
            </w:r>
          </w:p>
        </w:tc>
      </w:tr>
    </w:tbl>
    <w:p w:rsidR="00E62AA2" w:rsidRDefault="00E62AA2" w:rsidP="00401B80">
      <w:pPr>
        <w:tabs>
          <w:tab w:val="left" w:pos="0"/>
        </w:tabs>
        <w:spacing w:line="240" w:lineRule="atLeast"/>
        <w:jc w:val="both"/>
        <w:rPr>
          <w:lang w:val="uk-UA"/>
        </w:rPr>
      </w:pPr>
    </w:p>
    <w:p w:rsidR="00401B80" w:rsidRDefault="00401B80" w:rsidP="00401B80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lang w:val="uk-UA"/>
        </w:rPr>
        <w:tab/>
        <w:t xml:space="preserve">Збільшення фінансового результату діяльності у 2018 році забезпечило перевиконання планового показника </w:t>
      </w:r>
      <w:r w:rsidR="00E94F60">
        <w:rPr>
          <w:lang w:val="uk-UA"/>
        </w:rPr>
        <w:t>щ</w:t>
      </w:r>
      <w:r>
        <w:rPr>
          <w:lang w:val="uk-UA"/>
        </w:rPr>
        <w:t>о</w:t>
      </w:r>
      <w:r w:rsidR="00E94F60">
        <w:rPr>
          <w:lang w:val="uk-UA"/>
        </w:rPr>
        <w:t>до</w:t>
      </w:r>
      <w:r>
        <w:rPr>
          <w:lang w:val="uk-UA"/>
        </w:rPr>
        <w:t xml:space="preserve"> відрахуванн</w:t>
      </w:r>
      <w:r w:rsidR="00E94F60">
        <w:rPr>
          <w:lang w:val="uk-UA"/>
        </w:rPr>
        <w:t>я</w:t>
      </w:r>
      <w:r>
        <w:rPr>
          <w:lang w:val="uk-UA"/>
        </w:rPr>
        <w:t xml:space="preserve"> частини чистого прибутку державними унітарними підприємствами та їх об'єднаннями до Державного бюджету на 193,3%.</w:t>
      </w:r>
    </w:p>
    <w:p w:rsidR="00D63440" w:rsidRDefault="00D63440" w:rsidP="005A5EDA">
      <w:pPr>
        <w:spacing w:line="240" w:lineRule="atLeast"/>
        <w:ind w:firstLine="709"/>
        <w:jc w:val="both"/>
        <w:rPr>
          <w:lang w:val="uk-UA"/>
        </w:rPr>
      </w:pPr>
    </w:p>
    <w:p w:rsidR="004E466C" w:rsidRDefault="003E65E6" w:rsidP="005A5EDA">
      <w:pPr>
        <w:spacing w:line="240" w:lineRule="atLeast"/>
        <w:ind w:firstLine="709"/>
        <w:jc w:val="both"/>
        <w:rPr>
          <w:lang w:val="uk-UA"/>
        </w:rPr>
      </w:pPr>
      <w:r w:rsidRPr="003E65E6">
        <w:rPr>
          <w:lang w:val="uk-UA"/>
        </w:rPr>
        <w:t>Збір за використання радіочастотного ресурсу</w:t>
      </w:r>
      <w:r>
        <w:rPr>
          <w:lang w:val="uk-UA"/>
        </w:rPr>
        <w:t xml:space="preserve"> за результатами роботи за рік </w:t>
      </w:r>
      <w:r w:rsidR="00B3541A">
        <w:rPr>
          <w:lang w:val="uk-UA"/>
        </w:rPr>
        <w:t>виконаний</w:t>
      </w:r>
      <w:r>
        <w:rPr>
          <w:lang w:val="uk-UA"/>
        </w:rPr>
        <w:t xml:space="preserve"> на 77,1%</w:t>
      </w:r>
      <w:r w:rsidR="00E94F60">
        <w:rPr>
          <w:lang w:val="uk-UA"/>
        </w:rPr>
        <w:t xml:space="preserve"> від плану </w:t>
      </w:r>
      <w:r>
        <w:rPr>
          <w:lang w:val="uk-UA"/>
        </w:rPr>
        <w:t xml:space="preserve">у </w:t>
      </w:r>
      <w:r w:rsidR="00B3541A">
        <w:rPr>
          <w:lang w:val="uk-UA"/>
        </w:rPr>
        <w:t>зв’язку</w:t>
      </w:r>
      <w:r>
        <w:rPr>
          <w:lang w:val="uk-UA"/>
        </w:rPr>
        <w:t xml:space="preserve"> із </w:t>
      </w:r>
      <w:r w:rsidR="00B3541A">
        <w:rPr>
          <w:lang w:val="uk-UA"/>
        </w:rPr>
        <w:t>о</w:t>
      </w:r>
      <w:r>
        <w:rPr>
          <w:lang w:val="uk-UA"/>
        </w:rPr>
        <w:t>новленням</w:t>
      </w:r>
      <w:r w:rsidR="00B3541A">
        <w:rPr>
          <w:lang w:val="uk-UA"/>
        </w:rPr>
        <w:t xml:space="preserve"> у 2 кварталі 2018 року деяких дозволів на експлуатацію радіочастотного обладнання та зменшенням нарахування </w:t>
      </w:r>
      <w:r w:rsidR="00655FBF">
        <w:rPr>
          <w:lang w:val="uk-UA"/>
        </w:rPr>
        <w:t xml:space="preserve">рентної плати за користування радіочастотним ресурсом України </w:t>
      </w:r>
      <w:r w:rsidR="00B3541A">
        <w:rPr>
          <w:lang w:val="uk-UA"/>
        </w:rPr>
        <w:t>за результатами роботи у 2 та 3 кварталах 2018 року.</w:t>
      </w:r>
      <w:r>
        <w:rPr>
          <w:lang w:val="uk-UA"/>
        </w:rPr>
        <w:t xml:space="preserve"> </w:t>
      </w:r>
    </w:p>
    <w:p w:rsidR="0072622D" w:rsidRDefault="0072622D" w:rsidP="005A5EDA">
      <w:pPr>
        <w:spacing w:line="240" w:lineRule="atLeast"/>
        <w:ind w:firstLine="709"/>
        <w:jc w:val="both"/>
        <w:rPr>
          <w:lang w:val="uk-UA"/>
        </w:rPr>
      </w:pPr>
      <w:r>
        <w:rPr>
          <w:lang w:val="uk-UA"/>
        </w:rPr>
        <w:t>Виконання показника військово</w:t>
      </w:r>
      <w:r w:rsidR="00875562">
        <w:rPr>
          <w:lang w:val="uk-UA"/>
        </w:rPr>
        <w:t>го</w:t>
      </w:r>
      <w:r>
        <w:rPr>
          <w:lang w:val="uk-UA"/>
        </w:rPr>
        <w:t xml:space="preserve"> збору та </w:t>
      </w:r>
      <w:r w:rsidRPr="0072622D">
        <w:rPr>
          <w:lang w:val="uk-UA"/>
        </w:rPr>
        <w:t>податк</w:t>
      </w:r>
      <w:r>
        <w:rPr>
          <w:lang w:val="uk-UA"/>
        </w:rPr>
        <w:t>у</w:t>
      </w:r>
      <w:r w:rsidRPr="0072622D">
        <w:rPr>
          <w:lang w:val="uk-UA"/>
        </w:rPr>
        <w:t xml:space="preserve"> на доходи фізичних осіб</w:t>
      </w:r>
      <w:r>
        <w:rPr>
          <w:lang w:val="uk-UA"/>
        </w:rPr>
        <w:t xml:space="preserve"> складає 85,8%</w:t>
      </w:r>
      <w:r w:rsidR="00E94F60">
        <w:rPr>
          <w:lang w:val="uk-UA"/>
        </w:rPr>
        <w:t xml:space="preserve"> від плану</w:t>
      </w:r>
      <w:r>
        <w:rPr>
          <w:lang w:val="uk-UA"/>
        </w:rPr>
        <w:t xml:space="preserve">; </w:t>
      </w:r>
      <w:r w:rsidRPr="0072622D">
        <w:rPr>
          <w:lang w:val="uk-UA"/>
        </w:rPr>
        <w:t xml:space="preserve">єдиний внесок на загальнообов'язкове державне соціальне страхування </w:t>
      </w:r>
      <w:r>
        <w:rPr>
          <w:lang w:val="uk-UA"/>
        </w:rPr>
        <w:t>виконаний на 82,8% за рік. Це пов’язано із зменшенням фактичного фонду оплати праці на 2018 рік відповідно до плану.</w:t>
      </w:r>
    </w:p>
    <w:p w:rsidR="00D63440" w:rsidRDefault="00D63440" w:rsidP="005A5EDA">
      <w:pPr>
        <w:spacing w:line="240" w:lineRule="atLeast"/>
        <w:ind w:firstLine="709"/>
        <w:jc w:val="both"/>
        <w:rPr>
          <w:lang w:val="uk-UA"/>
        </w:rPr>
      </w:pPr>
    </w:p>
    <w:p w:rsidR="00D63440" w:rsidRDefault="00D63440" w:rsidP="005A5EDA">
      <w:pPr>
        <w:spacing w:line="240" w:lineRule="atLeast"/>
        <w:ind w:firstLine="709"/>
        <w:jc w:val="both"/>
        <w:rPr>
          <w:lang w:val="uk-UA"/>
        </w:rPr>
      </w:pPr>
    </w:p>
    <w:p w:rsidR="005A5EDA" w:rsidRPr="00626DBE" w:rsidRDefault="005A5EDA" w:rsidP="005A5EDA">
      <w:pPr>
        <w:spacing w:line="240" w:lineRule="atLeast"/>
        <w:ind w:firstLine="709"/>
        <w:jc w:val="both"/>
        <w:rPr>
          <w:lang w:val="uk-UA"/>
        </w:rPr>
      </w:pPr>
      <w:r w:rsidRPr="00626DBE">
        <w:rPr>
          <w:lang w:val="uk-UA"/>
        </w:rPr>
        <w:t xml:space="preserve">КП «МПРС» </w:t>
      </w:r>
      <w:r w:rsidR="00F52617">
        <w:rPr>
          <w:lang w:val="uk-UA"/>
        </w:rPr>
        <w:t xml:space="preserve">станом на 31.12.2018 року </w:t>
      </w:r>
      <w:r w:rsidRPr="00626DBE">
        <w:rPr>
          <w:lang w:val="uk-UA"/>
        </w:rPr>
        <w:t>не має заборгованості перед бюджетами усіх рівнів, своєчасно сплачувало податки та інші обов’язкові платежі.</w:t>
      </w:r>
    </w:p>
    <w:p w:rsidR="00F4092A" w:rsidRDefault="00F4092A" w:rsidP="00AD3C16">
      <w:pPr>
        <w:pStyle w:val="10"/>
        <w:ind w:left="0" w:firstLine="708"/>
        <w:jc w:val="both"/>
        <w:rPr>
          <w:color w:val="000000"/>
          <w:lang w:val="uk-UA"/>
        </w:rPr>
      </w:pPr>
    </w:p>
    <w:p w:rsidR="00DA0627" w:rsidRDefault="00DA0627" w:rsidP="00AD3C16">
      <w:pPr>
        <w:pStyle w:val="10"/>
        <w:ind w:left="0" w:firstLine="708"/>
        <w:jc w:val="both"/>
        <w:rPr>
          <w:color w:val="000000"/>
          <w:lang w:val="uk-UA"/>
        </w:rPr>
      </w:pPr>
    </w:p>
    <w:p w:rsidR="00D63440" w:rsidRDefault="00D63440" w:rsidP="00AD3C16">
      <w:pPr>
        <w:pStyle w:val="10"/>
        <w:ind w:left="0" w:firstLine="708"/>
        <w:jc w:val="both"/>
        <w:rPr>
          <w:color w:val="000000"/>
          <w:lang w:val="uk-UA"/>
        </w:rPr>
      </w:pPr>
    </w:p>
    <w:p w:rsidR="00DA0627" w:rsidRDefault="00DA0627" w:rsidP="00AD3C16">
      <w:pPr>
        <w:pStyle w:val="10"/>
        <w:ind w:left="0" w:firstLine="708"/>
        <w:jc w:val="both"/>
        <w:rPr>
          <w:b/>
          <w:color w:val="000000"/>
          <w:lang w:val="uk-UA"/>
        </w:rPr>
      </w:pPr>
      <w:r w:rsidRPr="00DA0627">
        <w:rPr>
          <w:b/>
          <w:color w:val="000000"/>
          <w:lang w:val="uk-UA"/>
        </w:rPr>
        <w:lastRenderedPageBreak/>
        <w:t>Стан дебіторської та кредиторської заборгованості</w:t>
      </w:r>
    </w:p>
    <w:p w:rsidR="00DA0627" w:rsidRPr="00916ACE" w:rsidRDefault="00916ACE" w:rsidP="00916ACE">
      <w:pPr>
        <w:pStyle w:val="10"/>
        <w:ind w:left="7080" w:firstLine="708"/>
        <w:jc w:val="both"/>
        <w:rPr>
          <w:color w:val="000000"/>
          <w:lang w:val="uk-UA"/>
        </w:rPr>
      </w:pPr>
      <w:r w:rsidRPr="00916ACE">
        <w:rPr>
          <w:color w:val="000000"/>
          <w:lang w:val="uk-UA"/>
        </w:rPr>
        <w:t>Таблиця 8</w:t>
      </w:r>
    </w:p>
    <w:tbl>
      <w:tblPr>
        <w:tblW w:w="8976" w:type="dxa"/>
        <w:tblLook w:val="04A0" w:firstRow="1" w:lastRow="0" w:firstColumn="1" w:lastColumn="0" w:noHBand="0" w:noVBand="1"/>
      </w:tblPr>
      <w:tblGrid>
        <w:gridCol w:w="576"/>
        <w:gridCol w:w="3100"/>
        <w:gridCol w:w="1540"/>
        <w:gridCol w:w="1620"/>
        <w:gridCol w:w="2140"/>
      </w:tblGrid>
      <w:tr w:rsidR="00DA0627" w:rsidRPr="00DA0627" w:rsidTr="00C53A1F">
        <w:trPr>
          <w:trHeight w:val="76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rPr>
                <w:lang w:val="uk-UA"/>
              </w:rPr>
            </w:pPr>
            <w:r w:rsidRPr="00DA0627">
              <w:rPr>
                <w:lang w:val="uk-UA"/>
              </w:rPr>
              <w:t> 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rPr>
                <w:lang w:val="uk-UA"/>
              </w:rPr>
            </w:pPr>
            <w:r w:rsidRPr="00DA0627">
              <w:rPr>
                <w:lang w:val="uk-UA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станом на 01.01.2018, тис.</w:t>
            </w:r>
            <w:r>
              <w:rPr>
                <w:lang w:val="uk-UA"/>
              </w:rPr>
              <w:t xml:space="preserve"> </w:t>
            </w:r>
            <w:r w:rsidRPr="00DA0627">
              <w:rPr>
                <w:lang w:val="uk-UA"/>
              </w:rPr>
              <w:t>грн.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станом на 31.12.2018, тис.</w:t>
            </w:r>
            <w:r>
              <w:rPr>
                <w:lang w:val="uk-UA"/>
              </w:rPr>
              <w:t xml:space="preserve"> </w:t>
            </w:r>
            <w:r w:rsidRPr="00DA0627">
              <w:rPr>
                <w:lang w:val="uk-UA"/>
              </w:rPr>
              <w:t>грн.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Відхилення,                  тис.</w:t>
            </w:r>
            <w:r>
              <w:rPr>
                <w:lang w:val="uk-UA"/>
              </w:rPr>
              <w:t xml:space="preserve"> </w:t>
            </w:r>
            <w:r w:rsidRPr="00DA0627">
              <w:rPr>
                <w:lang w:val="uk-UA"/>
              </w:rPr>
              <w:t>грн.</w:t>
            </w:r>
          </w:p>
        </w:tc>
      </w:tr>
      <w:tr w:rsidR="00DA0627" w:rsidRPr="00DA0627" w:rsidTr="00C53A1F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rPr>
                <w:lang w:val="uk-UA"/>
              </w:rPr>
            </w:pPr>
            <w:r w:rsidRPr="00DA0627">
              <w:rPr>
                <w:lang w:val="uk-UA"/>
              </w:rPr>
              <w:t>Дебіторська заборгованість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4 957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773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9B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DA0627" w:rsidRPr="00DA0627">
              <w:rPr>
                <w:lang w:val="uk-UA"/>
              </w:rPr>
              <w:t>4 184</w:t>
            </w:r>
          </w:p>
        </w:tc>
      </w:tr>
      <w:tr w:rsidR="00DA0627" w:rsidRPr="00DA0627" w:rsidTr="00C53A1F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rPr>
                <w:lang w:val="uk-UA"/>
              </w:rPr>
            </w:pPr>
            <w:r w:rsidRPr="00DA0627">
              <w:rPr>
                <w:lang w:val="uk-UA"/>
              </w:rPr>
              <w:t>у т</w:t>
            </w:r>
            <w:r w:rsidR="00C53A1F">
              <w:rPr>
                <w:lang w:val="uk-UA"/>
              </w:rPr>
              <w:t xml:space="preserve">ому </w:t>
            </w:r>
            <w:r w:rsidRPr="00DA0627">
              <w:rPr>
                <w:lang w:val="uk-UA"/>
              </w:rPr>
              <w:t>ч</w:t>
            </w:r>
            <w:r w:rsidR="00C53A1F">
              <w:rPr>
                <w:lang w:val="uk-UA"/>
              </w:rPr>
              <w:t>ислі</w:t>
            </w:r>
            <w:r w:rsidRPr="00DA0627">
              <w:rPr>
                <w:lang w:val="uk-UA"/>
              </w:rPr>
              <w:t xml:space="preserve"> прострочена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-</w:t>
            </w:r>
            <w:r w:rsidRPr="00DA0627">
              <w:rPr>
                <w:lang w:val="uk-U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A0627" w:rsidRPr="00DA0627" w:rsidTr="00C53A1F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rPr>
                <w:lang w:val="uk-UA"/>
              </w:rPr>
            </w:pPr>
            <w:r w:rsidRPr="00DA0627">
              <w:rPr>
                <w:lang w:val="uk-UA"/>
              </w:rPr>
              <w:t xml:space="preserve"> з бюджетом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A0627" w:rsidRPr="00DA0627" w:rsidTr="00C53A1F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0627" w:rsidRPr="00DA0627" w:rsidRDefault="00DA0627">
            <w:pPr>
              <w:rPr>
                <w:lang w:val="uk-UA"/>
              </w:rPr>
            </w:pPr>
            <w:r w:rsidRPr="00DA0627">
              <w:rPr>
                <w:lang w:val="uk-UA"/>
              </w:rPr>
              <w:t>Кредиторська заборгованість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5 248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14 441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9 193</w:t>
            </w:r>
          </w:p>
        </w:tc>
      </w:tr>
      <w:tr w:rsidR="00DA0627" w:rsidRPr="00DA0627" w:rsidTr="00C53A1F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 w:rsidRPr="00DA0627">
              <w:rPr>
                <w:lang w:val="uk-UA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rPr>
                <w:lang w:val="uk-UA"/>
              </w:rPr>
            </w:pPr>
            <w:r w:rsidRPr="00DA0627">
              <w:rPr>
                <w:lang w:val="uk-UA"/>
              </w:rPr>
              <w:t>у т</w:t>
            </w:r>
            <w:r w:rsidR="00C53A1F">
              <w:rPr>
                <w:lang w:val="uk-UA"/>
              </w:rPr>
              <w:t xml:space="preserve">ому </w:t>
            </w:r>
            <w:r w:rsidRPr="00DA0627">
              <w:rPr>
                <w:lang w:val="uk-UA"/>
              </w:rPr>
              <w:t>ч</w:t>
            </w:r>
            <w:r w:rsidR="00C53A1F">
              <w:rPr>
                <w:lang w:val="uk-UA"/>
              </w:rPr>
              <w:t>ислі</w:t>
            </w:r>
            <w:r w:rsidR="00027FA9">
              <w:rPr>
                <w:lang w:val="uk-UA"/>
              </w:rPr>
              <w:t xml:space="preserve"> </w:t>
            </w:r>
            <w:r w:rsidRPr="00DA0627">
              <w:rPr>
                <w:lang w:val="uk-UA"/>
              </w:rPr>
              <w:t>прострочена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-</w:t>
            </w:r>
            <w:r w:rsidRPr="00DA0627">
              <w:rPr>
                <w:lang w:val="uk-U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627" w:rsidRPr="00DA0627" w:rsidRDefault="00DA0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DA0627" w:rsidRDefault="00DA0627" w:rsidP="00381C61">
      <w:pPr>
        <w:pStyle w:val="10"/>
        <w:ind w:left="0" w:firstLine="708"/>
        <w:jc w:val="both"/>
        <w:rPr>
          <w:b/>
          <w:color w:val="000000"/>
          <w:lang w:val="uk-UA"/>
        </w:rPr>
      </w:pPr>
    </w:p>
    <w:p w:rsidR="009B2B9F" w:rsidRPr="009B2B9F" w:rsidRDefault="00027FA9" w:rsidP="00381C61">
      <w:pPr>
        <w:pStyle w:val="10"/>
        <w:ind w:left="0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Станом </w:t>
      </w:r>
      <w:r>
        <w:rPr>
          <w:color w:val="000000"/>
          <w:lang w:val="uk-UA"/>
        </w:rPr>
        <w:t xml:space="preserve">на кінець року </w:t>
      </w:r>
      <w:r w:rsidRPr="009B2B9F">
        <w:rPr>
          <w:color w:val="000000"/>
          <w:lang w:val="uk-UA"/>
        </w:rPr>
        <w:t xml:space="preserve">підприємство </w:t>
      </w:r>
      <w:r w:rsidR="009B2B9F" w:rsidRPr="009B2B9F">
        <w:rPr>
          <w:color w:val="000000"/>
          <w:lang w:val="uk-UA"/>
        </w:rPr>
        <w:t xml:space="preserve">не має простроченої </w:t>
      </w:r>
      <w:r w:rsidR="009B2B9F">
        <w:rPr>
          <w:color w:val="000000"/>
          <w:lang w:val="uk-UA"/>
        </w:rPr>
        <w:t>дебіторської та кредиторської заборгованості.</w:t>
      </w:r>
    </w:p>
    <w:p w:rsidR="00D836C7" w:rsidRPr="00056B12" w:rsidRDefault="00027FA9" w:rsidP="00D836C7">
      <w:pPr>
        <w:spacing w:line="240" w:lineRule="atLeast"/>
        <w:ind w:firstLine="709"/>
        <w:jc w:val="both"/>
        <w:rPr>
          <w:lang w:val="uk-UA"/>
        </w:rPr>
      </w:pPr>
      <w:r>
        <w:rPr>
          <w:lang w:val="uk-UA"/>
        </w:rPr>
        <w:t xml:space="preserve">Збільшення </w:t>
      </w:r>
      <w:r w:rsidRPr="00056B12">
        <w:rPr>
          <w:lang w:val="uk-UA"/>
        </w:rPr>
        <w:t>поточн</w:t>
      </w:r>
      <w:r>
        <w:rPr>
          <w:lang w:val="uk-UA"/>
        </w:rPr>
        <w:t xml:space="preserve">ої кредиторської </w:t>
      </w:r>
      <w:r w:rsidR="00D836C7" w:rsidRPr="00056B12">
        <w:rPr>
          <w:lang w:val="uk-UA"/>
        </w:rPr>
        <w:t>заборгован</w:t>
      </w:r>
      <w:r>
        <w:rPr>
          <w:lang w:val="uk-UA"/>
        </w:rPr>
        <w:t>ості</w:t>
      </w:r>
      <w:r w:rsidR="00D836C7" w:rsidRPr="00056B12">
        <w:rPr>
          <w:lang w:val="uk-UA"/>
        </w:rPr>
        <w:t xml:space="preserve"> </w:t>
      </w:r>
      <w:r>
        <w:rPr>
          <w:lang w:val="uk-UA"/>
        </w:rPr>
        <w:t xml:space="preserve">пов’язано із </w:t>
      </w:r>
      <w:r w:rsidR="00D836C7" w:rsidRPr="00056B12">
        <w:rPr>
          <w:lang w:val="uk-UA"/>
        </w:rPr>
        <w:t>з</w:t>
      </w:r>
      <w:r>
        <w:rPr>
          <w:lang w:val="uk-UA"/>
        </w:rPr>
        <w:t xml:space="preserve">більшенням на кінець </w:t>
      </w:r>
      <w:r>
        <w:rPr>
          <w:lang w:val="uk-UA"/>
        </w:rPr>
        <w:t xml:space="preserve">2018 </w:t>
      </w:r>
      <w:r>
        <w:rPr>
          <w:lang w:val="uk-UA"/>
        </w:rPr>
        <w:t xml:space="preserve">року </w:t>
      </w:r>
      <w:r w:rsidRPr="00056B12">
        <w:rPr>
          <w:lang w:val="uk-UA"/>
        </w:rPr>
        <w:t>заборгован</w:t>
      </w:r>
      <w:r>
        <w:rPr>
          <w:lang w:val="uk-UA"/>
        </w:rPr>
        <w:t>ості</w:t>
      </w:r>
      <w:r>
        <w:rPr>
          <w:lang w:val="uk-UA"/>
        </w:rPr>
        <w:t xml:space="preserve"> з</w:t>
      </w:r>
      <w:r w:rsidR="00D836C7" w:rsidRPr="00056B12">
        <w:rPr>
          <w:lang w:val="uk-UA"/>
        </w:rPr>
        <w:t xml:space="preserve"> </w:t>
      </w:r>
      <w:r w:rsidR="00D836C7" w:rsidRPr="00EE7DCE">
        <w:rPr>
          <w:lang w:val="uk-UA"/>
        </w:rPr>
        <w:t>оплати праці</w:t>
      </w:r>
      <w:r w:rsidR="00C3119A">
        <w:rPr>
          <w:lang w:val="uk-UA"/>
        </w:rPr>
        <w:t>,</w:t>
      </w:r>
      <w:r w:rsidR="00D836C7" w:rsidRPr="00EE7DCE">
        <w:rPr>
          <w:lang w:val="uk-UA"/>
        </w:rPr>
        <w:t xml:space="preserve"> </w:t>
      </w:r>
      <w:r>
        <w:rPr>
          <w:lang w:val="uk-UA"/>
        </w:rPr>
        <w:t xml:space="preserve">що </w:t>
      </w:r>
      <w:r w:rsidR="00D836C7" w:rsidRPr="00EE7DCE">
        <w:rPr>
          <w:lang w:val="uk-UA"/>
        </w:rPr>
        <w:t xml:space="preserve">складає 3890 тис. грн.; зі страхування - 988 тис. грн; з бюджетом – </w:t>
      </w:r>
      <w:r w:rsidR="00D836C7" w:rsidRPr="00027FA9">
        <w:rPr>
          <w:lang w:val="uk-UA"/>
        </w:rPr>
        <w:t>2</w:t>
      </w:r>
      <w:r w:rsidR="00D836C7" w:rsidRPr="00EE7DCE">
        <w:rPr>
          <w:lang w:val="uk-UA"/>
        </w:rPr>
        <w:t>976 тис. грн.</w:t>
      </w:r>
    </w:p>
    <w:p w:rsidR="009B2B9F" w:rsidRDefault="009B2B9F" w:rsidP="00381C61">
      <w:pPr>
        <w:pStyle w:val="10"/>
        <w:ind w:left="0" w:firstLine="708"/>
        <w:jc w:val="both"/>
        <w:rPr>
          <w:b/>
          <w:color w:val="000000"/>
          <w:lang w:val="uk-UA"/>
        </w:rPr>
      </w:pPr>
    </w:p>
    <w:p w:rsidR="00381C61" w:rsidRPr="00381C61" w:rsidRDefault="00381C61" w:rsidP="00381C61">
      <w:pPr>
        <w:pStyle w:val="10"/>
        <w:ind w:left="0" w:firstLine="708"/>
        <w:jc w:val="both"/>
        <w:rPr>
          <w:b/>
          <w:color w:val="000000"/>
          <w:lang w:val="uk-UA"/>
        </w:rPr>
      </w:pPr>
      <w:r w:rsidRPr="00381C61">
        <w:rPr>
          <w:b/>
          <w:color w:val="000000"/>
          <w:lang w:val="uk-UA"/>
        </w:rPr>
        <w:t>Виконання плану капітал</w:t>
      </w:r>
      <w:r>
        <w:rPr>
          <w:b/>
          <w:color w:val="000000"/>
          <w:lang w:val="uk-UA"/>
        </w:rPr>
        <w:t>ь</w:t>
      </w:r>
      <w:r w:rsidRPr="00381C61">
        <w:rPr>
          <w:b/>
          <w:color w:val="000000"/>
          <w:lang w:val="uk-UA"/>
        </w:rPr>
        <w:t>них інвестицій</w:t>
      </w:r>
    </w:p>
    <w:p w:rsidR="00381C61" w:rsidRDefault="00381C61" w:rsidP="00381C61">
      <w:pPr>
        <w:pStyle w:val="10"/>
        <w:ind w:left="0" w:firstLine="708"/>
        <w:jc w:val="both"/>
        <w:rPr>
          <w:color w:val="000000"/>
          <w:lang w:val="uk-UA"/>
        </w:rPr>
      </w:pPr>
    </w:p>
    <w:p w:rsidR="00EE2FB1" w:rsidRDefault="00381C61" w:rsidP="00381C61">
      <w:pPr>
        <w:pStyle w:val="10"/>
        <w:ind w:left="0" w:firstLine="708"/>
        <w:jc w:val="both"/>
        <w:rPr>
          <w:lang w:val="uk-UA"/>
        </w:rPr>
      </w:pPr>
      <w:r w:rsidRPr="000F5CFA">
        <w:rPr>
          <w:color w:val="000000"/>
          <w:lang w:val="uk-UA"/>
        </w:rPr>
        <w:t>Капітальн</w:t>
      </w:r>
      <w:r>
        <w:rPr>
          <w:color w:val="000000"/>
          <w:lang w:val="uk-UA"/>
        </w:rPr>
        <w:t>і</w:t>
      </w:r>
      <w:r w:rsidRPr="000F5CFA">
        <w:rPr>
          <w:color w:val="000000"/>
          <w:lang w:val="uk-UA"/>
        </w:rPr>
        <w:t xml:space="preserve"> </w:t>
      </w:r>
      <w:r w:rsidR="00D00178" w:rsidRPr="000F5CFA">
        <w:rPr>
          <w:color w:val="000000"/>
          <w:lang w:val="uk-UA"/>
        </w:rPr>
        <w:t>інвестиці</w:t>
      </w:r>
      <w:r>
        <w:rPr>
          <w:color w:val="000000"/>
          <w:lang w:val="uk-UA"/>
        </w:rPr>
        <w:t>ї</w:t>
      </w:r>
      <w:r w:rsidR="00D00178" w:rsidRPr="000F5CFA">
        <w:rPr>
          <w:color w:val="000000"/>
          <w:lang w:val="uk-UA"/>
        </w:rPr>
        <w:t xml:space="preserve"> </w:t>
      </w:r>
      <w:r w:rsidR="004238C9">
        <w:rPr>
          <w:color w:val="000000"/>
          <w:lang w:val="uk-UA"/>
        </w:rPr>
        <w:t>н</w:t>
      </w:r>
      <w:r w:rsidR="00D00178" w:rsidRPr="000F5CFA">
        <w:rPr>
          <w:color w:val="000000"/>
          <w:lang w:val="uk-UA"/>
        </w:rPr>
        <w:t>а</w:t>
      </w:r>
      <w:r w:rsidR="00772FC3" w:rsidRPr="000F5CFA">
        <w:rPr>
          <w:color w:val="000000"/>
          <w:lang w:val="uk-UA"/>
        </w:rPr>
        <w:t xml:space="preserve"> </w:t>
      </w:r>
      <w:r w:rsidR="00AD3C16" w:rsidRPr="000F5CFA">
        <w:rPr>
          <w:color w:val="000000"/>
          <w:lang w:val="uk-UA"/>
        </w:rPr>
        <w:t>201</w:t>
      </w:r>
      <w:r w:rsidR="00593690" w:rsidRPr="000F5CFA">
        <w:rPr>
          <w:color w:val="000000"/>
          <w:lang w:val="uk-UA"/>
        </w:rPr>
        <w:t>8</w:t>
      </w:r>
      <w:r w:rsidR="00AD3C16" w:rsidRPr="000F5CFA">
        <w:rPr>
          <w:color w:val="000000"/>
          <w:lang w:val="uk-UA"/>
        </w:rPr>
        <w:t xml:space="preserve"> р</w:t>
      </w:r>
      <w:r w:rsidR="00B96FD8">
        <w:rPr>
          <w:color w:val="000000"/>
          <w:lang w:val="uk-UA"/>
        </w:rPr>
        <w:t>і</w:t>
      </w:r>
      <w:r w:rsidR="00AD3C16" w:rsidRPr="000F5CFA">
        <w:rPr>
          <w:color w:val="000000"/>
          <w:lang w:val="uk-UA"/>
        </w:rPr>
        <w:t xml:space="preserve">к </w:t>
      </w:r>
      <w:r w:rsidR="00D00178" w:rsidRPr="000F5CFA">
        <w:rPr>
          <w:color w:val="000000"/>
          <w:lang w:val="uk-UA"/>
        </w:rPr>
        <w:t xml:space="preserve">було заплановано у розмірі </w:t>
      </w:r>
      <w:r w:rsidR="00593690" w:rsidRPr="000F5CFA">
        <w:rPr>
          <w:color w:val="000000"/>
          <w:lang w:val="uk-UA"/>
        </w:rPr>
        <w:t xml:space="preserve"> </w:t>
      </w:r>
      <w:r w:rsidR="00B96FD8">
        <w:rPr>
          <w:color w:val="000000"/>
          <w:lang w:val="uk-UA"/>
        </w:rPr>
        <w:t xml:space="preserve">52 211 </w:t>
      </w:r>
      <w:r w:rsidR="00D00178" w:rsidRPr="000F5CFA">
        <w:rPr>
          <w:color w:val="000000"/>
          <w:lang w:val="uk-UA"/>
        </w:rPr>
        <w:t>тис</w:t>
      </w:r>
      <w:r w:rsidR="00DE0765" w:rsidRPr="000F5CFA">
        <w:rPr>
          <w:color w:val="000000"/>
          <w:lang w:val="uk-UA"/>
        </w:rPr>
        <w:t>.</w:t>
      </w:r>
      <w:r w:rsidR="00E07B8C" w:rsidRPr="00B96FD8">
        <w:rPr>
          <w:color w:val="000000"/>
          <w:lang w:val="uk-UA"/>
        </w:rPr>
        <w:t xml:space="preserve"> </w:t>
      </w:r>
      <w:r w:rsidR="00D00178" w:rsidRPr="000F5CFA">
        <w:rPr>
          <w:color w:val="000000"/>
          <w:lang w:val="uk-UA"/>
        </w:rPr>
        <w:t>грн.</w:t>
      </w:r>
      <w:r w:rsidR="0048715A">
        <w:rPr>
          <w:color w:val="000000"/>
          <w:lang w:val="uk-UA"/>
        </w:rPr>
        <w:t xml:space="preserve"> </w:t>
      </w:r>
      <w:r w:rsidR="00D00178" w:rsidRPr="000F5CFA">
        <w:rPr>
          <w:color w:val="000000"/>
          <w:lang w:val="uk-UA"/>
        </w:rPr>
        <w:t xml:space="preserve"> </w:t>
      </w:r>
      <w:r w:rsidR="00952CBD" w:rsidRPr="000F5CFA">
        <w:rPr>
          <w:lang w:val="uk-UA"/>
        </w:rPr>
        <w:t xml:space="preserve">Виконання </w:t>
      </w:r>
      <w:r w:rsidR="000F5CFA" w:rsidRPr="000F5CFA">
        <w:rPr>
          <w:lang w:val="uk-UA"/>
        </w:rPr>
        <w:t xml:space="preserve">плану капітальних інвестицій у 2018 року складає </w:t>
      </w:r>
      <w:r w:rsidR="008523DE">
        <w:rPr>
          <w:lang w:val="uk-UA"/>
        </w:rPr>
        <w:t xml:space="preserve">23 155 тис. грн. або </w:t>
      </w:r>
      <w:r w:rsidR="00B96FD8">
        <w:rPr>
          <w:lang w:val="uk-UA"/>
        </w:rPr>
        <w:t>44</w:t>
      </w:r>
      <w:r w:rsidR="000F5CFA" w:rsidRPr="000F5CFA">
        <w:rPr>
          <w:lang w:val="uk-UA"/>
        </w:rPr>
        <w:t>,</w:t>
      </w:r>
      <w:r w:rsidR="00B96FD8">
        <w:rPr>
          <w:lang w:val="uk-UA"/>
        </w:rPr>
        <w:t>3</w:t>
      </w:r>
      <w:r w:rsidR="000F5CFA" w:rsidRPr="000F5CFA">
        <w:rPr>
          <w:lang w:val="uk-UA"/>
        </w:rPr>
        <w:t xml:space="preserve">%. </w:t>
      </w:r>
    </w:p>
    <w:p w:rsidR="00512A29" w:rsidRDefault="00512A29" w:rsidP="00381C61">
      <w:pPr>
        <w:pStyle w:val="10"/>
        <w:ind w:left="0" w:firstLine="708"/>
        <w:jc w:val="both"/>
        <w:rPr>
          <w:color w:val="000000"/>
          <w:lang w:val="uk-UA"/>
        </w:rPr>
      </w:pPr>
    </w:p>
    <w:p w:rsidR="00916ACE" w:rsidRDefault="00916ACE" w:rsidP="00916ACE">
      <w:pPr>
        <w:pStyle w:val="10"/>
        <w:ind w:left="7788" w:firstLine="708"/>
        <w:jc w:val="both"/>
        <w:rPr>
          <w:color w:val="000000"/>
          <w:lang w:val="uk-UA"/>
        </w:rPr>
      </w:pPr>
      <w:bookmarkStart w:id="3" w:name="_GoBack"/>
      <w:bookmarkEnd w:id="3"/>
      <w:r>
        <w:rPr>
          <w:lang w:val="uk-UA"/>
        </w:rPr>
        <w:t>Таблиця 9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1040"/>
        <w:gridCol w:w="1512"/>
        <w:gridCol w:w="1276"/>
        <w:gridCol w:w="1517"/>
        <w:gridCol w:w="1318"/>
      </w:tblGrid>
      <w:tr w:rsidR="00EE2FB1" w:rsidRPr="00EE2FB1" w:rsidTr="00EE2FB1">
        <w:trPr>
          <w:trHeight w:val="30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B1" w:rsidRPr="002B7AD9" w:rsidRDefault="00EE2FB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B1" w:rsidRPr="002B7AD9" w:rsidRDefault="00EE2FB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 xml:space="preserve">Код рядка 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FB1" w:rsidRPr="002B7AD9" w:rsidRDefault="00EE2FB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Звітний період 2018 р</w:t>
            </w:r>
            <w:r w:rsidR="00B96FD8">
              <w:rPr>
                <w:sz w:val="22"/>
                <w:szCs w:val="22"/>
                <w:lang w:val="uk-UA"/>
              </w:rPr>
              <w:t>ік</w:t>
            </w:r>
          </w:p>
        </w:tc>
      </w:tr>
      <w:tr w:rsidR="00EE2FB1" w:rsidRPr="00EE2FB1" w:rsidTr="00E66B74">
        <w:trPr>
          <w:trHeight w:val="8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B1" w:rsidRPr="002B7AD9" w:rsidRDefault="00EE2FB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B1" w:rsidRPr="002B7AD9" w:rsidRDefault="00EE2FB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B1" w:rsidRPr="002B7AD9" w:rsidRDefault="00EE2FB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 xml:space="preserve">план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B1" w:rsidRPr="002B7AD9" w:rsidRDefault="00EE2FB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B1" w:rsidRPr="002B7AD9" w:rsidRDefault="00EE2FB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відхилення,  +/–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B1" w:rsidRPr="002B7AD9" w:rsidRDefault="00EE2FB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виконання, %</w:t>
            </w:r>
          </w:p>
        </w:tc>
      </w:tr>
      <w:tr w:rsidR="00BC5C11" w:rsidRPr="00EE2FB1" w:rsidTr="00E66B74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2B7AD9" w:rsidRDefault="00BC5C11" w:rsidP="00BC5C11">
            <w:pPr>
              <w:rPr>
                <w:b/>
                <w:bCs/>
                <w:sz w:val="22"/>
                <w:szCs w:val="22"/>
                <w:lang w:val="uk-UA"/>
              </w:rPr>
            </w:pPr>
            <w:r w:rsidRPr="002B7AD9">
              <w:rPr>
                <w:b/>
                <w:bCs/>
                <w:sz w:val="22"/>
                <w:szCs w:val="22"/>
                <w:lang w:val="uk-UA"/>
              </w:rPr>
              <w:t>Капітальні інвестиції, усього,</w:t>
            </w:r>
            <w:r w:rsidRPr="002B7AD9">
              <w:rPr>
                <w:b/>
                <w:bCs/>
                <w:sz w:val="22"/>
                <w:szCs w:val="22"/>
                <w:lang w:val="uk-UA"/>
              </w:rPr>
              <w:br/>
              <w:t>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11" w:rsidRPr="002B7AD9" w:rsidRDefault="00BC5C11" w:rsidP="00BC5C1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4000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11" w:rsidRPr="00BC5C11" w:rsidRDefault="00BC5C11" w:rsidP="00BC5C11">
            <w:pPr>
              <w:jc w:val="right"/>
              <w:rPr>
                <w:b/>
                <w:bCs/>
                <w:sz w:val="22"/>
                <w:szCs w:val="22"/>
              </w:rPr>
            </w:pPr>
            <w:r w:rsidRPr="00BC5C11">
              <w:rPr>
                <w:b/>
                <w:bCs/>
                <w:sz w:val="22"/>
                <w:szCs w:val="22"/>
              </w:rPr>
              <w:t>52211,0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11" w:rsidRPr="00BC5C11" w:rsidRDefault="00BC5C11" w:rsidP="00BC5C11">
            <w:pPr>
              <w:jc w:val="right"/>
              <w:rPr>
                <w:b/>
                <w:bCs/>
                <w:sz w:val="22"/>
                <w:szCs w:val="22"/>
              </w:rPr>
            </w:pPr>
            <w:r w:rsidRPr="00BC5C11">
              <w:rPr>
                <w:b/>
                <w:bCs/>
                <w:sz w:val="22"/>
                <w:szCs w:val="22"/>
              </w:rPr>
              <w:t>23155,0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BC5C11" w:rsidRDefault="00BC5C11" w:rsidP="00BC5C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BC5C11">
              <w:rPr>
                <w:b/>
                <w:bCs/>
                <w:sz w:val="22"/>
                <w:szCs w:val="22"/>
              </w:rPr>
              <w:t>29056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BC5C11" w:rsidRDefault="00BC5C11" w:rsidP="00BC5C11">
            <w:pPr>
              <w:jc w:val="right"/>
              <w:rPr>
                <w:b/>
                <w:bCs/>
                <w:sz w:val="22"/>
                <w:szCs w:val="22"/>
              </w:rPr>
            </w:pPr>
            <w:r w:rsidRPr="00BC5C11">
              <w:rPr>
                <w:b/>
                <w:bCs/>
                <w:sz w:val="22"/>
                <w:szCs w:val="22"/>
              </w:rPr>
              <w:t>44,3</w:t>
            </w:r>
          </w:p>
        </w:tc>
      </w:tr>
      <w:tr w:rsidR="00BC5C11" w:rsidRPr="00EE2FB1" w:rsidTr="00E07B8C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2B7AD9" w:rsidRDefault="00BC5C11" w:rsidP="00BC5C11">
            <w:pPr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капітальне будівництво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11" w:rsidRPr="002B7AD9" w:rsidRDefault="00BC5C11" w:rsidP="00BC5C1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4010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 w:rsidRPr="00BC5C11">
              <w:rPr>
                <w:sz w:val="22"/>
                <w:szCs w:val="22"/>
              </w:rPr>
              <w:t>18521,0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 w:rsidRPr="00BC5C11">
              <w:rPr>
                <w:sz w:val="22"/>
                <w:szCs w:val="22"/>
              </w:rPr>
              <w:t>932,0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BC5C11">
              <w:rPr>
                <w:sz w:val="22"/>
                <w:szCs w:val="22"/>
              </w:rPr>
              <w:t>17589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B70BAE" w:rsidRDefault="00BC5C11" w:rsidP="00BC5C11">
            <w:pPr>
              <w:jc w:val="right"/>
              <w:rPr>
                <w:bCs/>
                <w:sz w:val="22"/>
                <w:szCs w:val="22"/>
              </w:rPr>
            </w:pPr>
            <w:r w:rsidRPr="00B70BAE">
              <w:rPr>
                <w:bCs/>
                <w:sz w:val="22"/>
                <w:szCs w:val="22"/>
              </w:rPr>
              <w:t>5,0</w:t>
            </w:r>
          </w:p>
        </w:tc>
      </w:tr>
      <w:tr w:rsidR="00BC5C11" w:rsidRPr="00EE2FB1" w:rsidTr="00272509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2B7AD9" w:rsidRDefault="00BC5C11" w:rsidP="00BC5C11">
            <w:pPr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придбання (виготовлення) основних засобів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11" w:rsidRPr="002B7AD9" w:rsidRDefault="00BC5C11" w:rsidP="00BC5C1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4020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 w:rsidRPr="00BC5C11">
              <w:rPr>
                <w:sz w:val="22"/>
                <w:szCs w:val="22"/>
              </w:rPr>
              <w:t>26918,0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 w:rsidRPr="00BC5C11">
              <w:rPr>
                <w:sz w:val="22"/>
                <w:szCs w:val="22"/>
              </w:rPr>
              <w:t>19570,0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BC5C11">
              <w:rPr>
                <w:sz w:val="22"/>
                <w:szCs w:val="22"/>
              </w:rPr>
              <w:t>7348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B70BAE" w:rsidRDefault="00BC5C11" w:rsidP="00BC5C11">
            <w:pPr>
              <w:jc w:val="right"/>
              <w:rPr>
                <w:bCs/>
                <w:sz w:val="22"/>
                <w:szCs w:val="22"/>
              </w:rPr>
            </w:pPr>
            <w:r w:rsidRPr="00B70BAE">
              <w:rPr>
                <w:bCs/>
                <w:sz w:val="22"/>
                <w:szCs w:val="22"/>
              </w:rPr>
              <w:t>72,7</w:t>
            </w:r>
          </w:p>
        </w:tc>
      </w:tr>
      <w:tr w:rsidR="00BC5C11" w:rsidRPr="00EE2FB1" w:rsidTr="0027250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2B7AD9" w:rsidRDefault="00BC5C11" w:rsidP="00BC5C11">
            <w:pPr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11" w:rsidRPr="002B7AD9" w:rsidRDefault="00BC5C11" w:rsidP="00BC5C1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4030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 w:rsidRPr="00BC5C11">
              <w:rPr>
                <w:sz w:val="22"/>
                <w:szCs w:val="22"/>
              </w:rPr>
              <w:t>1597,0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 w:rsidRPr="00BC5C11">
              <w:rPr>
                <w:sz w:val="22"/>
                <w:szCs w:val="22"/>
              </w:rPr>
              <w:t>1077,0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BC5C11">
              <w:rPr>
                <w:sz w:val="22"/>
                <w:szCs w:val="22"/>
              </w:rPr>
              <w:t>520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B70BAE" w:rsidRDefault="00BC5C11" w:rsidP="00BC5C11">
            <w:pPr>
              <w:jc w:val="right"/>
              <w:rPr>
                <w:bCs/>
                <w:sz w:val="22"/>
                <w:szCs w:val="22"/>
              </w:rPr>
            </w:pPr>
            <w:r w:rsidRPr="00B70BAE">
              <w:rPr>
                <w:bCs/>
                <w:sz w:val="22"/>
                <w:szCs w:val="22"/>
              </w:rPr>
              <w:t>67,4</w:t>
            </w:r>
          </w:p>
        </w:tc>
      </w:tr>
      <w:tr w:rsidR="00BC5C11" w:rsidRPr="00EE2FB1" w:rsidTr="00272509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2B7AD9" w:rsidRDefault="00BC5C11" w:rsidP="00BC5C11">
            <w:pPr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придбання (створення) нематеріальних активів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11" w:rsidRPr="002B7AD9" w:rsidRDefault="00BC5C11" w:rsidP="00BC5C1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4040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 w:rsidRPr="00BC5C11"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 w:rsidRPr="00BC5C11">
              <w:rPr>
                <w:sz w:val="22"/>
                <w:szCs w:val="22"/>
              </w:rPr>
              <w:t>379,0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BC5C11">
              <w:rPr>
                <w:sz w:val="22"/>
                <w:szCs w:val="22"/>
              </w:rPr>
              <w:t>246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B70BAE" w:rsidRDefault="00BC5C11" w:rsidP="00BC5C11">
            <w:pPr>
              <w:jc w:val="right"/>
              <w:rPr>
                <w:bCs/>
                <w:sz w:val="22"/>
                <w:szCs w:val="22"/>
              </w:rPr>
            </w:pPr>
            <w:r w:rsidRPr="00B70BAE">
              <w:rPr>
                <w:bCs/>
                <w:sz w:val="22"/>
                <w:szCs w:val="22"/>
              </w:rPr>
              <w:t>60,6</w:t>
            </w:r>
          </w:p>
        </w:tc>
      </w:tr>
      <w:tr w:rsidR="00BC5C11" w:rsidRPr="00EE2FB1" w:rsidTr="0027250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2B7AD9" w:rsidRDefault="00BC5C11" w:rsidP="00BC5C11">
            <w:pPr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11" w:rsidRPr="002B7AD9" w:rsidRDefault="00BC5C11" w:rsidP="00BC5C11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4050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 w:rsidRPr="00BC5C11">
              <w:rPr>
                <w:sz w:val="22"/>
                <w:szCs w:val="22"/>
              </w:rPr>
              <w:t>4550,0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11" w:rsidRPr="00BC5C11" w:rsidRDefault="00BC5C11" w:rsidP="00BC5C11">
            <w:pPr>
              <w:jc w:val="right"/>
              <w:rPr>
                <w:sz w:val="22"/>
                <w:szCs w:val="22"/>
              </w:rPr>
            </w:pPr>
            <w:r w:rsidRPr="00BC5C11">
              <w:rPr>
                <w:sz w:val="22"/>
                <w:szCs w:val="22"/>
              </w:rPr>
              <w:t>1197,0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BC5C11" w:rsidRDefault="005179A0" w:rsidP="00BC5C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BC5C11" w:rsidRPr="00BC5C11">
              <w:rPr>
                <w:sz w:val="22"/>
                <w:szCs w:val="22"/>
              </w:rPr>
              <w:t>3 353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11" w:rsidRPr="00B70BAE" w:rsidRDefault="00BC5C11" w:rsidP="00BC5C11">
            <w:pPr>
              <w:jc w:val="right"/>
              <w:rPr>
                <w:bCs/>
                <w:sz w:val="22"/>
                <w:szCs w:val="22"/>
              </w:rPr>
            </w:pPr>
            <w:r w:rsidRPr="00B70BAE">
              <w:rPr>
                <w:bCs/>
                <w:sz w:val="22"/>
                <w:szCs w:val="22"/>
              </w:rPr>
              <w:t>26,3</w:t>
            </w:r>
          </w:p>
        </w:tc>
      </w:tr>
    </w:tbl>
    <w:p w:rsidR="00EE2FB1" w:rsidRDefault="00EE2FB1" w:rsidP="00381C61">
      <w:pPr>
        <w:pStyle w:val="10"/>
        <w:ind w:left="0" w:firstLine="708"/>
        <w:jc w:val="both"/>
        <w:rPr>
          <w:color w:val="000000"/>
          <w:lang w:val="uk-UA"/>
        </w:rPr>
      </w:pPr>
    </w:p>
    <w:p w:rsidR="0052547A" w:rsidRDefault="00D23AE3" w:rsidP="005527AD">
      <w:pPr>
        <w:ind w:firstLine="360"/>
        <w:jc w:val="both"/>
        <w:rPr>
          <w:lang w:val="uk-UA"/>
        </w:rPr>
      </w:pPr>
      <w:r w:rsidRPr="00D23AE3">
        <w:rPr>
          <w:color w:val="000000" w:themeColor="text1"/>
          <w:lang w:val="uk-UA"/>
        </w:rPr>
        <w:t xml:space="preserve">З метою </w:t>
      </w:r>
      <w:r w:rsidRPr="00D23AE3">
        <w:rPr>
          <w:rFonts w:eastAsia="Arial Unicode MS" w:cs="Lohit Hindi"/>
          <w:color w:val="000000" w:themeColor="text1"/>
          <w:kern w:val="1"/>
          <w:lang w:val="uk-UA" w:bidi="hi-IN"/>
        </w:rPr>
        <w:t>реалізації стратегічної цілі «</w:t>
      </w:r>
      <w:r w:rsidRPr="00D23AE3">
        <w:rPr>
          <w:rFonts w:eastAsia="Arial Unicode MS" w:cs="Lohit Hindi"/>
          <w:color w:val="000000" w:themeColor="text1"/>
          <w:kern w:val="1"/>
          <w:lang w:val="uk-UA" w:eastAsia="zh-CN" w:bidi="hi-IN"/>
        </w:rPr>
        <w:t>Розвиток</w:t>
      </w:r>
      <w:r w:rsidRPr="00D23AE3">
        <w:rPr>
          <w:rFonts w:eastAsia="Arial Unicode MS" w:cs="Lohit Hindi"/>
          <w:b/>
          <w:color w:val="000000" w:themeColor="text1"/>
          <w:kern w:val="1"/>
          <w:lang w:val="uk-UA" w:eastAsia="zh-CN" w:bidi="hi-IN"/>
        </w:rPr>
        <w:t xml:space="preserve"> </w:t>
      </w:r>
      <w:r w:rsidRPr="00D23AE3">
        <w:rPr>
          <w:rFonts w:eastAsia="Arial Unicode MS" w:cs="Lohit Hindi"/>
          <w:color w:val="000000" w:themeColor="text1"/>
          <w:kern w:val="1"/>
          <w:lang w:val="uk-UA" w:bidi="hi-IN"/>
        </w:rPr>
        <w:t xml:space="preserve">берегової інфраструктури елементів сегменту ГМЗЛБ системи SAR» </w:t>
      </w:r>
      <w:r w:rsidRPr="00D23AE3">
        <w:rPr>
          <w:lang w:val="uk-UA"/>
        </w:rPr>
        <w:t xml:space="preserve">КП «МПРС» </w:t>
      </w:r>
      <w:r w:rsidRPr="00D23AE3">
        <w:rPr>
          <w:rFonts w:eastAsia="Arial Unicode MS" w:cs="Lohit Hindi"/>
          <w:color w:val="000000" w:themeColor="text1"/>
          <w:kern w:val="1"/>
          <w:lang w:val="uk-UA" w:bidi="hi-IN"/>
        </w:rPr>
        <w:t>у</w:t>
      </w:r>
      <w:r w:rsidRPr="00D23AE3">
        <w:rPr>
          <w:color w:val="000000"/>
          <w:lang w:val="uk-UA"/>
        </w:rPr>
        <w:t xml:space="preserve"> рядку 4010 «Капітальне будівництво»</w:t>
      </w:r>
      <w:r w:rsidRPr="00D23AE3">
        <w:rPr>
          <w:rFonts w:eastAsia="Arial Unicode MS" w:cs="Lohit Hindi"/>
          <w:b/>
          <w:color w:val="000000" w:themeColor="text1"/>
          <w:kern w:val="1"/>
          <w:lang w:val="uk-UA" w:bidi="hi-IN"/>
        </w:rPr>
        <w:t xml:space="preserve"> </w:t>
      </w:r>
      <w:r w:rsidR="005527AD" w:rsidRPr="00D23AE3">
        <w:rPr>
          <w:lang w:val="uk-UA"/>
        </w:rPr>
        <w:t xml:space="preserve">фінансового плану на </w:t>
      </w:r>
      <w:r w:rsidR="005713DC" w:rsidRPr="00D23AE3">
        <w:rPr>
          <w:lang w:val="uk-UA"/>
        </w:rPr>
        <w:t>2018 р</w:t>
      </w:r>
      <w:r w:rsidR="005B299A" w:rsidRPr="00D23AE3">
        <w:rPr>
          <w:lang w:val="uk-UA"/>
        </w:rPr>
        <w:t>і</w:t>
      </w:r>
      <w:r w:rsidR="005713DC" w:rsidRPr="00D23AE3">
        <w:rPr>
          <w:lang w:val="uk-UA"/>
        </w:rPr>
        <w:t xml:space="preserve">к </w:t>
      </w:r>
      <w:r w:rsidR="005527AD" w:rsidRPr="00D23AE3">
        <w:rPr>
          <w:lang w:val="uk-UA"/>
        </w:rPr>
        <w:t xml:space="preserve">було заплановано </w:t>
      </w:r>
      <w:r w:rsidR="00CA7B0D">
        <w:rPr>
          <w:lang w:val="uk-UA"/>
        </w:rPr>
        <w:t>та отриман</w:t>
      </w:r>
      <w:r w:rsidR="0052547A">
        <w:rPr>
          <w:lang w:val="uk-UA"/>
        </w:rPr>
        <w:t xml:space="preserve">о </w:t>
      </w:r>
      <w:r w:rsidR="00CA7B0D">
        <w:rPr>
          <w:lang w:val="uk-UA"/>
        </w:rPr>
        <w:t>проектн</w:t>
      </w:r>
      <w:r w:rsidR="00875562">
        <w:rPr>
          <w:lang w:val="uk-UA"/>
        </w:rPr>
        <w:t>у</w:t>
      </w:r>
      <w:r w:rsidR="00CA7B0D">
        <w:rPr>
          <w:lang w:val="uk-UA"/>
        </w:rPr>
        <w:t xml:space="preserve"> документаці</w:t>
      </w:r>
      <w:r w:rsidR="00875562">
        <w:rPr>
          <w:lang w:val="uk-UA"/>
        </w:rPr>
        <w:t>ю</w:t>
      </w:r>
      <w:r w:rsidR="0052547A">
        <w:rPr>
          <w:lang w:val="uk-UA"/>
        </w:rPr>
        <w:t>:</w:t>
      </w:r>
    </w:p>
    <w:p w:rsidR="0052547A" w:rsidRDefault="0052547A" w:rsidP="005527AD">
      <w:pPr>
        <w:ind w:firstLine="360"/>
        <w:jc w:val="both"/>
        <w:rPr>
          <w:lang w:val="uk-UA"/>
        </w:rPr>
      </w:pPr>
      <w:r>
        <w:rPr>
          <w:lang w:val="uk-UA"/>
        </w:rPr>
        <w:t>-</w:t>
      </w:r>
      <w:r w:rsidR="00CA7B0D">
        <w:rPr>
          <w:lang w:val="uk-UA"/>
        </w:rPr>
        <w:t xml:space="preserve"> </w:t>
      </w:r>
      <w:r>
        <w:rPr>
          <w:lang w:val="uk-UA"/>
        </w:rPr>
        <w:tab/>
      </w:r>
      <w:r w:rsidR="00CA7B0D">
        <w:rPr>
          <w:lang w:val="uk-UA"/>
        </w:rPr>
        <w:t xml:space="preserve">на будівництво Базової станції «Лазурне» </w:t>
      </w:r>
      <w:r>
        <w:rPr>
          <w:lang w:val="uk-UA"/>
        </w:rPr>
        <w:t xml:space="preserve">берегової радіостанції </w:t>
      </w:r>
      <w:r w:rsidR="00DA171B" w:rsidRPr="00D23AE3">
        <w:rPr>
          <w:lang w:val="uk-UA"/>
        </w:rPr>
        <w:t xml:space="preserve">морського району </w:t>
      </w:r>
      <w:r>
        <w:rPr>
          <w:lang w:val="uk-UA"/>
        </w:rPr>
        <w:t>А1 ГМЗЛБ м. Одеса</w:t>
      </w:r>
      <w:r w:rsidR="00725FD2">
        <w:rPr>
          <w:lang w:val="uk-UA"/>
        </w:rPr>
        <w:t xml:space="preserve"> у сумі 361 тис. грн.</w:t>
      </w:r>
      <w:r>
        <w:rPr>
          <w:lang w:val="uk-UA"/>
        </w:rPr>
        <w:t>;</w:t>
      </w:r>
    </w:p>
    <w:p w:rsidR="00725FD2" w:rsidRDefault="0052547A" w:rsidP="0052547A">
      <w:pPr>
        <w:ind w:left="360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 xml:space="preserve">на будівництво </w:t>
      </w:r>
      <w:r w:rsidR="00CA7B0D">
        <w:rPr>
          <w:lang w:val="uk-UA"/>
        </w:rPr>
        <w:t xml:space="preserve">Базової станції «Миколаївка» берегової радіостанції </w:t>
      </w:r>
      <w:r w:rsidR="00DA171B" w:rsidRPr="00D23AE3">
        <w:rPr>
          <w:lang w:val="uk-UA"/>
        </w:rPr>
        <w:t xml:space="preserve">морського району </w:t>
      </w:r>
      <w:r w:rsidR="00CA7B0D">
        <w:rPr>
          <w:lang w:val="uk-UA"/>
        </w:rPr>
        <w:t>А1 ГМЗЛБ м. Одеса</w:t>
      </w:r>
      <w:r w:rsidR="00725FD2">
        <w:rPr>
          <w:lang w:val="uk-UA"/>
        </w:rPr>
        <w:t xml:space="preserve"> у сумі 325 тис. грн.;</w:t>
      </w:r>
    </w:p>
    <w:p w:rsidR="00CA7B0D" w:rsidRDefault="0052547A" w:rsidP="0052547A">
      <w:pPr>
        <w:ind w:left="360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 xml:space="preserve">на будівництво </w:t>
      </w:r>
      <w:r w:rsidR="00CA7B0D">
        <w:rPr>
          <w:lang w:val="uk-UA"/>
        </w:rPr>
        <w:t xml:space="preserve">Базової станції «Бердянськ» берегової радіостанції </w:t>
      </w:r>
      <w:r w:rsidR="00DA171B" w:rsidRPr="00D23AE3">
        <w:rPr>
          <w:lang w:val="uk-UA"/>
        </w:rPr>
        <w:t xml:space="preserve">морського району </w:t>
      </w:r>
      <w:r w:rsidR="00CA7B0D">
        <w:rPr>
          <w:lang w:val="uk-UA"/>
        </w:rPr>
        <w:t>А1 ГМЗЛБ м. Бердянськ</w:t>
      </w:r>
      <w:r w:rsidR="00725FD2">
        <w:rPr>
          <w:lang w:val="uk-UA"/>
        </w:rPr>
        <w:t xml:space="preserve"> у сумі 197 тис. грн.</w:t>
      </w:r>
    </w:p>
    <w:p w:rsidR="005A7BFD" w:rsidRDefault="005A7BFD" w:rsidP="005A7BFD">
      <w:pPr>
        <w:suppressAutoHyphens/>
        <w:ind w:firstLine="360"/>
        <w:jc w:val="both"/>
        <w:rPr>
          <w:lang w:val="uk-UA"/>
        </w:rPr>
      </w:pPr>
    </w:p>
    <w:p w:rsidR="00002905" w:rsidRPr="00345706" w:rsidRDefault="00002905" w:rsidP="00002905">
      <w:pPr>
        <w:ind w:firstLine="360"/>
        <w:jc w:val="both"/>
        <w:rPr>
          <w:lang w:val="uk-UA"/>
        </w:rPr>
      </w:pPr>
      <w:r w:rsidRPr="00345706">
        <w:rPr>
          <w:lang w:val="uk-UA"/>
        </w:rPr>
        <w:t xml:space="preserve">У фінансовому плані на 2018 рік було заплановано початок будівництва та часткове закриття робіт  згідно проектної документації на </w:t>
      </w:r>
      <w:r w:rsidR="00CF741F" w:rsidRPr="00345706">
        <w:rPr>
          <w:lang w:val="uk-UA"/>
        </w:rPr>
        <w:t xml:space="preserve">Нове </w:t>
      </w:r>
      <w:r w:rsidRPr="00345706">
        <w:rPr>
          <w:lang w:val="uk-UA"/>
        </w:rPr>
        <w:t xml:space="preserve">будівництво базової станції «Лазурне» берегової радіостанції морського району А1 ГМЗЛБ у сумі 6380 тис. грн. </w:t>
      </w:r>
    </w:p>
    <w:p w:rsidR="00830949" w:rsidRPr="00830949" w:rsidRDefault="00830949" w:rsidP="00830949">
      <w:pPr>
        <w:ind w:firstLine="360"/>
        <w:jc w:val="both"/>
        <w:rPr>
          <w:lang w:val="uk-UA"/>
        </w:rPr>
      </w:pPr>
      <w:r w:rsidRPr="00830949">
        <w:rPr>
          <w:lang w:val="uk-UA"/>
        </w:rPr>
        <w:t>Процедура торгів на закупівлю робіт з будівництва Базової станції «Лазурне» Берегової радіостанції морського району А1 ГМЗЛБ відповідно до вимог Закону України «Про публічні закупівлі» проводилась КП «МПРС» три рази як міжнародні торги на веб-порталі Уповноваженого органу («</w:t>
      </w:r>
      <w:proofErr w:type="spellStart"/>
      <w:r w:rsidRPr="00830949">
        <w:rPr>
          <w:lang w:val="uk-UA"/>
        </w:rPr>
        <w:t>Прозорро</w:t>
      </w:r>
      <w:proofErr w:type="spellEnd"/>
      <w:r w:rsidRPr="00830949">
        <w:rPr>
          <w:lang w:val="uk-UA"/>
        </w:rPr>
        <w:t>»).</w:t>
      </w:r>
    </w:p>
    <w:p w:rsidR="00830949" w:rsidRPr="00830949" w:rsidRDefault="00830949" w:rsidP="00830949">
      <w:pPr>
        <w:ind w:firstLine="360"/>
        <w:jc w:val="both"/>
        <w:rPr>
          <w:rFonts w:eastAsia="Calibri"/>
          <w:lang w:val="uk-UA"/>
        </w:rPr>
      </w:pPr>
      <w:r w:rsidRPr="00830949">
        <w:rPr>
          <w:lang w:val="uk-UA"/>
        </w:rPr>
        <w:t xml:space="preserve">Перша та друга процедури закупівлі були відмінені відповідно до вимог законодавства у зв’язку із невідповідністю наданих учасниками тендерних пропозицій вимогам тендерної документації, про що свідчить лист Південного офісу </w:t>
      </w:r>
      <w:proofErr w:type="spellStart"/>
      <w:r w:rsidRPr="00830949">
        <w:rPr>
          <w:lang w:val="uk-UA"/>
        </w:rPr>
        <w:t>Держаудитслужби</w:t>
      </w:r>
      <w:proofErr w:type="spellEnd"/>
      <w:r w:rsidRPr="00830949">
        <w:rPr>
          <w:lang w:val="uk-UA"/>
        </w:rPr>
        <w:t xml:space="preserve"> від 19.09.2018 року. Втретє, результати т</w:t>
      </w:r>
      <w:r w:rsidRPr="00830949">
        <w:rPr>
          <w:iCs/>
          <w:color w:val="000000"/>
          <w:lang w:val="uk-UA"/>
        </w:rPr>
        <w:t xml:space="preserve">оргів, що відбулися, були відмінені </w:t>
      </w:r>
      <w:r w:rsidRPr="00830949">
        <w:rPr>
          <w:lang w:val="uk-UA"/>
        </w:rPr>
        <w:t xml:space="preserve">за результатами проведеної </w:t>
      </w:r>
      <w:r w:rsidRPr="00830949">
        <w:rPr>
          <w:rFonts w:eastAsia="Calibri"/>
          <w:lang w:val="uk-UA"/>
        </w:rPr>
        <w:t xml:space="preserve">в </w:t>
      </w:r>
      <w:proofErr w:type="spellStart"/>
      <w:r w:rsidRPr="00830949">
        <w:rPr>
          <w:rFonts w:eastAsia="Calibri"/>
          <w:lang w:val="uk-UA"/>
        </w:rPr>
        <w:t>Мінінфраструктури</w:t>
      </w:r>
      <w:proofErr w:type="spellEnd"/>
      <w:r w:rsidRPr="00830949">
        <w:rPr>
          <w:rFonts w:eastAsia="Calibri"/>
          <w:lang w:val="uk-UA"/>
        </w:rPr>
        <w:t xml:space="preserve"> 14.11.2018 наради щодо передачі будівництва базових станцій ГМЗЛБ КП «МПРС» до ДП «</w:t>
      </w:r>
      <w:proofErr w:type="spellStart"/>
      <w:r w:rsidRPr="00830949">
        <w:rPr>
          <w:rFonts w:eastAsia="Calibri"/>
          <w:lang w:val="uk-UA"/>
        </w:rPr>
        <w:t>Украерорух</w:t>
      </w:r>
      <w:proofErr w:type="spellEnd"/>
      <w:r w:rsidRPr="00830949">
        <w:rPr>
          <w:rFonts w:eastAsia="Calibri"/>
          <w:lang w:val="uk-UA"/>
        </w:rPr>
        <w:t xml:space="preserve">». </w:t>
      </w:r>
    </w:p>
    <w:p w:rsidR="00646323" w:rsidRDefault="00646323" w:rsidP="00646323">
      <w:pPr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У </w:t>
      </w:r>
      <w:r w:rsidR="00E0554E">
        <w:rPr>
          <w:color w:val="000000"/>
          <w:lang w:val="uk-UA"/>
        </w:rPr>
        <w:t xml:space="preserve">2018 році </w:t>
      </w:r>
      <w:r>
        <w:rPr>
          <w:lang w:val="uk-UA"/>
        </w:rPr>
        <w:t xml:space="preserve">було заплановано отримання проектно-кошторисної документації на будівництво </w:t>
      </w:r>
      <w:r w:rsidR="005A6F87">
        <w:rPr>
          <w:lang w:val="uk-UA"/>
        </w:rPr>
        <w:t xml:space="preserve">Базової </w:t>
      </w:r>
      <w:r>
        <w:rPr>
          <w:lang w:val="uk-UA"/>
        </w:rPr>
        <w:t>станції «Зміїний»</w:t>
      </w:r>
      <w:r w:rsidR="005A6F87">
        <w:rPr>
          <w:lang w:val="uk-UA"/>
        </w:rPr>
        <w:t xml:space="preserve"> у сумі 442 тис. грн.</w:t>
      </w:r>
      <w:r>
        <w:rPr>
          <w:lang w:val="uk-UA"/>
        </w:rPr>
        <w:t xml:space="preserve">, </w:t>
      </w:r>
      <w:r w:rsidR="005A6F87">
        <w:rPr>
          <w:lang w:val="uk-UA"/>
        </w:rPr>
        <w:t xml:space="preserve">на будівництво </w:t>
      </w:r>
      <w:r>
        <w:rPr>
          <w:lang w:val="uk-UA"/>
        </w:rPr>
        <w:t xml:space="preserve">приймального радіоцентру Берегової радіостанції морського району А 2 ГМЗЛБ м. Одеса </w:t>
      </w:r>
      <w:r w:rsidR="005A6F87">
        <w:rPr>
          <w:lang w:val="uk-UA"/>
        </w:rPr>
        <w:t xml:space="preserve">у сумі 200 тис. грн. </w:t>
      </w:r>
      <w:r>
        <w:rPr>
          <w:lang w:val="uk-UA"/>
        </w:rPr>
        <w:t xml:space="preserve">але у зв’язку із по-перше, довготривалою процедурою відведення земельних ділянок, а по-друге, невідповідної роботи виконавця проектної документації, підприємство перенесло розробку та отримання проектної документації щодо будівництва </w:t>
      </w:r>
      <w:r w:rsidR="005A6F87">
        <w:rPr>
          <w:lang w:val="uk-UA"/>
        </w:rPr>
        <w:t xml:space="preserve">Базової </w:t>
      </w:r>
      <w:r>
        <w:rPr>
          <w:lang w:val="uk-UA"/>
        </w:rPr>
        <w:t xml:space="preserve">станції «Зміїний» на 2019 рік. </w:t>
      </w:r>
      <w:bookmarkStart w:id="4" w:name="_Hlk792927"/>
      <w:r>
        <w:rPr>
          <w:lang w:val="uk-UA"/>
        </w:rPr>
        <w:t>Право користування земельної ділянкою на о. Зміїний для розміщення та експлуатацію технічних засобів зв’язку підприємство отримал</w:t>
      </w:r>
      <w:r w:rsidR="009D6EC9">
        <w:rPr>
          <w:lang w:val="uk-UA"/>
        </w:rPr>
        <w:t>о</w:t>
      </w:r>
      <w:r>
        <w:rPr>
          <w:lang w:val="uk-UA"/>
        </w:rPr>
        <w:t xml:space="preserve"> 19.10.2018 року. </w:t>
      </w:r>
      <w:bookmarkEnd w:id="4"/>
      <w:r>
        <w:rPr>
          <w:lang w:val="uk-UA"/>
        </w:rPr>
        <w:t xml:space="preserve">У 2018 році </w:t>
      </w:r>
      <w:r w:rsidRPr="00D64E31">
        <w:rPr>
          <w:lang w:val="uk-UA"/>
        </w:rPr>
        <w:t>прове</w:t>
      </w:r>
      <w:r w:rsidR="009D6EC9">
        <w:rPr>
          <w:lang w:val="uk-UA"/>
        </w:rPr>
        <w:t>дена</w:t>
      </w:r>
      <w:r w:rsidRPr="00D64E31">
        <w:rPr>
          <w:lang w:val="uk-UA"/>
        </w:rPr>
        <w:t xml:space="preserve"> геотехнічн</w:t>
      </w:r>
      <w:r w:rsidR="009D6EC9">
        <w:rPr>
          <w:lang w:val="uk-UA"/>
        </w:rPr>
        <w:t>а</w:t>
      </w:r>
      <w:r w:rsidRPr="00D64E31">
        <w:rPr>
          <w:lang w:val="uk-UA"/>
        </w:rPr>
        <w:t xml:space="preserve"> підоснов</w:t>
      </w:r>
      <w:r w:rsidR="009D6EC9">
        <w:rPr>
          <w:lang w:val="uk-UA"/>
        </w:rPr>
        <w:t>а</w:t>
      </w:r>
      <w:r w:rsidRPr="00D64E31">
        <w:rPr>
          <w:lang w:val="uk-UA"/>
        </w:rPr>
        <w:t xml:space="preserve"> ґрунту </w:t>
      </w:r>
      <w:r>
        <w:rPr>
          <w:lang w:val="uk-UA"/>
        </w:rPr>
        <w:t xml:space="preserve">на о. Зміїний у сумі </w:t>
      </w:r>
      <w:r w:rsidRPr="00D64E31">
        <w:rPr>
          <w:lang w:val="uk-UA"/>
        </w:rPr>
        <w:t>28 тис. грн.</w:t>
      </w:r>
    </w:p>
    <w:p w:rsidR="00646323" w:rsidRDefault="00646323" w:rsidP="00646323">
      <w:pPr>
        <w:ind w:firstLine="360"/>
        <w:jc w:val="both"/>
        <w:rPr>
          <w:lang w:val="uk-UA"/>
        </w:rPr>
      </w:pPr>
      <w:r>
        <w:rPr>
          <w:lang w:val="uk-UA"/>
        </w:rPr>
        <w:t xml:space="preserve">  Розробка проект</w:t>
      </w:r>
      <w:r w:rsidR="005A6F87">
        <w:rPr>
          <w:lang w:val="uk-UA"/>
        </w:rPr>
        <w:t xml:space="preserve">у будівництва </w:t>
      </w:r>
      <w:r>
        <w:rPr>
          <w:lang w:val="uk-UA"/>
        </w:rPr>
        <w:t>приймального радіоцентр</w:t>
      </w:r>
      <w:r w:rsidR="005A6F87">
        <w:rPr>
          <w:lang w:val="uk-UA"/>
        </w:rPr>
        <w:t>у</w:t>
      </w:r>
      <w:r>
        <w:rPr>
          <w:lang w:val="uk-UA"/>
        </w:rPr>
        <w:t xml:space="preserve"> району А 2 ГМЗЛБ м. Одеса буде проведено після виділення та отримання в користування земельн</w:t>
      </w:r>
      <w:r w:rsidR="005A6F87">
        <w:rPr>
          <w:lang w:val="uk-UA"/>
        </w:rPr>
        <w:t>ої</w:t>
      </w:r>
      <w:r>
        <w:rPr>
          <w:lang w:val="uk-UA"/>
        </w:rPr>
        <w:t xml:space="preserve"> ділянк</w:t>
      </w:r>
      <w:r w:rsidR="005A6F87">
        <w:rPr>
          <w:lang w:val="uk-UA"/>
        </w:rPr>
        <w:t>и</w:t>
      </w:r>
      <w:r>
        <w:rPr>
          <w:lang w:val="uk-UA"/>
        </w:rPr>
        <w:t xml:space="preserve"> та реалізації будівництва базових станцій морського району А1 ГМЗЛБ м. Одеса. </w:t>
      </w:r>
    </w:p>
    <w:p w:rsidR="00687023" w:rsidRDefault="00687023" w:rsidP="00D64E31">
      <w:pPr>
        <w:ind w:firstLine="360"/>
        <w:jc w:val="both"/>
        <w:rPr>
          <w:lang w:val="uk-UA"/>
        </w:rPr>
      </w:pPr>
    </w:p>
    <w:p w:rsidR="00E66361" w:rsidRPr="005527AD" w:rsidRDefault="00E66361" w:rsidP="00E66361">
      <w:pPr>
        <w:ind w:firstLine="360"/>
        <w:jc w:val="both"/>
        <w:rPr>
          <w:lang w:val="uk-UA"/>
        </w:rPr>
      </w:pPr>
      <w:r w:rsidRPr="005527AD">
        <w:rPr>
          <w:lang w:val="uk-UA"/>
        </w:rPr>
        <w:t>22.08.2017 року на баланс КП «МПРС» бу</w:t>
      </w:r>
      <w:r>
        <w:rPr>
          <w:lang w:val="uk-UA"/>
        </w:rPr>
        <w:t>в</w:t>
      </w:r>
      <w:r w:rsidRPr="005527AD">
        <w:rPr>
          <w:lang w:val="uk-UA"/>
        </w:rPr>
        <w:t xml:space="preserve"> отриман</w:t>
      </w:r>
      <w:r>
        <w:rPr>
          <w:lang w:val="uk-UA"/>
        </w:rPr>
        <w:t>ий</w:t>
      </w:r>
      <w:r w:rsidRPr="005527AD">
        <w:rPr>
          <w:lang w:val="uk-UA"/>
        </w:rPr>
        <w:t xml:space="preserve"> будинок морського рятувального </w:t>
      </w:r>
      <w:proofErr w:type="spellStart"/>
      <w:r w:rsidRPr="005527AD">
        <w:rPr>
          <w:lang w:val="uk-UA"/>
        </w:rPr>
        <w:t>підцентру</w:t>
      </w:r>
      <w:proofErr w:type="spellEnd"/>
      <w:r w:rsidRPr="005527AD">
        <w:rPr>
          <w:lang w:val="uk-UA"/>
        </w:rPr>
        <w:t xml:space="preserve"> у м. Бердянськ. У зв’язку із затягуванням Запорізької облдержадміністрацією  надання дозволу на переоформлення земельної ділянки</w:t>
      </w:r>
      <w:r>
        <w:rPr>
          <w:lang w:val="uk-UA"/>
        </w:rPr>
        <w:t>,</w:t>
      </w:r>
      <w:r w:rsidRPr="005527AD">
        <w:rPr>
          <w:lang w:val="uk-UA"/>
        </w:rPr>
        <w:t xml:space="preserve"> підприємство не може отримати технічні умови для підключення зовнішніх електричних мереж та мереж водопостачання до будівлі МРПЦ м. Бердянськ</w:t>
      </w:r>
      <w:r>
        <w:rPr>
          <w:lang w:val="uk-UA"/>
        </w:rPr>
        <w:t>, що було заплановано на 4 квартал 2018 року у сумі 200 тис. грн.</w:t>
      </w:r>
      <w:r w:rsidRPr="005527AD">
        <w:rPr>
          <w:lang w:val="uk-UA"/>
        </w:rPr>
        <w:t xml:space="preserve"> </w:t>
      </w:r>
      <w:r>
        <w:rPr>
          <w:lang w:val="uk-UA"/>
        </w:rPr>
        <w:t>Витрати перенесені на 2019 рік.</w:t>
      </w:r>
    </w:p>
    <w:p w:rsidR="00E66361" w:rsidRDefault="00E66361" w:rsidP="00D64E31">
      <w:pPr>
        <w:ind w:firstLine="360"/>
        <w:jc w:val="both"/>
        <w:rPr>
          <w:lang w:val="uk-UA"/>
        </w:rPr>
      </w:pPr>
    </w:p>
    <w:p w:rsidR="00580509" w:rsidRDefault="00580509" w:rsidP="00D64E31">
      <w:pPr>
        <w:ind w:firstLine="360"/>
        <w:jc w:val="both"/>
        <w:rPr>
          <w:lang w:val="uk-UA"/>
        </w:rPr>
      </w:pPr>
      <w:r w:rsidRPr="00C019E7">
        <w:rPr>
          <w:color w:val="000000"/>
          <w:lang w:val="uk-UA"/>
        </w:rPr>
        <w:t>Реєстраційні збори, державне мито та аналогічні платежі, що здійснюються у зв'язку з отриманням прав</w:t>
      </w:r>
      <w:r w:rsidR="00875562">
        <w:rPr>
          <w:color w:val="000000"/>
          <w:lang w:val="uk-UA"/>
        </w:rPr>
        <w:t>о</w:t>
      </w:r>
      <w:r w:rsidRPr="00C019E7">
        <w:rPr>
          <w:color w:val="000000"/>
          <w:lang w:val="uk-UA"/>
        </w:rPr>
        <w:t xml:space="preserve"> власності на об'єкти основних засобів, отриманих від ДП "МАРС" у сумі 296 тис. грн. були заплановані на 2</w:t>
      </w:r>
      <w:r w:rsidR="00EA14B2" w:rsidRPr="00C019E7">
        <w:rPr>
          <w:color w:val="000000"/>
          <w:lang w:val="uk-UA"/>
        </w:rPr>
        <w:t xml:space="preserve"> та 3</w:t>
      </w:r>
      <w:r w:rsidRPr="00C019E7">
        <w:rPr>
          <w:color w:val="000000"/>
          <w:lang w:val="uk-UA"/>
        </w:rPr>
        <w:t xml:space="preserve"> квартал 2018 року. У зв’язку із </w:t>
      </w:r>
      <w:r w:rsidR="00C019E7" w:rsidRPr="00C019E7">
        <w:rPr>
          <w:lang w:val="uk-UA"/>
        </w:rPr>
        <w:t xml:space="preserve">не визначенням терміну проведення сесії Чорноморської ради для отримання дозволу на розробку проекту земельної ділянки за </w:t>
      </w:r>
      <w:proofErr w:type="spellStart"/>
      <w:r w:rsidR="00C019E7" w:rsidRPr="00C019E7">
        <w:rPr>
          <w:lang w:val="uk-UA"/>
        </w:rPr>
        <w:t>адресою</w:t>
      </w:r>
      <w:proofErr w:type="spellEnd"/>
      <w:r w:rsidR="00C019E7" w:rsidRPr="00C019E7">
        <w:rPr>
          <w:lang w:val="uk-UA"/>
        </w:rPr>
        <w:t xml:space="preserve">: м. </w:t>
      </w:r>
      <w:proofErr w:type="spellStart"/>
      <w:r w:rsidR="00C019E7" w:rsidRPr="00C019E7">
        <w:rPr>
          <w:lang w:val="uk-UA"/>
        </w:rPr>
        <w:t>Чорноморськ</w:t>
      </w:r>
      <w:proofErr w:type="spellEnd"/>
      <w:r w:rsidR="00C019E7" w:rsidRPr="00C019E7">
        <w:rPr>
          <w:lang w:val="uk-UA"/>
        </w:rPr>
        <w:t xml:space="preserve">, смт Олександрівка, Судноремонтна, 33 витрати щодо оформлення землевпорядної документації </w:t>
      </w:r>
      <w:r w:rsidR="00CF741F">
        <w:rPr>
          <w:lang w:val="uk-UA"/>
        </w:rPr>
        <w:t xml:space="preserve">та проведення геодезичної зйомки </w:t>
      </w:r>
      <w:r w:rsidR="00C019E7" w:rsidRPr="00C019E7">
        <w:rPr>
          <w:lang w:val="uk-UA"/>
        </w:rPr>
        <w:t xml:space="preserve">перенесені </w:t>
      </w:r>
      <w:r w:rsidR="00EA14B2">
        <w:rPr>
          <w:color w:val="000000"/>
          <w:lang w:val="uk-UA"/>
        </w:rPr>
        <w:t xml:space="preserve">до фінансового плану 2019 </w:t>
      </w:r>
      <w:r>
        <w:rPr>
          <w:color w:val="000000"/>
          <w:lang w:val="uk-UA"/>
        </w:rPr>
        <w:t>року</w:t>
      </w:r>
      <w:r w:rsidR="00EA14B2">
        <w:rPr>
          <w:color w:val="000000"/>
          <w:lang w:val="uk-UA"/>
        </w:rPr>
        <w:t>.</w:t>
      </w:r>
    </w:p>
    <w:p w:rsidR="00580509" w:rsidRDefault="00580509" w:rsidP="00D64E31">
      <w:pPr>
        <w:ind w:firstLine="360"/>
        <w:jc w:val="both"/>
        <w:rPr>
          <w:lang w:val="uk-UA"/>
        </w:rPr>
      </w:pPr>
    </w:p>
    <w:p w:rsidR="00601016" w:rsidRDefault="00A05DDC" w:rsidP="00601016">
      <w:pPr>
        <w:ind w:firstLine="360"/>
        <w:jc w:val="both"/>
        <w:rPr>
          <w:color w:val="000000"/>
          <w:lang w:val="uk-UA"/>
        </w:rPr>
      </w:pPr>
      <w:r w:rsidRPr="005527AD">
        <w:rPr>
          <w:color w:val="000000"/>
          <w:lang w:val="uk-UA"/>
        </w:rPr>
        <w:t xml:space="preserve">Виконання </w:t>
      </w:r>
      <w:r>
        <w:rPr>
          <w:color w:val="000000"/>
          <w:lang w:val="uk-UA"/>
        </w:rPr>
        <w:t>рядку 4020</w:t>
      </w:r>
      <w:r w:rsidRPr="005527A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«Придбання основних засобів»</w:t>
      </w:r>
      <w:r w:rsidRPr="00A05DDC">
        <w:rPr>
          <w:color w:val="000000"/>
        </w:rPr>
        <w:t xml:space="preserve"> </w:t>
      </w:r>
      <w:r w:rsidRPr="005527AD">
        <w:rPr>
          <w:color w:val="000000"/>
          <w:lang w:val="uk-UA"/>
        </w:rPr>
        <w:t xml:space="preserve">капітальних інвестицій у </w:t>
      </w:r>
      <w:r w:rsidR="0086766E">
        <w:rPr>
          <w:color w:val="000000"/>
          <w:lang w:val="uk-UA"/>
        </w:rPr>
        <w:t>2018</w:t>
      </w:r>
      <w:r w:rsidRPr="005527AD">
        <w:rPr>
          <w:color w:val="000000"/>
          <w:lang w:val="uk-UA"/>
        </w:rPr>
        <w:t xml:space="preserve"> ро</w:t>
      </w:r>
      <w:r w:rsidR="0086766E">
        <w:rPr>
          <w:color w:val="000000"/>
          <w:lang w:val="uk-UA"/>
        </w:rPr>
        <w:t>ці</w:t>
      </w:r>
      <w:r w:rsidRPr="005527AD">
        <w:rPr>
          <w:color w:val="000000"/>
          <w:lang w:val="uk-UA"/>
        </w:rPr>
        <w:t xml:space="preserve"> </w:t>
      </w:r>
      <w:r w:rsidR="00E07E6E">
        <w:rPr>
          <w:color w:val="000000"/>
          <w:lang w:val="uk-UA"/>
        </w:rPr>
        <w:t xml:space="preserve">складає </w:t>
      </w:r>
      <w:r w:rsidR="00601016">
        <w:rPr>
          <w:color w:val="000000"/>
          <w:lang w:val="uk-UA"/>
        </w:rPr>
        <w:t>7</w:t>
      </w:r>
      <w:r w:rsidR="0086766E">
        <w:rPr>
          <w:color w:val="000000"/>
          <w:lang w:val="uk-UA"/>
        </w:rPr>
        <w:t>2</w:t>
      </w:r>
      <w:r w:rsidR="00601016">
        <w:rPr>
          <w:color w:val="000000"/>
          <w:lang w:val="uk-UA"/>
        </w:rPr>
        <w:t>,</w:t>
      </w:r>
      <w:r w:rsidR="0086766E">
        <w:rPr>
          <w:color w:val="000000"/>
          <w:lang w:val="uk-UA"/>
        </w:rPr>
        <w:t>7</w:t>
      </w:r>
      <w:r>
        <w:rPr>
          <w:color w:val="000000"/>
          <w:lang w:val="uk-UA"/>
        </w:rPr>
        <w:t>%</w:t>
      </w:r>
      <w:r w:rsidR="00CF741F">
        <w:rPr>
          <w:color w:val="000000"/>
          <w:lang w:val="uk-UA"/>
        </w:rPr>
        <w:t xml:space="preserve"> від плану</w:t>
      </w:r>
      <w:r w:rsidR="00601016">
        <w:rPr>
          <w:color w:val="000000"/>
          <w:lang w:val="uk-UA"/>
        </w:rPr>
        <w:t>.</w:t>
      </w:r>
    </w:p>
    <w:p w:rsidR="00B7756B" w:rsidRDefault="00B7756B" w:rsidP="000164AE">
      <w:pPr>
        <w:ind w:firstLine="360"/>
        <w:jc w:val="both"/>
        <w:rPr>
          <w:color w:val="000000"/>
          <w:lang w:val="uk-UA"/>
        </w:rPr>
      </w:pPr>
    </w:p>
    <w:p w:rsidR="00B7756B" w:rsidRPr="00B7756B" w:rsidRDefault="00B7756B" w:rsidP="00B7756B">
      <w:pPr>
        <w:ind w:firstLine="360"/>
        <w:jc w:val="both"/>
        <w:rPr>
          <w:lang w:val="uk-UA"/>
        </w:rPr>
      </w:pPr>
      <w:r w:rsidRPr="00B7756B">
        <w:rPr>
          <w:lang w:val="uk-UA"/>
        </w:rPr>
        <w:t>Як частина реалізації розширення існуючого національного сегменту ГМЗЛБ у першому та другому кварталах 2018 року була успішно проведена робота щодо технічного переоснащення Експлуатаційного центру управління Берегового радіоцентру морського району А1, А2 ГМЗЛБ м. Одеса</w:t>
      </w:r>
      <w:r w:rsidR="00B84907">
        <w:rPr>
          <w:lang w:val="uk-UA"/>
        </w:rPr>
        <w:t xml:space="preserve"> у сумі 4783 тис. грн.</w:t>
      </w:r>
      <w:r w:rsidRPr="00B7756B">
        <w:rPr>
          <w:lang w:val="uk-UA"/>
        </w:rPr>
        <w:t xml:space="preserve"> та технічного переоснащення Експлуатаційного центру управління Берегового радіоцентру морського району А1, А2 ГМЗЛБ м. Бердянськ</w:t>
      </w:r>
      <w:r w:rsidR="00B84907">
        <w:rPr>
          <w:lang w:val="uk-UA"/>
        </w:rPr>
        <w:t xml:space="preserve"> у сумі 4852 тис. грн</w:t>
      </w:r>
      <w:r w:rsidRPr="00B7756B">
        <w:rPr>
          <w:lang w:val="uk-UA"/>
        </w:rPr>
        <w:t xml:space="preserve">. </w:t>
      </w:r>
    </w:p>
    <w:p w:rsidR="00B7756B" w:rsidRDefault="00B7756B" w:rsidP="000164AE">
      <w:pPr>
        <w:ind w:firstLine="360"/>
        <w:jc w:val="both"/>
        <w:rPr>
          <w:color w:val="000000"/>
          <w:lang w:val="uk-UA"/>
        </w:rPr>
      </w:pPr>
    </w:p>
    <w:p w:rsidR="00B84907" w:rsidRPr="006F3BC4" w:rsidRDefault="006F3BC4" w:rsidP="00B84907">
      <w:pPr>
        <w:pStyle w:val="af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90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</w:t>
      </w:r>
      <w:r w:rsidR="00B84907" w:rsidRPr="00B84907">
        <w:rPr>
          <w:rFonts w:ascii="Times New Roman" w:hAnsi="Times New Roman" w:cs="Times New Roman"/>
          <w:sz w:val="24"/>
          <w:szCs w:val="24"/>
          <w:lang w:val="uk-UA"/>
        </w:rPr>
        <w:t>перенесення строків реалізаці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технічного переоснащення Базової станції «В. Фонтан» </w:t>
      </w:r>
      <w:r w:rsidR="00B84907" w:rsidRPr="00B84907">
        <w:rPr>
          <w:rFonts w:ascii="Times New Roman" w:hAnsi="Times New Roman" w:cs="Times New Roman"/>
          <w:sz w:val="24"/>
          <w:szCs w:val="24"/>
          <w:lang w:val="uk-UA"/>
        </w:rPr>
        <w:t xml:space="preserve"> вплинуло введення в дію з 01.06.2018 змін до будівельних норм наказами Національного органу стандартизації ДП «Український науково-дослідний і навчальний центр проблем стандартизації, сертифікації та якості» від 16.04.2018   № 102 та від 24.09.2018 № 334, а також змін до Порядку розрахунку розміру кошторисної заробітної плати, який враховується при визначенні вартості будівництва об’єктів наказом Міністерства регіонального розвитку, будівництва та житлово-комунального господарства України від 27.07.2018 № 196, що зареєстрований в Мінюсті України 16.08.2018 за № 931/32383, у зв’язку з чим виникла необхідність перера</w:t>
      </w:r>
      <w:r w:rsidR="00B84907" w:rsidRPr="006F3BC4">
        <w:rPr>
          <w:rFonts w:ascii="Times New Roman" w:hAnsi="Times New Roman" w:cs="Times New Roman"/>
          <w:sz w:val="24"/>
          <w:szCs w:val="24"/>
          <w:lang w:val="uk-UA"/>
        </w:rPr>
        <w:t>хувати кошторисну частину проект</w:t>
      </w:r>
      <w:r w:rsidR="002E5C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84907" w:rsidRPr="006F3BC4">
        <w:rPr>
          <w:rFonts w:ascii="Times New Roman" w:hAnsi="Times New Roman" w:cs="Times New Roman"/>
          <w:sz w:val="24"/>
          <w:szCs w:val="24"/>
          <w:lang w:val="uk-UA"/>
        </w:rPr>
        <w:t xml:space="preserve"> і пройти повторну експертизу кошторисної документації технічного переоснащення Базової станції «Великий Фонтан».</w:t>
      </w:r>
      <w:r w:rsidR="001039A2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Реалізація проекту запланована на 2019 рік.</w:t>
      </w:r>
    </w:p>
    <w:p w:rsidR="00743072" w:rsidRDefault="00743072" w:rsidP="000164AE">
      <w:pPr>
        <w:ind w:firstLine="360"/>
        <w:jc w:val="both"/>
        <w:rPr>
          <w:color w:val="000000"/>
          <w:lang w:val="uk-UA"/>
        </w:rPr>
      </w:pPr>
    </w:p>
    <w:p w:rsidR="00B84907" w:rsidRDefault="00743072" w:rsidP="000164AE">
      <w:pPr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Виконання </w:t>
      </w:r>
      <w:r w:rsidR="002E51E7">
        <w:rPr>
          <w:color w:val="000000"/>
          <w:lang w:val="uk-UA"/>
        </w:rPr>
        <w:t xml:space="preserve">капітальних інвестицій щодо </w:t>
      </w:r>
      <w:r>
        <w:rPr>
          <w:color w:val="000000"/>
          <w:lang w:val="uk-UA"/>
        </w:rPr>
        <w:t xml:space="preserve">придбання основних засобів надана в таблиці  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4390"/>
        <w:gridCol w:w="1320"/>
        <w:gridCol w:w="1300"/>
        <w:gridCol w:w="1540"/>
        <w:gridCol w:w="1440"/>
      </w:tblGrid>
      <w:tr w:rsidR="002E5C65" w:rsidRPr="00421535" w:rsidTr="00421535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C65" w:rsidRPr="00FE6312" w:rsidRDefault="002E5C65" w:rsidP="002E5C65">
            <w:pPr>
              <w:jc w:val="center"/>
              <w:rPr>
                <w:lang w:val="uk-UA"/>
              </w:rPr>
            </w:pPr>
            <w:r w:rsidRPr="00FE6312">
              <w:rPr>
                <w:lang w:val="uk-UA"/>
              </w:rPr>
              <w:t xml:space="preserve">Найменування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5" w:rsidRPr="00FE6312" w:rsidRDefault="002E5C65" w:rsidP="002E5C65">
            <w:pPr>
              <w:jc w:val="center"/>
              <w:rPr>
                <w:lang w:val="uk-UA"/>
              </w:rPr>
            </w:pPr>
            <w:r w:rsidRPr="00FE6312">
              <w:rPr>
                <w:lang w:val="uk-UA"/>
              </w:rPr>
              <w:t xml:space="preserve">план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5" w:rsidRPr="00FE6312" w:rsidRDefault="002E5C65" w:rsidP="002E5C65">
            <w:pPr>
              <w:jc w:val="center"/>
              <w:rPr>
                <w:lang w:val="uk-UA"/>
              </w:rPr>
            </w:pPr>
            <w:r w:rsidRPr="00FE6312">
              <w:rPr>
                <w:lang w:val="uk-UA"/>
              </w:rPr>
              <w:t>факт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5" w:rsidRPr="00FE6312" w:rsidRDefault="002E5C65" w:rsidP="002E5C65">
            <w:pPr>
              <w:jc w:val="center"/>
              <w:rPr>
                <w:lang w:val="uk-UA"/>
              </w:rPr>
            </w:pPr>
            <w:r w:rsidRPr="00FE6312">
              <w:rPr>
                <w:lang w:val="uk-UA"/>
              </w:rPr>
              <w:t>відхилення,  +/–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5" w:rsidRPr="00FE6312" w:rsidRDefault="002E5C65" w:rsidP="002E5C65">
            <w:pPr>
              <w:jc w:val="center"/>
              <w:rPr>
                <w:lang w:val="uk-UA"/>
              </w:rPr>
            </w:pPr>
            <w:r w:rsidRPr="00FE6312">
              <w:rPr>
                <w:lang w:val="uk-UA"/>
              </w:rPr>
              <w:t>виконання, %</w:t>
            </w:r>
          </w:p>
        </w:tc>
      </w:tr>
      <w:tr w:rsidR="00E30AAD" w:rsidRPr="00421535" w:rsidTr="00421535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AAD" w:rsidRPr="00FE6312" w:rsidRDefault="00E30AAD" w:rsidP="00E30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AD" w:rsidRPr="00E30AAD" w:rsidRDefault="00E30AAD" w:rsidP="00E30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AD" w:rsidRPr="00E30AAD" w:rsidRDefault="00E30AAD" w:rsidP="00E30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AD" w:rsidRPr="00E30AAD" w:rsidRDefault="00E30AAD" w:rsidP="00E30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AD" w:rsidRPr="00E30AAD" w:rsidRDefault="00E30AAD" w:rsidP="00E30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E5C65" w:rsidRPr="00421535" w:rsidTr="00421535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rPr>
                <w:lang w:val="uk-UA"/>
              </w:rPr>
            </w:pPr>
            <w:r w:rsidRPr="00FE6312">
              <w:rPr>
                <w:lang w:val="uk-UA"/>
              </w:rPr>
              <w:t>Обладнання зв'язку та радіонавігації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2 885,0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2 809,0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-76,0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97%</w:t>
            </w:r>
          </w:p>
        </w:tc>
      </w:tr>
      <w:tr w:rsidR="002E5C65" w:rsidRPr="00421535" w:rsidTr="00421535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rPr>
                <w:lang w:val="uk-UA"/>
              </w:rPr>
            </w:pPr>
            <w:r w:rsidRPr="00FE6312">
              <w:rPr>
                <w:lang w:val="uk-UA"/>
              </w:rPr>
              <w:t>Обладнання та інше устаткування на плавзасоби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-23,0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81%</w:t>
            </w:r>
          </w:p>
        </w:tc>
      </w:tr>
      <w:tr w:rsidR="002E5C65" w:rsidRPr="00421535" w:rsidTr="00421535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rPr>
                <w:lang w:val="uk-UA"/>
              </w:rPr>
            </w:pPr>
            <w:r w:rsidRPr="00FE6312">
              <w:rPr>
                <w:lang w:val="uk-UA"/>
              </w:rPr>
              <w:t>Серверне та комунікаційне обладнання, засоби обчислювальної техніки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808,0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270,0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-538,0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33%</w:t>
            </w:r>
          </w:p>
        </w:tc>
      </w:tr>
      <w:tr w:rsidR="002E5C65" w:rsidRPr="00421535" w:rsidTr="00390268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rPr>
                <w:lang w:val="uk-UA"/>
              </w:rPr>
            </w:pPr>
            <w:r w:rsidRPr="00FE6312">
              <w:rPr>
                <w:lang w:val="uk-UA"/>
              </w:rPr>
              <w:t xml:space="preserve">Аварійно-рятувальне майно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4 020,0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3 777,0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-243,0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94%</w:t>
            </w:r>
          </w:p>
        </w:tc>
      </w:tr>
      <w:tr w:rsidR="002E5C65" w:rsidRPr="00421535" w:rsidTr="003C2675">
        <w:trPr>
          <w:trHeight w:val="9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rPr>
                <w:lang w:val="uk-UA"/>
              </w:rPr>
            </w:pPr>
            <w:r w:rsidRPr="00FE6312">
              <w:rPr>
                <w:lang w:val="uk-UA"/>
              </w:rPr>
              <w:t>Інше обладнання необхідне для нормального функціонування підприємства, у тому числі згідно охорони праці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2 025,0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1 149,0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-876,0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5" w:rsidRPr="00FE6312" w:rsidRDefault="002E5C65" w:rsidP="002E5C65">
            <w:pPr>
              <w:jc w:val="center"/>
            </w:pPr>
            <w:r w:rsidRPr="00FE6312">
              <w:t>57%</w:t>
            </w:r>
          </w:p>
        </w:tc>
      </w:tr>
    </w:tbl>
    <w:p w:rsidR="00421535" w:rsidRPr="00B84907" w:rsidRDefault="00421535" w:rsidP="000164AE">
      <w:pPr>
        <w:ind w:firstLine="360"/>
        <w:jc w:val="both"/>
        <w:rPr>
          <w:color w:val="000000"/>
          <w:lang w:val="uk-UA"/>
        </w:rPr>
      </w:pPr>
    </w:p>
    <w:p w:rsidR="00233C7A" w:rsidRDefault="006A0E54" w:rsidP="000164AE">
      <w:pPr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У 4 кварталі 2018 року </w:t>
      </w:r>
      <w:r w:rsidRPr="00103CC2">
        <w:rPr>
          <w:lang w:val="uk-UA"/>
        </w:rPr>
        <w:t xml:space="preserve">проведені </w:t>
      </w:r>
      <w:r w:rsidR="00A05DDC" w:rsidRPr="00103CC2">
        <w:rPr>
          <w:lang w:val="uk-UA"/>
        </w:rPr>
        <w:t xml:space="preserve">торги на закупівлю </w:t>
      </w:r>
      <w:r w:rsidR="00E07E6E">
        <w:rPr>
          <w:lang w:val="uk-UA"/>
        </w:rPr>
        <w:t xml:space="preserve">робочих станцій </w:t>
      </w:r>
      <w:r w:rsidR="00743072">
        <w:rPr>
          <w:lang w:val="uk-UA"/>
        </w:rPr>
        <w:t xml:space="preserve">з </w:t>
      </w:r>
      <w:proofErr w:type="spellStart"/>
      <w:r w:rsidR="00743072">
        <w:rPr>
          <w:lang w:val="uk-UA"/>
        </w:rPr>
        <w:t>передвстановленим</w:t>
      </w:r>
      <w:proofErr w:type="spellEnd"/>
      <w:r w:rsidR="00743072">
        <w:rPr>
          <w:lang w:val="uk-UA"/>
        </w:rPr>
        <w:t xml:space="preserve"> програмним забезпеченням  у сумі 300 тис. грн. </w:t>
      </w:r>
      <w:r w:rsidR="00E07E6E">
        <w:rPr>
          <w:lang w:val="uk-UA"/>
        </w:rPr>
        <w:t xml:space="preserve">та </w:t>
      </w:r>
      <w:r w:rsidR="00103CC2" w:rsidRPr="00103CC2">
        <w:rPr>
          <w:lang w:val="uk-UA"/>
        </w:rPr>
        <w:t>робочих станцій для роботи з персональними даними та ДСК із впровадженням системи технічного захисту інформації</w:t>
      </w:r>
      <w:r w:rsidR="00743072">
        <w:rPr>
          <w:lang w:val="uk-UA"/>
        </w:rPr>
        <w:t xml:space="preserve"> на суму 100 тис. грн.</w:t>
      </w:r>
      <w:r w:rsidR="00E07E6E">
        <w:rPr>
          <w:lang w:val="uk-UA"/>
        </w:rPr>
        <w:t>,</w:t>
      </w:r>
      <w:r w:rsidR="00103CC2" w:rsidRPr="00103CC2">
        <w:rPr>
          <w:lang w:val="uk-UA"/>
        </w:rPr>
        <w:t xml:space="preserve"> </w:t>
      </w:r>
      <w:r w:rsidR="00103CC2" w:rsidRPr="00103CC2">
        <w:t> </w:t>
      </w:r>
      <w:r w:rsidR="00B74AB8" w:rsidRPr="005527AD">
        <w:rPr>
          <w:color w:val="000000"/>
          <w:lang w:val="uk-UA"/>
        </w:rPr>
        <w:t xml:space="preserve">але у зв’язку із </w:t>
      </w:r>
      <w:r w:rsidR="00103CC2" w:rsidRPr="00103CC2">
        <w:rPr>
          <w:lang w:val="uk-UA"/>
        </w:rPr>
        <w:t>участ</w:t>
      </w:r>
      <w:r w:rsidR="00E07E6E">
        <w:rPr>
          <w:lang w:val="uk-UA"/>
        </w:rPr>
        <w:t>ю</w:t>
      </w:r>
      <w:r w:rsidR="00103CC2" w:rsidRPr="00103CC2">
        <w:rPr>
          <w:lang w:val="uk-UA"/>
        </w:rPr>
        <w:t xml:space="preserve"> </w:t>
      </w:r>
      <w:r w:rsidR="00E07E6E">
        <w:rPr>
          <w:lang w:val="uk-UA"/>
        </w:rPr>
        <w:t>у</w:t>
      </w:r>
      <w:r w:rsidR="00103CC2" w:rsidRPr="00103CC2">
        <w:rPr>
          <w:lang w:val="uk-UA"/>
        </w:rPr>
        <w:t xml:space="preserve"> торгах менше двох тендерних пропозицій</w:t>
      </w:r>
      <w:r w:rsidR="00A05DDC" w:rsidRPr="005527AD">
        <w:rPr>
          <w:color w:val="000000"/>
          <w:lang w:val="uk-UA"/>
        </w:rPr>
        <w:t xml:space="preserve">, торги не відбулися. </w:t>
      </w:r>
      <w:r w:rsidR="00012E73">
        <w:rPr>
          <w:color w:val="000000"/>
          <w:lang w:val="uk-UA"/>
        </w:rPr>
        <w:t>Витрати перенесені до фінансового плану 2019 року.</w:t>
      </w:r>
    </w:p>
    <w:p w:rsidR="00233C7A" w:rsidRDefault="00233C7A" w:rsidP="00601016">
      <w:pPr>
        <w:ind w:firstLine="360"/>
        <w:jc w:val="both"/>
        <w:rPr>
          <w:color w:val="000000"/>
          <w:lang w:val="uk-UA"/>
        </w:rPr>
      </w:pPr>
    </w:p>
    <w:p w:rsidR="008C5295" w:rsidRDefault="008C5295" w:rsidP="00F24513">
      <w:pPr>
        <w:ind w:firstLine="360"/>
        <w:jc w:val="both"/>
        <w:rPr>
          <w:lang w:val="uk-UA"/>
        </w:rPr>
      </w:pPr>
      <w:r>
        <w:rPr>
          <w:lang w:val="uk-UA"/>
        </w:rPr>
        <w:t xml:space="preserve">Виконання </w:t>
      </w:r>
      <w:r w:rsidRPr="00681EB5">
        <w:rPr>
          <w:lang w:val="uk-UA"/>
        </w:rPr>
        <w:t>рядку 40</w:t>
      </w:r>
      <w:r>
        <w:rPr>
          <w:lang w:val="uk-UA"/>
        </w:rPr>
        <w:t>3</w:t>
      </w:r>
      <w:r w:rsidRPr="00681EB5">
        <w:rPr>
          <w:lang w:val="uk-UA"/>
        </w:rPr>
        <w:t>0 «Придбання (</w:t>
      </w:r>
      <w:r>
        <w:rPr>
          <w:lang w:val="uk-UA"/>
        </w:rPr>
        <w:t>виготовлення</w:t>
      </w:r>
      <w:r w:rsidRPr="00681EB5">
        <w:rPr>
          <w:lang w:val="uk-UA"/>
        </w:rPr>
        <w:t>)</w:t>
      </w:r>
      <w:r>
        <w:rPr>
          <w:lang w:val="uk-UA"/>
        </w:rPr>
        <w:t xml:space="preserve"> інших необоротних м</w:t>
      </w:r>
      <w:r w:rsidRPr="00681EB5">
        <w:rPr>
          <w:lang w:val="uk-UA"/>
        </w:rPr>
        <w:t>атеріальних активів</w:t>
      </w:r>
      <w:r>
        <w:rPr>
          <w:lang w:val="uk-UA"/>
        </w:rPr>
        <w:t xml:space="preserve">» складає </w:t>
      </w:r>
      <w:r w:rsidR="00AE5012">
        <w:rPr>
          <w:lang w:val="uk-UA"/>
        </w:rPr>
        <w:t>6</w:t>
      </w:r>
      <w:r>
        <w:rPr>
          <w:lang w:val="uk-UA"/>
        </w:rPr>
        <w:t>7,</w:t>
      </w:r>
      <w:r w:rsidR="00AE5012">
        <w:rPr>
          <w:lang w:val="uk-UA"/>
        </w:rPr>
        <w:t>4</w:t>
      </w:r>
      <w:r>
        <w:rPr>
          <w:lang w:val="uk-UA"/>
        </w:rPr>
        <w:t>%</w:t>
      </w:r>
      <w:r w:rsidR="00287223">
        <w:rPr>
          <w:lang w:val="uk-UA"/>
        </w:rPr>
        <w:t xml:space="preserve"> від плану</w:t>
      </w:r>
      <w:r>
        <w:rPr>
          <w:lang w:val="uk-UA"/>
        </w:rPr>
        <w:t>.</w:t>
      </w:r>
    </w:p>
    <w:p w:rsidR="00A4604E" w:rsidRDefault="00A4604E" w:rsidP="00A4604E">
      <w:pPr>
        <w:jc w:val="both"/>
        <w:rPr>
          <w:lang w:val="uk-UA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4390"/>
        <w:gridCol w:w="1320"/>
        <w:gridCol w:w="1300"/>
        <w:gridCol w:w="1540"/>
        <w:gridCol w:w="1440"/>
      </w:tblGrid>
      <w:tr w:rsidR="00A4604E" w:rsidRPr="00A4604E" w:rsidTr="00A4604E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04E" w:rsidRPr="002E5C65" w:rsidRDefault="00A4604E" w:rsidP="00A460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4E" w:rsidRPr="002B7AD9" w:rsidRDefault="00A4604E" w:rsidP="00A4604E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 xml:space="preserve">план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4E" w:rsidRPr="002B7AD9" w:rsidRDefault="00A4604E" w:rsidP="00A4604E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4E" w:rsidRPr="002B7AD9" w:rsidRDefault="00A4604E" w:rsidP="00A4604E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відхилення,  +/–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4E" w:rsidRPr="002B7AD9" w:rsidRDefault="00A4604E" w:rsidP="00A4604E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виконання, %</w:t>
            </w:r>
          </w:p>
        </w:tc>
      </w:tr>
      <w:tr w:rsidR="00A4604E" w:rsidRPr="00A4604E" w:rsidTr="00A4604E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04E" w:rsidRPr="00FE6312" w:rsidRDefault="00A4604E" w:rsidP="00A4604E">
            <w:r w:rsidRPr="00FE6312">
              <w:rPr>
                <w:lang w:val="uk-UA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4E" w:rsidRPr="00FE6312" w:rsidRDefault="00A4604E" w:rsidP="00A4604E">
            <w:pPr>
              <w:jc w:val="center"/>
              <w:rPr>
                <w:lang w:val="uk-UA"/>
              </w:rPr>
            </w:pPr>
            <w:r w:rsidRPr="00FE6312">
              <w:rPr>
                <w:lang w:val="uk-UA"/>
              </w:rPr>
              <w:t>1 597,0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4E" w:rsidRPr="00FE6312" w:rsidRDefault="00A4604E" w:rsidP="00A4604E">
            <w:pPr>
              <w:jc w:val="center"/>
              <w:rPr>
                <w:lang w:val="uk-UA"/>
              </w:rPr>
            </w:pPr>
            <w:r w:rsidRPr="00FE6312">
              <w:rPr>
                <w:lang w:val="uk-UA"/>
              </w:rPr>
              <w:t>1 077,0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4E" w:rsidRPr="00FE6312" w:rsidRDefault="00A4604E" w:rsidP="00A4604E">
            <w:pPr>
              <w:jc w:val="center"/>
              <w:rPr>
                <w:lang w:val="uk-UA"/>
              </w:rPr>
            </w:pPr>
            <w:r w:rsidRPr="00FE6312">
              <w:rPr>
                <w:lang w:val="uk-UA"/>
              </w:rPr>
              <w:t>-520,0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4E" w:rsidRPr="00FE6312" w:rsidRDefault="00A4604E" w:rsidP="00A4604E">
            <w:pPr>
              <w:jc w:val="center"/>
              <w:rPr>
                <w:lang w:val="uk-UA"/>
              </w:rPr>
            </w:pPr>
            <w:r w:rsidRPr="00FE6312">
              <w:rPr>
                <w:lang w:val="uk-UA"/>
              </w:rPr>
              <w:t>67%</w:t>
            </w:r>
          </w:p>
        </w:tc>
      </w:tr>
      <w:tr w:rsidR="00A4604E" w:rsidRPr="00A4604E" w:rsidTr="00A4604E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04E" w:rsidRPr="00E1274E" w:rsidRDefault="00A4604E" w:rsidP="00A4604E">
            <w:pPr>
              <w:rPr>
                <w:lang w:val="uk-UA"/>
              </w:rPr>
            </w:pPr>
            <w:r w:rsidRPr="00E1274E">
              <w:rPr>
                <w:lang w:val="uk-UA"/>
              </w:rPr>
              <w:t xml:space="preserve">Формений одяг, спецодяг, спецвзуття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263,0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4B1573" w:rsidRDefault="00A4604E" w:rsidP="00A4604E">
            <w:pPr>
              <w:jc w:val="center"/>
              <w:rPr>
                <w:lang w:val="uk-UA"/>
              </w:rPr>
            </w:pPr>
            <w:r w:rsidRPr="00FE6312">
              <w:t> </w:t>
            </w:r>
            <w:r w:rsidR="004B1573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-263,0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0%</w:t>
            </w:r>
          </w:p>
        </w:tc>
      </w:tr>
      <w:tr w:rsidR="00A4604E" w:rsidRPr="00A4604E" w:rsidTr="00A4604E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04E" w:rsidRPr="00E1274E" w:rsidRDefault="00A4604E" w:rsidP="00A4604E">
            <w:pPr>
              <w:rPr>
                <w:lang w:val="uk-UA"/>
              </w:rPr>
            </w:pPr>
            <w:r w:rsidRPr="00E1274E">
              <w:rPr>
                <w:lang w:val="uk-UA"/>
              </w:rPr>
              <w:t xml:space="preserve">Аварійно-рятувальне майно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193,0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103,0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214%</w:t>
            </w:r>
          </w:p>
        </w:tc>
      </w:tr>
      <w:tr w:rsidR="00A4604E" w:rsidRPr="00A4604E" w:rsidTr="00A4604E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04E" w:rsidRPr="00E1274E" w:rsidRDefault="00A4604E" w:rsidP="00A4604E">
            <w:pPr>
              <w:rPr>
                <w:lang w:val="uk-UA"/>
              </w:rPr>
            </w:pPr>
            <w:r w:rsidRPr="00E1274E">
              <w:rPr>
                <w:lang w:val="uk-UA"/>
              </w:rPr>
              <w:t>Інструменти, обладнання, мережеве обладнання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274,0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259,0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-15,0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95%</w:t>
            </w:r>
          </w:p>
        </w:tc>
      </w:tr>
      <w:tr w:rsidR="00A4604E" w:rsidRPr="00A4604E" w:rsidTr="00A4604E">
        <w:trPr>
          <w:trHeight w:val="9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04E" w:rsidRPr="00954D57" w:rsidRDefault="00A4604E" w:rsidP="00A4604E">
            <w:pPr>
              <w:rPr>
                <w:lang w:val="uk-UA"/>
              </w:rPr>
            </w:pPr>
            <w:r w:rsidRPr="00954D57">
              <w:rPr>
                <w:lang w:val="uk-UA"/>
              </w:rPr>
              <w:t xml:space="preserve">Інші необоротні матеріальні активи, необхідні для функціонування підприємства, у тому числі згідно норм охорони праці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733,0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509,0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-224,0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E" w:rsidRPr="00FE6312" w:rsidRDefault="00A4604E" w:rsidP="00A4604E">
            <w:pPr>
              <w:jc w:val="center"/>
            </w:pPr>
            <w:r w:rsidRPr="00FE6312">
              <w:t>69%</w:t>
            </w:r>
          </w:p>
        </w:tc>
      </w:tr>
    </w:tbl>
    <w:p w:rsidR="00A4604E" w:rsidRDefault="00A4604E" w:rsidP="00A4604E">
      <w:pPr>
        <w:jc w:val="both"/>
        <w:rPr>
          <w:lang w:val="uk-UA"/>
        </w:rPr>
      </w:pPr>
    </w:p>
    <w:p w:rsidR="00A4604E" w:rsidRDefault="00A4604E" w:rsidP="00A4604E">
      <w:pPr>
        <w:jc w:val="both"/>
        <w:rPr>
          <w:lang w:val="uk-UA"/>
        </w:rPr>
      </w:pPr>
    </w:p>
    <w:p w:rsidR="00CB354E" w:rsidRDefault="008C5295" w:rsidP="00EF6E65">
      <w:pPr>
        <w:ind w:firstLine="360"/>
        <w:jc w:val="both"/>
        <w:rPr>
          <w:lang w:val="uk-UA"/>
        </w:rPr>
      </w:pPr>
      <w:r w:rsidRPr="00EF6E65">
        <w:rPr>
          <w:lang w:val="uk-UA"/>
        </w:rPr>
        <w:lastRenderedPageBreak/>
        <w:t xml:space="preserve">Рядок </w:t>
      </w:r>
      <w:r w:rsidR="00681EB5" w:rsidRPr="00EF6E65">
        <w:rPr>
          <w:lang w:val="uk-UA"/>
        </w:rPr>
        <w:t>4040 «Придбання (створення) нематеріальних активів»</w:t>
      </w:r>
      <w:r w:rsidR="00646765">
        <w:rPr>
          <w:lang w:val="uk-UA"/>
        </w:rPr>
        <w:t xml:space="preserve"> виконаний на 60,6% відповідно до плану на 2018 рік.</w:t>
      </w:r>
      <w:r w:rsidRPr="00EF6E65">
        <w:rPr>
          <w:lang w:val="uk-UA"/>
        </w:rPr>
        <w:t xml:space="preserve"> </w:t>
      </w:r>
      <w:r w:rsidR="00F24513" w:rsidRPr="00EF6E65">
        <w:rPr>
          <w:lang w:val="uk-UA"/>
        </w:rPr>
        <w:t xml:space="preserve"> 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4390"/>
        <w:gridCol w:w="1320"/>
        <w:gridCol w:w="1300"/>
        <w:gridCol w:w="1540"/>
        <w:gridCol w:w="1440"/>
      </w:tblGrid>
      <w:tr w:rsidR="006A6E2C" w:rsidRPr="006A6E2C" w:rsidTr="006A6E2C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E2C" w:rsidRPr="002E5C65" w:rsidRDefault="006A6E2C" w:rsidP="006A6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2C" w:rsidRPr="002B7AD9" w:rsidRDefault="006A6E2C" w:rsidP="006A6E2C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 xml:space="preserve">план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2C" w:rsidRPr="002B7AD9" w:rsidRDefault="006A6E2C" w:rsidP="006A6E2C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2C" w:rsidRPr="002B7AD9" w:rsidRDefault="006A6E2C" w:rsidP="006A6E2C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відхилення,  +/–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2C" w:rsidRPr="002B7AD9" w:rsidRDefault="006A6E2C" w:rsidP="006A6E2C">
            <w:pPr>
              <w:jc w:val="center"/>
              <w:rPr>
                <w:sz w:val="22"/>
                <w:szCs w:val="22"/>
                <w:lang w:val="uk-UA"/>
              </w:rPr>
            </w:pPr>
            <w:r w:rsidRPr="002B7AD9">
              <w:rPr>
                <w:sz w:val="22"/>
                <w:szCs w:val="22"/>
                <w:lang w:val="uk-UA"/>
              </w:rPr>
              <w:t>виконання, %</w:t>
            </w:r>
          </w:p>
        </w:tc>
      </w:tr>
      <w:tr w:rsidR="006A6E2C" w:rsidRPr="006A6E2C" w:rsidTr="006A6E2C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rPr>
                <w:bCs/>
                <w:lang w:val="uk-UA"/>
              </w:rPr>
            </w:pPr>
            <w:r w:rsidRPr="006A6E2C">
              <w:rPr>
                <w:bCs/>
                <w:lang w:val="uk-UA"/>
              </w:rPr>
              <w:t>Придбання (створення) нематеріальних активів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625,0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379,0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-246,0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61%</w:t>
            </w:r>
          </w:p>
        </w:tc>
      </w:tr>
      <w:tr w:rsidR="006A6E2C" w:rsidRPr="006A6E2C" w:rsidTr="00E55CD5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rPr>
                <w:lang w:val="uk-UA"/>
              </w:rPr>
            </w:pPr>
            <w:r w:rsidRPr="006A6E2C">
              <w:rPr>
                <w:lang w:val="uk-UA"/>
              </w:rPr>
              <w:t xml:space="preserve">Програмне забезпечення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232,0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160,0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-72,0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69%</w:t>
            </w:r>
          </w:p>
        </w:tc>
      </w:tr>
      <w:tr w:rsidR="006A6E2C" w:rsidRPr="006A6E2C" w:rsidTr="00E55CD5">
        <w:trPr>
          <w:trHeight w:val="5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rPr>
                <w:lang w:val="uk-UA"/>
              </w:rPr>
            </w:pPr>
            <w:r w:rsidRPr="006A6E2C">
              <w:rPr>
                <w:lang w:val="uk-UA"/>
              </w:rPr>
              <w:t>Розробка проектів землеустрою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273,0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99,0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-174,0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36%</w:t>
            </w:r>
          </w:p>
        </w:tc>
      </w:tr>
      <w:tr w:rsidR="006A6E2C" w:rsidRPr="006A6E2C" w:rsidTr="006A6E2C">
        <w:trPr>
          <w:trHeight w:val="9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rPr>
                <w:lang w:val="uk-UA"/>
              </w:rPr>
            </w:pPr>
            <w:r w:rsidRPr="006A6E2C">
              <w:rPr>
                <w:lang w:val="uk-UA"/>
              </w:rPr>
              <w:t>Придбання інших нематеріальних активів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120,0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2C" w:rsidRPr="006A6E2C" w:rsidRDefault="006A6E2C" w:rsidP="006A6E2C">
            <w:pPr>
              <w:jc w:val="center"/>
            </w:pPr>
            <w:r w:rsidRPr="006A6E2C">
              <w:t>100%</w:t>
            </w:r>
          </w:p>
        </w:tc>
      </w:tr>
    </w:tbl>
    <w:p w:rsidR="006A6E2C" w:rsidRDefault="006A6E2C" w:rsidP="00EF6E65">
      <w:pPr>
        <w:ind w:firstLine="360"/>
        <w:jc w:val="both"/>
        <w:rPr>
          <w:color w:val="000000"/>
          <w:lang w:val="uk-UA"/>
        </w:rPr>
      </w:pPr>
    </w:p>
    <w:p w:rsidR="009C0E66" w:rsidRDefault="00364382" w:rsidP="002F4E19">
      <w:pPr>
        <w:pStyle w:val="af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проведенні відкритих торгів на закупівлю програмного забезпечення вартість  антивірусного програмного забезпечення була знижена на 30%, тому загальн</w:t>
      </w:r>
      <w:r w:rsidR="004E65E9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статті складає 69%.    </w:t>
      </w:r>
    </w:p>
    <w:p w:rsidR="006A6E2C" w:rsidRPr="006A6E2C" w:rsidRDefault="006A6E2C" w:rsidP="002F4E19">
      <w:pPr>
        <w:pStyle w:val="a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A6E2C">
        <w:rPr>
          <w:rFonts w:ascii="Times New Roman" w:hAnsi="Times New Roman" w:cs="Times New Roman"/>
          <w:sz w:val="24"/>
          <w:szCs w:val="24"/>
          <w:lang w:val="uk-UA"/>
        </w:rPr>
        <w:t xml:space="preserve">Терміни отримання земельної ділянки у постійне користування є довготривалими та непередбачуваними. </w:t>
      </w:r>
      <w:r w:rsidRPr="006A6E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Впливу на строки розгляду та прийняття рішення обласними та міськими радами відповідно до законодавства підприємство не має. </w:t>
      </w:r>
    </w:p>
    <w:p w:rsidR="00CB354E" w:rsidRDefault="004E65E9" w:rsidP="002F4E19">
      <w:pPr>
        <w:pStyle w:val="10"/>
        <w:ind w:left="0"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На 4 квартал 2018 року було заплановано розробка </w:t>
      </w:r>
      <w:r w:rsidRPr="003A2959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у</w:t>
      </w:r>
      <w:r w:rsidRPr="003A2959">
        <w:rPr>
          <w:color w:val="000000"/>
          <w:lang w:val="uk-UA"/>
        </w:rPr>
        <w:t xml:space="preserve"> землеустрою щодо відведення в постійне користування земельної ділянки під Морський рятувальний </w:t>
      </w:r>
      <w:proofErr w:type="spellStart"/>
      <w:r w:rsidRPr="003A2959">
        <w:rPr>
          <w:color w:val="000000"/>
          <w:lang w:val="uk-UA"/>
        </w:rPr>
        <w:t>підцентр</w:t>
      </w:r>
      <w:proofErr w:type="spellEnd"/>
      <w:r w:rsidRPr="003A2959">
        <w:rPr>
          <w:color w:val="000000"/>
          <w:lang w:val="uk-UA"/>
        </w:rPr>
        <w:t xml:space="preserve"> КП "МПРС" в </w:t>
      </w:r>
      <w:proofErr w:type="spellStart"/>
      <w:r w:rsidRPr="003A2959">
        <w:rPr>
          <w:color w:val="000000"/>
          <w:lang w:val="uk-UA"/>
        </w:rPr>
        <w:t>м.Бердянськ</w:t>
      </w:r>
      <w:proofErr w:type="spellEnd"/>
      <w:r>
        <w:rPr>
          <w:color w:val="000000"/>
          <w:lang w:val="uk-UA"/>
        </w:rPr>
        <w:t xml:space="preserve"> у сумі 15 тис. грн. До теперішнього часу підприємство не може отримати </w:t>
      </w:r>
      <w:r w:rsidRPr="005527AD">
        <w:rPr>
          <w:lang w:val="uk-UA"/>
        </w:rPr>
        <w:t>дозволу Запорізької облдержадміністрацією на переоформлення земельної ділянки</w:t>
      </w:r>
    </w:p>
    <w:p w:rsidR="002F4E19" w:rsidRDefault="002F4E19" w:rsidP="002F4E19">
      <w:pPr>
        <w:pStyle w:val="10"/>
        <w:ind w:left="0"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Також на 2019 рік </w:t>
      </w:r>
      <w:r w:rsidR="00A33C9A">
        <w:rPr>
          <w:color w:val="000000"/>
          <w:lang w:val="uk-UA"/>
        </w:rPr>
        <w:t xml:space="preserve">перенесена </w:t>
      </w:r>
      <w:r>
        <w:rPr>
          <w:color w:val="000000"/>
          <w:lang w:val="uk-UA"/>
        </w:rPr>
        <w:t>розробка проекту землеустрою для будівництва берегової бази пошуково-рятувальних катерів на території Скадовського району Херсонської області.</w:t>
      </w:r>
      <w:r w:rsidR="00B3596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</w:p>
    <w:p w:rsidR="002F4E19" w:rsidRDefault="006A1ED2" w:rsidP="002F4E19">
      <w:pPr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05.10.2018 року отримано право користування земельної ділянкою </w:t>
      </w:r>
      <w:r w:rsidR="00B35960">
        <w:rPr>
          <w:color w:val="000000"/>
          <w:lang w:val="uk-UA"/>
        </w:rPr>
        <w:t>для будівництва Базової станції «Кирилівка» берегової радіостанції морського району А1 м. Бердянськ.</w:t>
      </w:r>
    </w:p>
    <w:p w:rsidR="00B35960" w:rsidRDefault="00B35960" w:rsidP="002F4E19">
      <w:pPr>
        <w:ind w:firstLine="360"/>
        <w:jc w:val="both"/>
        <w:rPr>
          <w:color w:val="000000"/>
          <w:lang w:val="uk-UA"/>
        </w:rPr>
      </w:pPr>
      <w:r>
        <w:rPr>
          <w:lang w:val="uk-UA"/>
        </w:rPr>
        <w:t>Право користування земельної ділянкою на о. Зміїний для розміщення та експлуатацію технічних засобів зв’язку підприємство отримало 19.10.2018 року.</w:t>
      </w:r>
    </w:p>
    <w:p w:rsidR="002F4E19" w:rsidRPr="00EF6E65" w:rsidRDefault="002F4E19" w:rsidP="002F4E19">
      <w:pPr>
        <w:ind w:firstLine="360"/>
        <w:jc w:val="both"/>
        <w:rPr>
          <w:color w:val="000000"/>
          <w:lang w:val="uk-UA"/>
        </w:rPr>
      </w:pPr>
      <w:r w:rsidRPr="00EF6E65">
        <w:rPr>
          <w:color w:val="000000"/>
          <w:lang w:val="uk-UA"/>
        </w:rPr>
        <w:t xml:space="preserve">У </w:t>
      </w:r>
      <w:r w:rsidR="00B35960">
        <w:rPr>
          <w:color w:val="000000"/>
          <w:lang w:val="uk-UA"/>
        </w:rPr>
        <w:t xml:space="preserve">2018 році </w:t>
      </w:r>
      <w:r w:rsidRPr="00EF6E65">
        <w:rPr>
          <w:color w:val="000000"/>
          <w:lang w:val="uk-UA"/>
        </w:rPr>
        <w:t>бу</w:t>
      </w:r>
      <w:r>
        <w:rPr>
          <w:color w:val="000000"/>
          <w:lang w:val="uk-UA"/>
        </w:rPr>
        <w:t>в</w:t>
      </w:r>
      <w:r w:rsidRPr="00EF6E65">
        <w:rPr>
          <w:color w:val="000000"/>
          <w:lang w:val="uk-UA"/>
        </w:rPr>
        <w:t xml:space="preserve"> розроблен</w:t>
      </w:r>
      <w:r>
        <w:rPr>
          <w:color w:val="000000"/>
          <w:lang w:val="uk-UA"/>
        </w:rPr>
        <w:t>ий</w:t>
      </w:r>
      <w:r w:rsidRPr="00EF6E65">
        <w:rPr>
          <w:color w:val="000000"/>
          <w:lang w:val="uk-UA"/>
        </w:rPr>
        <w:t xml:space="preserve"> </w:t>
      </w:r>
      <w:r w:rsidRPr="00EF6E65">
        <w:rPr>
          <w:lang w:val="uk-UA"/>
        </w:rPr>
        <w:t>нов</w:t>
      </w:r>
      <w:r>
        <w:rPr>
          <w:lang w:val="uk-UA"/>
        </w:rPr>
        <w:t>ий</w:t>
      </w:r>
      <w:r w:rsidRPr="00EF6E65">
        <w:rPr>
          <w:lang w:val="uk-UA"/>
        </w:rPr>
        <w:t xml:space="preserve"> розділ "Морська пошуково-рятувальна служба" та внесення його до Довідника кваліфікаційних характеристик професій працівників. Витрати </w:t>
      </w:r>
      <w:r w:rsidR="00B35960">
        <w:rPr>
          <w:lang w:val="uk-UA"/>
        </w:rPr>
        <w:t xml:space="preserve">складають </w:t>
      </w:r>
      <w:r>
        <w:rPr>
          <w:color w:val="000000"/>
          <w:lang w:val="uk-UA"/>
        </w:rPr>
        <w:t>120 тис</w:t>
      </w:r>
      <w:r w:rsidRPr="00EF6E65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грн.</w:t>
      </w:r>
      <w:r w:rsidRPr="00EF6E65">
        <w:rPr>
          <w:color w:val="000000"/>
          <w:lang w:val="uk-UA"/>
        </w:rPr>
        <w:t xml:space="preserve"> </w:t>
      </w:r>
    </w:p>
    <w:p w:rsidR="002F4E19" w:rsidRDefault="002F4E19" w:rsidP="00CB354E">
      <w:pPr>
        <w:pStyle w:val="10"/>
        <w:ind w:left="0" w:firstLine="360"/>
        <w:jc w:val="both"/>
        <w:rPr>
          <w:color w:val="000000"/>
          <w:lang w:val="uk-UA"/>
        </w:rPr>
      </w:pPr>
    </w:p>
    <w:p w:rsidR="00CB354E" w:rsidRDefault="00553969" w:rsidP="00CB354E">
      <w:pPr>
        <w:pStyle w:val="10"/>
        <w:ind w:left="0" w:firstLine="360"/>
        <w:jc w:val="both"/>
        <w:rPr>
          <w:lang w:val="uk-UA"/>
        </w:rPr>
      </w:pPr>
      <w:r w:rsidRPr="00553969">
        <w:rPr>
          <w:color w:val="000000"/>
          <w:lang w:val="uk-UA"/>
        </w:rPr>
        <w:t xml:space="preserve">Рядок </w:t>
      </w:r>
      <w:r>
        <w:rPr>
          <w:color w:val="000000"/>
          <w:lang w:val="uk-UA"/>
        </w:rPr>
        <w:t xml:space="preserve"> 4050 </w:t>
      </w:r>
      <w:r w:rsidRPr="00553969">
        <w:rPr>
          <w:lang w:val="uk-UA"/>
        </w:rPr>
        <w:t>Модернізація, модифікація (добудова, дообладнання, реконструкція) основних засобів</w:t>
      </w:r>
      <w:r>
        <w:rPr>
          <w:lang w:val="uk-UA"/>
        </w:rPr>
        <w:t xml:space="preserve"> виконаний на </w:t>
      </w:r>
      <w:r w:rsidR="00A44E64">
        <w:rPr>
          <w:lang w:val="uk-UA"/>
        </w:rPr>
        <w:t>26</w:t>
      </w:r>
      <w:r>
        <w:rPr>
          <w:lang w:val="uk-UA"/>
        </w:rPr>
        <w:t>,</w:t>
      </w:r>
      <w:r w:rsidR="00A44E64">
        <w:rPr>
          <w:lang w:val="uk-UA"/>
        </w:rPr>
        <w:t>3</w:t>
      </w:r>
      <w:r>
        <w:rPr>
          <w:lang w:val="uk-UA"/>
        </w:rPr>
        <w:t>%</w:t>
      </w:r>
      <w:r w:rsidR="00E64D85">
        <w:rPr>
          <w:lang w:val="uk-UA"/>
        </w:rPr>
        <w:t xml:space="preserve"> від плану</w:t>
      </w:r>
      <w:r>
        <w:rPr>
          <w:lang w:val="uk-UA"/>
        </w:rPr>
        <w:t>.</w:t>
      </w:r>
    </w:p>
    <w:p w:rsidR="00553969" w:rsidRDefault="00EC70C7" w:rsidP="00CB354E">
      <w:pPr>
        <w:pStyle w:val="10"/>
        <w:ind w:left="0"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4 кварталі </w:t>
      </w:r>
      <w:r w:rsidR="00706BD0">
        <w:rPr>
          <w:color w:val="000000"/>
          <w:lang w:val="uk-UA"/>
        </w:rPr>
        <w:t xml:space="preserve">2018 року </w:t>
      </w:r>
      <w:r>
        <w:rPr>
          <w:color w:val="000000"/>
          <w:lang w:val="uk-UA"/>
        </w:rPr>
        <w:t>бу</w:t>
      </w:r>
      <w:r w:rsidR="0049364B">
        <w:rPr>
          <w:color w:val="000000"/>
          <w:lang w:val="uk-UA"/>
        </w:rPr>
        <w:t>ла</w:t>
      </w:r>
      <w:r>
        <w:rPr>
          <w:color w:val="000000"/>
          <w:lang w:val="uk-UA"/>
        </w:rPr>
        <w:t xml:space="preserve"> отриман</w:t>
      </w:r>
      <w:r w:rsidR="0049364B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проектна документація на модернізацію плавучої бази рятувальних катерів «ПБРК-02» </w:t>
      </w:r>
      <w:r w:rsidR="006433DE">
        <w:rPr>
          <w:color w:val="000000"/>
          <w:lang w:val="uk-UA"/>
        </w:rPr>
        <w:t xml:space="preserve">у сумі 900 тис. грн. та проект </w:t>
      </w:r>
      <w:r>
        <w:rPr>
          <w:color w:val="000000"/>
          <w:lang w:val="uk-UA"/>
        </w:rPr>
        <w:t xml:space="preserve">реконструкції чотирьох поверхової  будівлі Морського рятувального </w:t>
      </w:r>
      <w:proofErr w:type="spellStart"/>
      <w:r>
        <w:rPr>
          <w:color w:val="000000"/>
          <w:lang w:val="uk-UA"/>
        </w:rPr>
        <w:t>підцентру</w:t>
      </w:r>
      <w:proofErr w:type="spellEnd"/>
      <w:r>
        <w:rPr>
          <w:color w:val="000000"/>
          <w:lang w:val="uk-UA"/>
        </w:rPr>
        <w:t xml:space="preserve"> у м. Бердянськ загальною площею 731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за  </w:t>
      </w:r>
      <w:proofErr w:type="spellStart"/>
      <w:r>
        <w:rPr>
          <w:color w:val="000000"/>
          <w:lang w:val="uk-UA"/>
        </w:rPr>
        <w:t>адресою</w:t>
      </w:r>
      <w:proofErr w:type="spellEnd"/>
      <w:r>
        <w:rPr>
          <w:color w:val="000000"/>
          <w:lang w:val="uk-UA"/>
        </w:rPr>
        <w:t>: вул. Горького, 12, м. Бердянськ</w:t>
      </w:r>
      <w:r w:rsidR="006433DE">
        <w:rPr>
          <w:color w:val="000000"/>
          <w:lang w:val="uk-UA"/>
        </w:rPr>
        <w:t xml:space="preserve"> у сумі 297 тис. грн. </w:t>
      </w:r>
    </w:p>
    <w:p w:rsidR="00EC70C7" w:rsidRPr="00553969" w:rsidRDefault="00CA5A2F" w:rsidP="00CB354E">
      <w:pPr>
        <w:pStyle w:val="10"/>
        <w:ind w:left="0"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Об’єкт капітальних інвестицій - п</w:t>
      </w:r>
      <w:r w:rsidR="00EC70C7">
        <w:rPr>
          <w:color w:val="000000"/>
          <w:lang w:val="uk-UA"/>
        </w:rPr>
        <w:t>роект реконструкції трансформаторної підстанції № 4796, що розташована в с</w:t>
      </w:r>
      <w:r w:rsidR="00E64D85">
        <w:rPr>
          <w:color w:val="000000"/>
          <w:lang w:val="uk-UA"/>
        </w:rPr>
        <w:t>мт</w:t>
      </w:r>
      <w:r w:rsidR="00EC70C7">
        <w:rPr>
          <w:color w:val="000000"/>
          <w:lang w:val="uk-UA"/>
        </w:rPr>
        <w:t xml:space="preserve"> Олександ</w:t>
      </w:r>
      <w:r w:rsidR="00706BD0">
        <w:rPr>
          <w:color w:val="000000"/>
          <w:lang w:val="uk-UA"/>
        </w:rPr>
        <w:t>р</w:t>
      </w:r>
      <w:r w:rsidR="00EC70C7">
        <w:rPr>
          <w:color w:val="000000"/>
          <w:lang w:val="uk-UA"/>
        </w:rPr>
        <w:t xml:space="preserve">івка вул. Судноремонтна, 33 </w:t>
      </w:r>
      <w:r>
        <w:rPr>
          <w:color w:val="000000"/>
          <w:lang w:val="uk-UA"/>
        </w:rPr>
        <w:t xml:space="preserve">- перенесений для освоєння у фінансовий </w:t>
      </w:r>
      <w:r w:rsidR="009340B7">
        <w:rPr>
          <w:color w:val="000000"/>
          <w:lang w:val="uk-UA"/>
        </w:rPr>
        <w:t xml:space="preserve">план </w:t>
      </w:r>
      <w:r>
        <w:rPr>
          <w:color w:val="000000"/>
          <w:lang w:val="uk-UA"/>
        </w:rPr>
        <w:t xml:space="preserve">2019 року у зв’язку із </w:t>
      </w:r>
      <w:r w:rsidR="00E64D85">
        <w:rPr>
          <w:color w:val="000000"/>
          <w:lang w:val="uk-UA"/>
        </w:rPr>
        <w:t xml:space="preserve">невизначеним строку розгляду </w:t>
      </w:r>
      <w:r>
        <w:rPr>
          <w:lang w:val="uk-UA"/>
        </w:rPr>
        <w:t xml:space="preserve">Іллічівської </w:t>
      </w:r>
      <w:r w:rsidRPr="005527AD">
        <w:rPr>
          <w:lang w:val="uk-UA"/>
        </w:rPr>
        <w:t>адміністрацією надання дозволу на переоформлення земельної ділянки</w:t>
      </w:r>
      <w:r>
        <w:rPr>
          <w:color w:val="000000"/>
          <w:lang w:val="uk-UA"/>
        </w:rPr>
        <w:t xml:space="preserve"> с. Олександ</w:t>
      </w:r>
      <w:r w:rsidR="00706BD0">
        <w:rPr>
          <w:color w:val="000000"/>
          <w:lang w:val="uk-UA"/>
        </w:rPr>
        <w:t>р</w:t>
      </w:r>
      <w:r>
        <w:rPr>
          <w:color w:val="000000"/>
          <w:lang w:val="uk-UA"/>
        </w:rPr>
        <w:t>івка.</w:t>
      </w:r>
    </w:p>
    <w:p w:rsidR="00553969" w:rsidRDefault="00553969" w:rsidP="005527AD">
      <w:pPr>
        <w:ind w:firstLine="360"/>
        <w:jc w:val="both"/>
        <w:rPr>
          <w:lang w:val="uk-UA"/>
        </w:rPr>
      </w:pPr>
    </w:p>
    <w:p w:rsidR="00E646D6" w:rsidRPr="004C1ACD" w:rsidRDefault="00E646D6" w:rsidP="00AD3C16">
      <w:pPr>
        <w:pStyle w:val="10"/>
        <w:ind w:left="0" w:firstLine="708"/>
        <w:jc w:val="both"/>
        <w:rPr>
          <w:color w:val="000000"/>
          <w:lang w:val="uk-UA"/>
        </w:rPr>
      </w:pPr>
    </w:p>
    <w:p w:rsidR="00F15EDB" w:rsidRPr="00056B12" w:rsidRDefault="00484ABA" w:rsidP="0085001A">
      <w:pPr>
        <w:jc w:val="center"/>
        <w:rPr>
          <w:rFonts w:eastAsia="Calibri"/>
          <w:b/>
          <w:color w:val="000000" w:themeColor="text1"/>
          <w:lang w:val="uk-UA"/>
        </w:rPr>
      </w:pPr>
      <w:r w:rsidRPr="00056B12">
        <w:rPr>
          <w:rFonts w:eastAsia="Calibri"/>
          <w:b/>
          <w:color w:val="000000" w:themeColor="text1"/>
          <w:lang w:val="uk-UA"/>
        </w:rPr>
        <w:t>Результати діяльності підрозділів КП «МПРС» з виконання функції  пошуку та рятування.</w:t>
      </w:r>
    </w:p>
    <w:p w:rsidR="00484ABA" w:rsidRPr="00056B12" w:rsidRDefault="00484ABA" w:rsidP="00F15EDB">
      <w:pPr>
        <w:ind w:firstLine="708"/>
        <w:jc w:val="both"/>
        <w:rPr>
          <w:rFonts w:eastAsia="Calibri"/>
          <w:color w:val="000000" w:themeColor="text1"/>
          <w:lang w:val="uk-UA"/>
        </w:rPr>
      </w:pPr>
    </w:p>
    <w:p w:rsidR="00056B12" w:rsidRPr="00552155" w:rsidRDefault="00056B12" w:rsidP="00056B12">
      <w:pPr>
        <w:ind w:firstLine="708"/>
        <w:jc w:val="both"/>
        <w:rPr>
          <w:rFonts w:eastAsia="Calibri"/>
          <w:color w:val="000000" w:themeColor="text1"/>
          <w:lang w:val="uk-UA"/>
        </w:rPr>
      </w:pPr>
      <w:r w:rsidRPr="00552155">
        <w:rPr>
          <w:bCs/>
          <w:lang w:val="uk-UA"/>
        </w:rPr>
        <w:t>Показник ефективності системи морського та авіаційного пошуку і рятування розрахований відповідно до вимог Розділу 5.6 «Оцінка системи» Керівництва з міжнародного авіаційного і морського пошуку і рятування (ІМО/ІКАО)</w:t>
      </w:r>
      <w:r w:rsidRPr="00552155">
        <w:rPr>
          <w:lang w:val="uk-UA"/>
        </w:rPr>
        <w:t xml:space="preserve"> (далі </w:t>
      </w:r>
      <w:r w:rsidRPr="00552155">
        <w:rPr>
          <w:bCs/>
          <w:lang w:val="uk-UA"/>
        </w:rPr>
        <w:t>Керівництва МАМПР</w:t>
      </w:r>
      <w:r w:rsidRPr="00552155">
        <w:rPr>
          <w:lang w:val="uk-UA"/>
        </w:rPr>
        <w:t>) згідно до інформації, наданої ДМРКЦ КП «МПРС» за результатами роботи у 2018 ро</w:t>
      </w:r>
      <w:r w:rsidR="00E30E0F" w:rsidRPr="00552155">
        <w:rPr>
          <w:lang w:val="uk-UA"/>
        </w:rPr>
        <w:t>ці</w:t>
      </w:r>
      <w:r w:rsidRPr="00552155">
        <w:rPr>
          <w:lang w:val="uk-UA"/>
        </w:rPr>
        <w:t xml:space="preserve"> складає </w:t>
      </w:r>
      <w:r w:rsidR="00C85E7A" w:rsidRPr="00552155">
        <w:rPr>
          <w:lang w:val="uk-UA"/>
        </w:rPr>
        <w:t>0,9</w:t>
      </w:r>
      <w:r w:rsidR="001F73A5" w:rsidRPr="00552155">
        <w:rPr>
          <w:lang w:val="uk-UA"/>
        </w:rPr>
        <w:t>8</w:t>
      </w:r>
      <w:r w:rsidRPr="00552155">
        <w:rPr>
          <w:lang w:val="uk-UA"/>
        </w:rPr>
        <w:t xml:space="preserve">. </w:t>
      </w:r>
    </w:p>
    <w:p w:rsidR="00056B12" w:rsidRPr="00552155" w:rsidRDefault="00056B12" w:rsidP="00056B12">
      <w:pPr>
        <w:pStyle w:val="ab"/>
        <w:jc w:val="both"/>
        <w:rPr>
          <w:rFonts w:eastAsia="Calibri"/>
          <w:color w:val="000000" w:themeColor="text1"/>
          <w:lang w:val="uk-UA"/>
        </w:rPr>
      </w:pPr>
    </w:p>
    <w:p w:rsidR="00056B12" w:rsidRPr="00056B12" w:rsidRDefault="00056B12" w:rsidP="00552155">
      <w:pPr>
        <w:ind w:firstLine="708"/>
        <w:jc w:val="both"/>
        <w:rPr>
          <w:rFonts w:eastAsia="Calibri"/>
          <w:color w:val="000000" w:themeColor="text1"/>
          <w:lang w:val="uk-UA"/>
        </w:rPr>
      </w:pPr>
      <w:r w:rsidRPr="00552155">
        <w:rPr>
          <w:rFonts w:eastAsia="Calibri"/>
          <w:color w:val="000000" w:themeColor="text1"/>
          <w:lang w:val="uk-UA"/>
        </w:rPr>
        <w:t>За період з 01.0</w:t>
      </w:r>
      <w:r w:rsidR="00E30E0F" w:rsidRPr="00552155">
        <w:rPr>
          <w:rFonts w:eastAsia="Calibri"/>
          <w:color w:val="000000" w:themeColor="text1"/>
          <w:lang w:val="uk-UA"/>
        </w:rPr>
        <w:t>1</w:t>
      </w:r>
      <w:r w:rsidRPr="00552155">
        <w:rPr>
          <w:rFonts w:eastAsia="Calibri"/>
          <w:color w:val="000000" w:themeColor="text1"/>
          <w:lang w:val="uk-UA"/>
        </w:rPr>
        <w:t>.2018 року по 3</w:t>
      </w:r>
      <w:r w:rsidR="002F7DCD" w:rsidRPr="00552155">
        <w:rPr>
          <w:rFonts w:eastAsia="Calibri"/>
          <w:color w:val="000000" w:themeColor="text1"/>
          <w:lang w:val="uk-UA"/>
        </w:rPr>
        <w:t>1</w:t>
      </w:r>
      <w:r w:rsidRPr="00552155">
        <w:rPr>
          <w:rFonts w:eastAsia="Calibri"/>
          <w:color w:val="000000" w:themeColor="text1"/>
          <w:lang w:val="uk-UA"/>
        </w:rPr>
        <w:t>.</w:t>
      </w:r>
      <w:r w:rsidR="002F7DCD" w:rsidRPr="00552155">
        <w:rPr>
          <w:rFonts w:eastAsia="Calibri"/>
          <w:color w:val="000000" w:themeColor="text1"/>
          <w:lang w:val="uk-UA"/>
        </w:rPr>
        <w:t>12</w:t>
      </w:r>
      <w:r w:rsidRPr="00552155">
        <w:rPr>
          <w:rFonts w:eastAsia="Calibri"/>
          <w:color w:val="000000" w:themeColor="text1"/>
          <w:lang w:val="uk-UA"/>
        </w:rPr>
        <w:t xml:space="preserve">.2018 року за безпосередньою координацією Державного морського координаційного центру та морського рятувального </w:t>
      </w:r>
      <w:proofErr w:type="spellStart"/>
      <w:r w:rsidRPr="00552155">
        <w:rPr>
          <w:rFonts w:eastAsia="Calibri"/>
          <w:color w:val="000000" w:themeColor="text1"/>
          <w:lang w:val="uk-UA"/>
        </w:rPr>
        <w:t>підцентру</w:t>
      </w:r>
      <w:proofErr w:type="spellEnd"/>
      <w:r w:rsidRPr="00552155">
        <w:rPr>
          <w:rFonts w:eastAsia="Calibri"/>
          <w:color w:val="000000" w:themeColor="text1"/>
          <w:lang w:val="uk-UA"/>
        </w:rPr>
        <w:t xml:space="preserve"> КП</w:t>
      </w:r>
      <w:r w:rsidRPr="00056B12">
        <w:rPr>
          <w:rFonts w:eastAsia="Calibri"/>
          <w:color w:val="000000" w:themeColor="text1"/>
          <w:lang w:val="uk-UA"/>
        </w:rPr>
        <w:t xml:space="preserve"> «МПРС» було проведено </w:t>
      </w:r>
      <w:r w:rsidR="00152A44">
        <w:rPr>
          <w:rFonts w:eastAsia="Calibri"/>
          <w:color w:val="000000" w:themeColor="text1"/>
          <w:lang w:val="uk-UA"/>
        </w:rPr>
        <w:t>43</w:t>
      </w:r>
      <w:r w:rsidRPr="00056B12">
        <w:rPr>
          <w:rFonts w:eastAsia="Calibri"/>
          <w:color w:val="000000" w:themeColor="text1"/>
          <w:lang w:val="uk-UA"/>
        </w:rPr>
        <w:t xml:space="preserve"> операці</w:t>
      </w:r>
      <w:r w:rsidR="00274A8E">
        <w:rPr>
          <w:rFonts w:eastAsia="Calibri"/>
          <w:color w:val="000000" w:themeColor="text1"/>
          <w:lang w:val="uk-UA"/>
        </w:rPr>
        <w:t>й</w:t>
      </w:r>
      <w:r w:rsidRPr="00056B12">
        <w:rPr>
          <w:rFonts w:eastAsia="Calibri"/>
          <w:color w:val="000000" w:themeColor="text1"/>
          <w:lang w:val="uk-UA"/>
        </w:rPr>
        <w:t xml:space="preserve"> з координації пошуку та рятування в пошуково-рятувальному районі України</w:t>
      </w:r>
      <w:r w:rsidR="00152A44">
        <w:rPr>
          <w:rFonts w:eastAsia="Calibri"/>
          <w:color w:val="000000" w:themeColor="text1"/>
          <w:lang w:val="uk-UA"/>
        </w:rPr>
        <w:t xml:space="preserve"> та 4 операції з медичної евакуації</w:t>
      </w:r>
      <w:r w:rsidRPr="00056B12">
        <w:rPr>
          <w:rFonts w:eastAsia="Calibri"/>
          <w:color w:val="000000" w:themeColor="text1"/>
          <w:lang w:val="uk-UA"/>
        </w:rPr>
        <w:t>.</w:t>
      </w:r>
    </w:p>
    <w:p w:rsidR="00056B12" w:rsidRPr="00056B12" w:rsidRDefault="00056B12" w:rsidP="00056B12">
      <w:pPr>
        <w:pStyle w:val="ab"/>
        <w:jc w:val="both"/>
        <w:rPr>
          <w:rFonts w:eastAsia="Calibri"/>
          <w:color w:val="000000" w:themeColor="text1"/>
          <w:lang w:val="uk-UA"/>
        </w:rPr>
      </w:pPr>
    </w:p>
    <w:p w:rsidR="00056B12" w:rsidRPr="00056B12" w:rsidRDefault="00056B12" w:rsidP="00056B12">
      <w:pPr>
        <w:ind w:firstLine="708"/>
        <w:jc w:val="both"/>
        <w:rPr>
          <w:rFonts w:eastAsia="Calibri"/>
          <w:color w:val="000000" w:themeColor="text1"/>
          <w:lang w:val="uk-UA"/>
        </w:rPr>
      </w:pPr>
      <w:r w:rsidRPr="00056B12">
        <w:rPr>
          <w:rFonts w:eastAsia="Calibri"/>
          <w:color w:val="000000" w:themeColor="text1"/>
          <w:lang w:val="uk-UA"/>
        </w:rPr>
        <w:t>При проведенні пошуково-рятувальних операцій:</w:t>
      </w:r>
    </w:p>
    <w:p w:rsidR="00056B12" w:rsidRPr="00056B12" w:rsidRDefault="00056B12" w:rsidP="00056B12">
      <w:pPr>
        <w:ind w:firstLine="708"/>
        <w:jc w:val="both"/>
        <w:rPr>
          <w:rFonts w:eastAsia="Calibri"/>
          <w:color w:val="000000" w:themeColor="text1"/>
          <w:lang w:val="uk-UA"/>
        </w:rPr>
      </w:pPr>
      <w:r w:rsidRPr="00056B12">
        <w:rPr>
          <w:rFonts w:eastAsia="Calibri"/>
          <w:color w:val="000000" w:themeColor="text1"/>
          <w:lang w:val="uk-UA"/>
        </w:rPr>
        <w:t>Врятовано (</w:t>
      </w:r>
      <w:proofErr w:type="spellStart"/>
      <w:r w:rsidRPr="00056B12">
        <w:rPr>
          <w:rFonts w:eastAsia="Calibri"/>
          <w:color w:val="000000" w:themeColor="text1"/>
          <w:lang w:val="uk-UA"/>
        </w:rPr>
        <w:t>К</w:t>
      </w:r>
      <w:r w:rsidRPr="00056B12">
        <w:rPr>
          <w:rFonts w:eastAsia="Calibri"/>
          <w:color w:val="000000" w:themeColor="text1"/>
          <w:vertAlign w:val="subscript"/>
          <w:lang w:val="uk-UA"/>
        </w:rPr>
        <w:t>в</w:t>
      </w:r>
      <w:proofErr w:type="spellEnd"/>
      <w:r w:rsidRPr="00056B12">
        <w:rPr>
          <w:rFonts w:eastAsia="Calibri"/>
          <w:color w:val="000000" w:themeColor="text1"/>
          <w:lang w:val="uk-UA"/>
        </w:rPr>
        <w:t xml:space="preserve">) </w:t>
      </w:r>
      <w:r w:rsidR="00152A44">
        <w:rPr>
          <w:rFonts w:eastAsia="Calibri"/>
          <w:color w:val="000000" w:themeColor="text1"/>
          <w:lang w:val="uk-UA"/>
        </w:rPr>
        <w:t>45</w:t>
      </w:r>
      <w:r w:rsidRPr="00056B12">
        <w:rPr>
          <w:rFonts w:eastAsia="Calibri"/>
          <w:color w:val="000000" w:themeColor="text1"/>
          <w:lang w:val="uk-UA"/>
        </w:rPr>
        <w:t xml:space="preserve"> ос</w:t>
      </w:r>
      <w:r w:rsidR="00C37848">
        <w:rPr>
          <w:rFonts w:eastAsia="Calibri"/>
          <w:color w:val="000000" w:themeColor="text1"/>
          <w:lang w:val="uk-UA"/>
        </w:rPr>
        <w:t>і</w:t>
      </w:r>
      <w:r w:rsidRPr="00056B12">
        <w:rPr>
          <w:rFonts w:eastAsia="Calibri"/>
          <w:color w:val="000000" w:themeColor="text1"/>
          <w:lang w:val="uk-UA"/>
        </w:rPr>
        <w:t>б</w:t>
      </w:r>
      <w:r w:rsidR="00152A44">
        <w:rPr>
          <w:rFonts w:eastAsia="Calibri"/>
          <w:color w:val="000000" w:themeColor="text1"/>
          <w:lang w:val="uk-UA"/>
        </w:rPr>
        <w:t xml:space="preserve"> з яких 4 надано медичну евакуацію</w:t>
      </w:r>
      <w:r w:rsidRPr="00056B12">
        <w:rPr>
          <w:rFonts w:eastAsia="Calibri"/>
          <w:color w:val="000000" w:themeColor="text1"/>
          <w:lang w:val="uk-UA"/>
        </w:rPr>
        <w:t>;</w:t>
      </w:r>
    </w:p>
    <w:p w:rsidR="00056B12" w:rsidRPr="00056B12" w:rsidRDefault="003C0E6B" w:rsidP="00056B12">
      <w:pPr>
        <w:pStyle w:val="ab"/>
        <w:jc w:val="both"/>
        <w:rPr>
          <w:rFonts w:eastAsia="Calibri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t xml:space="preserve">Неврятовані </w:t>
      </w:r>
      <w:r w:rsidR="00056B12" w:rsidRPr="00056B12">
        <w:rPr>
          <w:rFonts w:eastAsia="Calibri"/>
          <w:color w:val="000000" w:themeColor="text1"/>
          <w:lang w:val="uk-UA"/>
        </w:rPr>
        <w:t>(</w:t>
      </w:r>
      <w:proofErr w:type="spellStart"/>
      <w:r w:rsidR="00056B12" w:rsidRPr="00056B12">
        <w:rPr>
          <w:rFonts w:eastAsia="Calibri"/>
          <w:color w:val="000000" w:themeColor="text1"/>
          <w:lang w:val="uk-UA"/>
        </w:rPr>
        <w:t>К</w:t>
      </w:r>
      <w:r w:rsidR="00056B12" w:rsidRPr="00056B12">
        <w:rPr>
          <w:rFonts w:eastAsia="Calibri"/>
          <w:color w:val="000000" w:themeColor="text1"/>
          <w:vertAlign w:val="subscript"/>
          <w:lang w:val="uk-UA"/>
        </w:rPr>
        <w:t>н</w:t>
      </w:r>
      <w:proofErr w:type="spellEnd"/>
      <w:r w:rsidR="00056B12" w:rsidRPr="00056B12">
        <w:rPr>
          <w:rFonts w:eastAsia="Calibri"/>
          <w:color w:val="000000" w:themeColor="text1"/>
          <w:lang w:val="uk-UA"/>
        </w:rPr>
        <w:t>)</w:t>
      </w:r>
      <w:r w:rsidR="00E43C8E">
        <w:rPr>
          <w:rFonts w:eastAsia="Calibri"/>
          <w:color w:val="000000" w:themeColor="text1"/>
          <w:lang w:val="uk-UA"/>
        </w:rPr>
        <w:t xml:space="preserve"> після отримання </w:t>
      </w:r>
      <w:r w:rsidR="00056B12" w:rsidRPr="00056B12">
        <w:rPr>
          <w:rFonts w:eastAsia="Calibri"/>
          <w:color w:val="000000" w:themeColor="text1"/>
          <w:lang w:val="uk-UA"/>
        </w:rPr>
        <w:t xml:space="preserve"> </w:t>
      </w:r>
      <w:r w:rsidR="00E43C8E">
        <w:rPr>
          <w:rFonts w:eastAsia="Calibri"/>
          <w:color w:val="000000" w:themeColor="text1"/>
          <w:lang w:val="uk-UA"/>
        </w:rPr>
        <w:t xml:space="preserve">повідомлення про лихо </w:t>
      </w:r>
      <w:r w:rsidR="00056B12" w:rsidRPr="00056B12">
        <w:rPr>
          <w:rFonts w:eastAsia="Calibri"/>
          <w:color w:val="000000" w:themeColor="text1"/>
          <w:lang w:val="uk-UA"/>
        </w:rPr>
        <w:t xml:space="preserve">– </w:t>
      </w:r>
      <w:r w:rsidR="004035BB">
        <w:rPr>
          <w:rFonts w:eastAsia="Calibri"/>
          <w:color w:val="000000" w:themeColor="text1"/>
          <w:lang w:val="uk-UA"/>
        </w:rPr>
        <w:t>1</w:t>
      </w:r>
      <w:r w:rsidR="00056B12" w:rsidRPr="00056B12">
        <w:rPr>
          <w:rFonts w:eastAsia="Calibri"/>
          <w:color w:val="000000" w:themeColor="text1"/>
          <w:lang w:val="uk-UA"/>
        </w:rPr>
        <w:t xml:space="preserve"> ос</w:t>
      </w:r>
      <w:r w:rsidR="004035BB">
        <w:rPr>
          <w:rFonts w:eastAsia="Calibri"/>
          <w:color w:val="000000" w:themeColor="text1"/>
          <w:lang w:val="uk-UA"/>
        </w:rPr>
        <w:t>о</w:t>
      </w:r>
      <w:r w:rsidR="00056B12" w:rsidRPr="00056B12">
        <w:rPr>
          <w:rFonts w:eastAsia="Calibri"/>
          <w:color w:val="000000" w:themeColor="text1"/>
          <w:lang w:val="uk-UA"/>
        </w:rPr>
        <w:t>б</w:t>
      </w:r>
      <w:r w:rsidR="004035BB">
        <w:rPr>
          <w:rFonts w:eastAsia="Calibri"/>
          <w:color w:val="000000" w:themeColor="text1"/>
          <w:lang w:val="uk-UA"/>
        </w:rPr>
        <w:t>а</w:t>
      </w:r>
      <w:r w:rsidR="00056B12" w:rsidRPr="00056B12">
        <w:rPr>
          <w:rFonts w:eastAsia="Calibri"/>
          <w:color w:val="000000" w:themeColor="text1"/>
          <w:lang w:val="uk-UA"/>
        </w:rPr>
        <w:t>;</w:t>
      </w:r>
    </w:p>
    <w:p w:rsidR="00056B12" w:rsidRPr="00056B12" w:rsidRDefault="00056B12" w:rsidP="00056B12">
      <w:pPr>
        <w:pStyle w:val="ab"/>
        <w:jc w:val="both"/>
        <w:rPr>
          <w:rFonts w:eastAsia="Calibri"/>
          <w:color w:val="000000" w:themeColor="text1"/>
          <w:lang w:val="uk-UA"/>
        </w:rPr>
      </w:pPr>
    </w:p>
    <w:p w:rsidR="00056B12" w:rsidRPr="00056B12" w:rsidRDefault="00056B12" w:rsidP="00056B12">
      <w:pPr>
        <w:jc w:val="both"/>
        <w:rPr>
          <w:rFonts w:eastAsia="Calibri"/>
          <w:color w:val="000000" w:themeColor="text1"/>
          <w:lang w:val="uk-UA"/>
        </w:rPr>
      </w:pPr>
      <w:r w:rsidRPr="00056B12">
        <w:rPr>
          <w:rFonts w:eastAsia="Calibri"/>
          <w:color w:val="000000" w:themeColor="text1"/>
          <w:lang w:val="uk-UA"/>
        </w:rPr>
        <w:t xml:space="preserve">Враховуючи дані викладені вище коефіцієнт ефективності системи </w:t>
      </w:r>
      <w:r w:rsidRPr="00056B12">
        <w:rPr>
          <w:rFonts w:eastAsia="Calibri"/>
          <w:color w:val="000000" w:themeColor="text1"/>
          <w:lang w:val="en-US"/>
        </w:rPr>
        <w:t>SAR</w:t>
      </w:r>
      <w:r w:rsidRPr="00056B12">
        <w:rPr>
          <w:rFonts w:eastAsia="Calibri"/>
          <w:color w:val="000000" w:themeColor="text1"/>
          <w:lang w:val="uk-UA"/>
        </w:rPr>
        <w:t xml:space="preserve"> </w:t>
      </w:r>
      <w:r w:rsidR="00152A44">
        <w:rPr>
          <w:rFonts w:eastAsia="Calibri"/>
          <w:color w:val="000000" w:themeColor="text1"/>
          <w:lang w:val="uk-UA"/>
        </w:rPr>
        <w:t xml:space="preserve">за </w:t>
      </w:r>
      <w:r w:rsidRPr="00056B12">
        <w:rPr>
          <w:rFonts w:eastAsia="Calibri"/>
          <w:color w:val="000000" w:themeColor="text1"/>
          <w:lang w:val="uk-UA"/>
        </w:rPr>
        <w:t>2018 р</w:t>
      </w:r>
      <w:r w:rsidR="00152A44">
        <w:rPr>
          <w:rFonts w:eastAsia="Calibri"/>
          <w:color w:val="000000" w:themeColor="text1"/>
          <w:lang w:val="uk-UA"/>
        </w:rPr>
        <w:t xml:space="preserve">ік </w:t>
      </w:r>
      <w:r w:rsidRPr="00056B12">
        <w:rPr>
          <w:rFonts w:eastAsia="Calibri"/>
          <w:color w:val="000000" w:themeColor="text1"/>
          <w:lang w:val="uk-UA"/>
        </w:rPr>
        <w:t>дорівнює:</w:t>
      </w:r>
    </w:p>
    <w:p w:rsidR="00056B12" w:rsidRPr="00056B12" w:rsidRDefault="00056B12" w:rsidP="00056B12">
      <w:pPr>
        <w:pStyle w:val="ab"/>
        <w:jc w:val="both"/>
        <w:rPr>
          <w:rFonts w:eastAsia="Calibri"/>
          <w:color w:val="000000" w:themeColor="text1"/>
          <w:lang w:val="uk-UA"/>
        </w:rPr>
      </w:pPr>
    </w:p>
    <w:p w:rsidR="00056B12" w:rsidRPr="00056B12" w:rsidRDefault="00056B12" w:rsidP="00056B12">
      <w:pPr>
        <w:pStyle w:val="ab"/>
        <w:jc w:val="both"/>
        <w:rPr>
          <w:rFonts w:eastAsia="Calibri"/>
          <w:color w:val="000000" w:themeColor="text1"/>
          <w:lang w:val="uk-UA"/>
        </w:rPr>
      </w:pPr>
      <w:proofErr w:type="spellStart"/>
      <w:r w:rsidRPr="00056B12">
        <w:rPr>
          <w:rFonts w:eastAsia="Calibri"/>
          <w:color w:val="000000" w:themeColor="text1"/>
          <w:lang w:val="uk-UA"/>
        </w:rPr>
        <w:t>П</w:t>
      </w:r>
      <w:r w:rsidRPr="00056B12">
        <w:rPr>
          <w:rFonts w:eastAsia="Calibri"/>
          <w:color w:val="000000" w:themeColor="text1"/>
          <w:vertAlign w:val="subscript"/>
          <w:lang w:val="uk-UA"/>
        </w:rPr>
        <w:t>е</w:t>
      </w:r>
      <w:proofErr w:type="spellEnd"/>
      <w:r w:rsidRPr="00056B12">
        <w:rPr>
          <w:rFonts w:eastAsia="Calibri"/>
          <w:color w:val="000000" w:themeColor="text1"/>
          <w:lang w:val="uk-UA"/>
        </w:rPr>
        <w:t xml:space="preserve">= </w:t>
      </w:r>
      <w:proofErr w:type="spellStart"/>
      <w:r w:rsidRPr="00056B12">
        <w:rPr>
          <w:rFonts w:eastAsia="Calibri"/>
          <w:color w:val="000000" w:themeColor="text1"/>
          <w:lang w:val="uk-UA"/>
        </w:rPr>
        <w:t>К</w:t>
      </w:r>
      <w:r w:rsidRPr="00056B12">
        <w:rPr>
          <w:rFonts w:eastAsia="Calibri"/>
          <w:color w:val="000000" w:themeColor="text1"/>
          <w:vertAlign w:val="subscript"/>
          <w:lang w:val="uk-UA"/>
        </w:rPr>
        <w:t>в</w:t>
      </w:r>
      <w:proofErr w:type="spellEnd"/>
      <w:r w:rsidRPr="00056B12">
        <w:rPr>
          <w:rFonts w:eastAsia="Calibri"/>
          <w:color w:val="000000" w:themeColor="text1"/>
          <w:lang w:val="uk-UA"/>
        </w:rPr>
        <w:t>/(</w:t>
      </w:r>
      <w:proofErr w:type="spellStart"/>
      <w:r w:rsidRPr="00056B12">
        <w:rPr>
          <w:rFonts w:eastAsia="Calibri"/>
          <w:color w:val="000000" w:themeColor="text1"/>
          <w:lang w:val="uk-UA"/>
        </w:rPr>
        <w:t>К</w:t>
      </w:r>
      <w:r w:rsidRPr="00056B12">
        <w:rPr>
          <w:rFonts w:eastAsia="Calibri"/>
          <w:color w:val="000000" w:themeColor="text1"/>
          <w:vertAlign w:val="subscript"/>
          <w:lang w:val="uk-UA"/>
        </w:rPr>
        <w:t>в</w:t>
      </w:r>
      <w:r w:rsidRPr="00056B12">
        <w:rPr>
          <w:rFonts w:eastAsia="Calibri"/>
          <w:color w:val="000000" w:themeColor="text1"/>
          <w:lang w:val="uk-UA"/>
        </w:rPr>
        <w:t>+К</w:t>
      </w:r>
      <w:r w:rsidRPr="00056B12">
        <w:rPr>
          <w:rFonts w:eastAsia="Calibri"/>
          <w:color w:val="000000" w:themeColor="text1"/>
          <w:vertAlign w:val="subscript"/>
          <w:lang w:val="uk-UA"/>
        </w:rPr>
        <w:t>н</w:t>
      </w:r>
      <w:proofErr w:type="spellEnd"/>
      <w:r w:rsidRPr="00056B12">
        <w:rPr>
          <w:rFonts w:eastAsia="Calibri"/>
          <w:color w:val="000000" w:themeColor="text1"/>
          <w:vertAlign w:val="subscript"/>
          <w:lang w:val="uk-UA"/>
        </w:rPr>
        <w:t>)</w:t>
      </w:r>
      <w:r w:rsidRPr="00056B12">
        <w:rPr>
          <w:rFonts w:eastAsia="Calibri"/>
          <w:color w:val="000000" w:themeColor="text1"/>
          <w:lang w:val="uk-UA"/>
        </w:rPr>
        <w:t xml:space="preserve">= </w:t>
      </w:r>
      <w:r w:rsidR="00152A44">
        <w:rPr>
          <w:rFonts w:eastAsia="Calibri"/>
          <w:color w:val="000000" w:themeColor="text1"/>
          <w:lang w:val="uk-UA"/>
        </w:rPr>
        <w:t>45</w:t>
      </w:r>
      <w:r w:rsidRPr="00056B12">
        <w:rPr>
          <w:rFonts w:eastAsia="Calibri"/>
          <w:color w:val="000000" w:themeColor="text1"/>
          <w:lang w:val="uk-UA"/>
        </w:rPr>
        <w:t xml:space="preserve"> / (</w:t>
      </w:r>
      <w:r w:rsidR="00152A44">
        <w:rPr>
          <w:rFonts w:eastAsia="Calibri"/>
          <w:color w:val="000000" w:themeColor="text1"/>
          <w:lang w:val="uk-UA"/>
        </w:rPr>
        <w:t>45</w:t>
      </w:r>
      <w:r w:rsidRPr="00056B12">
        <w:rPr>
          <w:rFonts w:eastAsia="Calibri"/>
          <w:color w:val="000000" w:themeColor="text1"/>
          <w:lang w:val="uk-UA"/>
        </w:rPr>
        <w:t>+</w:t>
      </w:r>
      <w:r w:rsidR="004035BB">
        <w:rPr>
          <w:rFonts w:eastAsia="Calibri"/>
          <w:color w:val="000000" w:themeColor="text1"/>
          <w:lang w:val="uk-UA"/>
        </w:rPr>
        <w:t>1</w:t>
      </w:r>
      <w:r w:rsidRPr="00056B12">
        <w:rPr>
          <w:rFonts w:eastAsia="Calibri"/>
          <w:color w:val="000000" w:themeColor="text1"/>
          <w:lang w:val="uk-UA"/>
        </w:rPr>
        <w:t xml:space="preserve">) = </w:t>
      </w:r>
      <w:r w:rsidR="004035BB">
        <w:rPr>
          <w:rFonts w:eastAsia="Calibri"/>
          <w:color w:val="000000" w:themeColor="text1"/>
          <w:lang w:val="uk-UA"/>
        </w:rPr>
        <w:t>0,9</w:t>
      </w:r>
      <w:r w:rsidR="00152A44">
        <w:rPr>
          <w:rFonts w:eastAsia="Calibri"/>
          <w:color w:val="000000" w:themeColor="text1"/>
          <w:lang w:val="uk-UA"/>
        </w:rPr>
        <w:t>8</w:t>
      </w:r>
    </w:p>
    <w:p w:rsidR="00056B12" w:rsidRPr="00056B12" w:rsidRDefault="00056B12" w:rsidP="00056B12">
      <w:pPr>
        <w:pStyle w:val="ab"/>
        <w:jc w:val="both"/>
        <w:rPr>
          <w:lang w:val="uk-UA"/>
        </w:rPr>
      </w:pPr>
    </w:p>
    <w:p w:rsidR="00056B12" w:rsidRPr="00056B12" w:rsidRDefault="00056B12" w:rsidP="00056B12">
      <w:pPr>
        <w:jc w:val="both"/>
        <w:rPr>
          <w:lang w:val="uk-UA"/>
        </w:rPr>
      </w:pPr>
      <w:r w:rsidRPr="00056B12">
        <w:rPr>
          <w:lang w:val="uk-UA"/>
        </w:rPr>
        <w:t xml:space="preserve">Граничний показник ефективності </w:t>
      </w:r>
      <w:r w:rsidRPr="00056B12">
        <w:rPr>
          <w:bCs/>
          <w:lang w:val="uk-UA"/>
        </w:rPr>
        <w:t>системи згідно п. 5.6.9 Керівництва МАМПР складає 0,67</w:t>
      </w:r>
      <w:r w:rsidRPr="00056B12">
        <w:rPr>
          <w:lang w:val="uk-UA"/>
        </w:rPr>
        <w:t xml:space="preserve">.  </w:t>
      </w:r>
      <w:r w:rsidRPr="00056B12">
        <w:rPr>
          <w:bCs/>
          <w:lang w:val="uk-UA"/>
        </w:rPr>
        <w:t xml:space="preserve">Показник ефективності системи морського та авіаційного пошуку і рятування </w:t>
      </w:r>
      <w:r w:rsidR="00152A44">
        <w:rPr>
          <w:bCs/>
          <w:lang w:val="uk-UA"/>
        </w:rPr>
        <w:t xml:space="preserve">за </w:t>
      </w:r>
      <w:r w:rsidRPr="00056B12">
        <w:rPr>
          <w:bCs/>
          <w:lang w:val="uk-UA"/>
        </w:rPr>
        <w:t>2018 р</w:t>
      </w:r>
      <w:r w:rsidR="00152A44">
        <w:rPr>
          <w:bCs/>
          <w:lang w:val="uk-UA"/>
        </w:rPr>
        <w:t>і</w:t>
      </w:r>
      <w:r w:rsidR="004035BB">
        <w:rPr>
          <w:bCs/>
          <w:lang w:val="uk-UA"/>
        </w:rPr>
        <w:t>к</w:t>
      </w:r>
      <w:r w:rsidRPr="00056B12">
        <w:rPr>
          <w:bCs/>
          <w:lang w:val="uk-UA"/>
        </w:rPr>
        <w:t xml:space="preserve"> вважається виконаним.</w:t>
      </w:r>
    </w:p>
    <w:p w:rsidR="00056B12" w:rsidRPr="00056B12" w:rsidRDefault="00056B12" w:rsidP="008B70F9">
      <w:pPr>
        <w:jc w:val="both"/>
        <w:rPr>
          <w:bCs/>
          <w:lang w:val="uk-UA"/>
        </w:rPr>
      </w:pPr>
    </w:p>
    <w:p w:rsidR="00304BD2" w:rsidRPr="00056B12" w:rsidRDefault="00304BD2" w:rsidP="00304BD2">
      <w:pPr>
        <w:spacing w:line="240" w:lineRule="atLeast"/>
        <w:ind w:firstLine="709"/>
        <w:jc w:val="both"/>
        <w:rPr>
          <w:lang w:val="uk-UA"/>
        </w:rPr>
      </w:pPr>
      <w:r w:rsidRPr="00056B12">
        <w:rPr>
          <w:lang w:val="uk-UA"/>
        </w:rPr>
        <w:t xml:space="preserve">За результатами роботи у </w:t>
      </w:r>
      <w:r w:rsidR="00152A44">
        <w:rPr>
          <w:lang w:val="uk-UA"/>
        </w:rPr>
        <w:t xml:space="preserve"> </w:t>
      </w:r>
      <w:r w:rsidRPr="00056B12">
        <w:rPr>
          <w:lang w:val="uk-UA"/>
        </w:rPr>
        <w:t>201</w:t>
      </w:r>
      <w:r w:rsidR="00593690" w:rsidRPr="00056B12">
        <w:rPr>
          <w:lang w:val="uk-UA"/>
        </w:rPr>
        <w:t>8</w:t>
      </w:r>
      <w:r w:rsidRPr="00056B12">
        <w:rPr>
          <w:lang w:val="uk-UA"/>
        </w:rPr>
        <w:t xml:space="preserve"> ро</w:t>
      </w:r>
      <w:r w:rsidR="00152A44">
        <w:rPr>
          <w:lang w:val="uk-UA"/>
        </w:rPr>
        <w:t>ці</w:t>
      </w:r>
      <w:r w:rsidRPr="00056B12">
        <w:rPr>
          <w:lang w:val="uk-UA"/>
        </w:rPr>
        <w:t xml:space="preserve"> підприємство:</w:t>
      </w:r>
    </w:p>
    <w:p w:rsidR="00304BD2" w:rsidRPr="00056B12" w:rsidRDefault="00304BD2" w:rsidP="00304BD2">
      <w:pPr>
        <w:tabs>
          <w:tab w:val="left" w:pos="0"/>
        </w:tabs>
        <w:spacing w:line="240" w:lineRule="atLeast"/>
        <w:jc w:val="both"/>
        <w:rPr>
          <w:lang w:val="uk-UA"/>
        </w:rPr>
      </w:pPr>
      <w:r w:rsidRPr="00056B12">
        <w:rPr>
          <w:lang w:val="uk-UA"/>
        </w:rPr>
        <w:tab/>
        <w:t>-</w:t>
      </w:r>
      <w:r w:rsidRPr="00056B12">
        <w:rPr>
          <w:lang w:val="uk-UA"/>
        </w:rPr>
        <w:tab/>
        <w:t>своєчасно сплачувало податки та інші обов’язкові платежі</w:t>
      </w:r>
      <w:r w:rsidR="00346647">
        <w:rPr>
          <w:lang w:val="uk-UA"/>
        </w:rPr>
        <w:t>;</w:t>
      </w:r>
      <w:r w:rsidRPr="00056B12">
        <w:rPr>
          <w:lang w:val="uk-UA"/>
        </w:rPr>
        <w:t xml:space="preserve"> </w:t>
      </w:r>
    </w:p>
    <w:p w:rsidR="00304BD2" w:rsidRPr="00056B12" w:rsidRDefault="00304BD2" w:rsidP="00304BD2">
      <w:pPr>
        <w:spacing w:line="240" w:lineRule="atLeast"/>
        <w:ind w:firstLine="709"/>
        <w:jc w:val="both"/>
        <w:rPr>
          <w:lang w:val="uk-UA"/>
        </w:rPr>
      </w:pPr>
      <w:r w:rsidRPr="00056B12">
        <w:rPr>
          <w:lang w:val="uk-UA"/>
        </w:rPr>
        <w:t>-</w:t>
      </w:r>
      <w:r w:rsidRPr="00056B12">
        <w:rPr>
          <w:lang w:val="uk-UA"/>
        </w:rPr>
        <w:tab/>
        <w:t>виконало вимоги, установлені чинним законодавством з питань забезпечення режиму секретності, охорони праці, протипожежної безпеки</w:t>
      </w:r>
      <w:r w:rsidR="00346647">
        <w:rPr>
          <w:lang w:val="uk-UA"/>
        </w:rPr>
        <w:t>;</w:t>
      </w:r>
      <w:r w:rsidRPr="00056B12">
        <w:rPr>
          <w:lang w:val="uk-UA"/>
        </w:rPr>
        <w:t xml:space="preserve"> </w:t>
      </w:r>
    </w:p>
    <w:p w:rsidR="00304BD2" w:rsidRPr="00056B12" w:rsidRDefault="00304BD2" w:rsidP="00304BD2">
      <w:pPr>
        <w:spacing w:line="240" w:lineRule="atLeast"/>
        <w:ind w:firstLine="709"/>
        <w:jc w:val="both"/>
        <w:rPr>
          <w:lang w:val="uk-UA"/>
        </w:rPr>
      </w:pPr>
      <w:r w:rsidRPr="00056B12">
        <w:rPr>
          <w:lang w:val="uk-UA"/>
        </w:rPr>
        <w:t>-</w:t>
      </w:r>
      <w:r w:rsidRPr="00056B12">
        <w:rPr>
          <w:lang w:val="uk-UA"/>
        </w:rPr>
        <w:tab/>
        <w:t>не мало аварі</w:t>
      </w:r>
      <w:r w:rsidR="00274A8E">
        <w:rPr>
          <w:lang w:val="uk-UA"/>
        </w:rPr>
        <w:t>й</w:t>
      </w:r>
      <w:r w:rsidRPr="00056B12">
        <w:rPr>
          <w:lang w:val="uk-UA"/>
        </w:rPr>
        <w:t>, пригод та випадків травматизму із смертельними наслідками з вини працівників;</w:t>
      </w:r>
    </w:p>
    <w:p w:rsidR="00304BD2" w:rsidRPr="00056B12" w:rsidRDefault="00304BD2" w:rsidP="00056B12">
      <w:pPr>
        <w:spacing w:line="240" w:lineRule="atLeast"/>
        <w:ind w:firstLine="709"/>
        <w:jc w:val="both"/>
        <w:rPr>
          <w:color w:val="000000"/>
          <w:lang w:val="uk-UA"/>
        </w:rPr>
      </w:pPr>
      <w:r w:rsidRPr="00056B12">
        <w:rPr>
          <w:lang w:val="uk-UA"/>
        </w:rPr>
        <w:t>-</w:t>
      </w:r>
      <w:r w:rsidRPr="00056B12">
        <w:rPr>
          <w:lang w:val="uk-UA"/>
        </w:rPr>
        <w:tab/>
      </w:r>
      <w:r w:rsidR="00056B12" w:rsidRPr="00056B12">
        <w:rPr>
          <w:lang w:val="uk-UA"/>
        </w:rPr>
        <w:t xml:space="preserve">не має простроченої заборгованості із заробітної плати. </w:t>
      </w:r>
    </w:p>
    <w:p w:rsidR="00CE7D02" w:rsidRDefault="00CE7D02" w:rsidP="00A11BB6">
      <w:pPr>
        <w:pStyle w:val="10"/>
        <w:ind w:left="0"/>
        <w:jc w:val="both"/>
        <w:rPr>
          <w:color w:val="000000"/>
          <w:lang w:val="uk-UA"/>
        </w:rPr>
      </w:pPr>
    </w:p>
    <w:p w:rsidR="00661651" w:rsidRDefault="00661651" w:rsidP="00A11BB6">
      <w:pPr>
        <w:pStyle w:val="10"/>
        <w:ind w:left="0"/>
        <w:jc w:val="both"/>
        <w:rPr>
          <w:color w:val="000000"/>
          <w:lang w:val="uk-UA"/>
        </w:rPr>
      </w:pPr>
    </w:p>
    <w:p w:rsidR="00CE7D02" w:rsidRPr="0038726B" w:rsidRDefault="00361D8E" w:rsidP="00A11BB6">
      <w:pPr>
        <w:pStyle w:val="10"/>
        <w:ind w:left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="00AA4EC8" w:rsidRPr="0038726B">
        <w:rPr>
          <w:color w:val="000000"/>
          <w:lang w:val="uk-UA"/>
        </w:rPr>
        <w:t>иректор</w:t>
      </w:r>
      <w:r w:rsidR="00DD4E43" w:rsidRPr="0038726B">
        <w:rPr>
          <w:color w:val="000000"/>
          <w:lang w:val="uk-UA"/>
        </w:rPr>
        <w:tab/>
      </w:r>
      <w:r w:rsidR="00AA4EC8">
        <w:rPr>
          <w:color w:val="000000"/>
          <w:lang w:val="uk-UA"/>
        </w:rPr>
        <w:tab/>
      </w:r>
      <w:r w:rsidR="00AA4EC8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>
        <w:rPr>
          <w:color w:val="000000"/>
          <w:lang w:val="uk-UA"/>
        </w:rPr>
        <w:t>В</w:t>
      </w:r>
      <w:r w:rsidR="00DD4E43" w:rsidRPr="0038726B">
        <w:rPr>
          <w:color w:val="000000"/>
          <w:lang w:val="uk-UA"/>
        </w:rPr>
        <w:t>.</w:t>
      </w:r>
      <w:r>
        <w:rPr>
          <w:color w:val="000000"/>
          <w:lang w:val="uk-UA"/>
        </w:rPr>
        <w:t>О</w:t>
      </w:r>
      <w:r w:rsidR="00DD4E43" w:rsidRPr="0038726B"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Сударев</w:t>
      </w:r>
      <w:proofErr w:type="spellEnd"/>
    </w:p>
    <w:p w:rsidR="00B819DE" w:rsidRPr="0038726B" w:rsidRDefault="00B819DE" w:rsidP="00A11BB6">
      <w:pPr>
        <w:pStyle w:val="10"/>
        <w:ind w:left="0"/>
        <w:jc w:val="both"/>
        <w:rPr>
          <w:color w:val="000000"/>
          <w:lang w:val="uk-UA"/>
        </w:rPr>
      </w:pPr>
    </w:p>
    <w:p w:rsidR="00056B12" w:rsidRDefault="00056B12" w:rsidP="00A11BB6">
      <w:pPr>
        <w:pStyle w:val="10"/>
        <w:ind w:left="0"/>
        <w:jc w:val="both"/>
        <w:rPr>
          <w:color w:val="000000"/>
          <w:sz w:val="20"/>
          <w:szCs w:val="20"/>
          <w:lang w:val="uk-UA"/>
        </w:rPr>
      </w:pPr>
    </w:p>
    <w:p w:rsidR="007706B1" w:rsidRPr="005D5722" w:rsidRDefault="005D5722" w:rsidP="00A11BB6">
      <w:pPr>
        <w:pStyle w:val="10"/>
        <w:ind w:left="0"/>
        <w:jc w:val="both"/>
        <w:rPr>
          <w:color w:val="000000"/>
          <w:sz w:val="20"/>
          <w:szCs w:val="20"/>
          <w:lang w:val="uk-UA"/>
        </w:rPr>
      </w:pPr>
      <w:r w:rsidRPr="005D5722">
        <w:rPr>
          <w:color w:val="000000"/>
          <w:sz w:val="20"/>
          <w:szCs w:val="20"/>
          <w:lang w:val="uk-UA"/>
        </w:rPr>
        <w:t>Навала Т.В.</w:t>
      </w:r>
    </w:p>
    <w:p w:rsidR="005D5722" w:rsidRPr="005D5722" w:rsidRDefault="005D5722" w:rsidP="00A11BB6">
      <w:pPr>
        <w:pStyle w:val="10"/>
        <w:ind w:left="0"/>
        <w:jc w:val="both"/>
        <w:rPr>
          <w:color w:val="000000"/>
          <w:sz w:val="20"/>
          <w:szCs w:val="20"/>
          <w:lang w:val="uk-UA"/>
        </w:rPr>
      </w:pPr>
      <w:r w:rsidRPr="005D5722">
        <w:rPr>
          <w:color w:val="000000"/>
          <w:sz w:val="20"/>
          <w:szCs w:val="20"/>
          <w:lang w:val="uk-UA"/>
        </w:rPr>
        <w:t>(048) 7744248</w:t>
      </w:r>
    </w:p>
    <w:sectPr w:rsidR="005D5722" w:rsidRPr="005D5722" w:rsidSect="00084605">
      <w:headerReference w:type="even" r:id="rId8"/>
      <w:headerReference w:type="default" r:id="rId9"/>
      <w:pgSz w:w="11906" w:h="16838"/>
      <w:pgMar w:top="993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627" w:rsidRDefault="00DA0627">
      <w:r>
        <w:separator/>
      </w:r>
    </w:p>
  </w:endnote>
  <w:endnote w:type="continuationSeparator" w:id="0">
    <w:p w:rsidR="00DA0627" w:rsidRDefault="00DA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627" w:rsidRDefault="00DA0627">
      <w:r>
        <w:separator/>
      </w:r>
    </w:p>
  </w:footnote>
  <w:footnote w:type="continuationSeparator" w:id="0">
    <w:p w:rsidR="00DA0627" w:rsidRDefault="00DA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27" w:rsidRDefault="00DA0627" w:rsidP="008308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627" w:rsidRDefault="00DA0627" w:rsidP="00F6781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27" w:rsidRDefault="00DA0627" w:rsidP="008308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DA0627" w:rsidRDefault="00DA0627" w:rsidP="00F678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78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/>
      </w:rPr>
    </w:lvl>
  </w:abstractNum>
  <w:abstractNum w:abstractNumId="1" w15:restartNumberingAfterBreak="0">
    <w:nsid w:val="089B5D7E"/>
    <w:multiLevelType w:val="hybridMultilevel"/>
    <w:tmpl w:val="CE2AA982"/>
    <w:lvl w:ilvl="0" w:tplc="C7F498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A62E13"/>
    <w:multiLevelType w:val="hybridMultilevel"/>
    <w:tmpl w:val="53D0D5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546FC8"/>
    <w:multiLevelType w:val="hybridMultilevel"/>
    <w:tmpl w:val="4418ABF8"/>
    <w:lvl w:ilvl="0" w:tplc="19D8E1F0">
      <w:start w:val="2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E10CE7"/>
    <w:multiLevelType w:val="multilevel"/>
    <w:tmpl w:val="C002A3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5" w15:restartNumberingAfterBreak="0">
    <w:nsid w:val="288A68F0"/>
    <w:multiLevelType w:val="multilevel"/>
    <w:tmpl w:val="C002A3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6" w15:restartNumberingAfterBreak="0">
    <w:nsid w:val="35B46E6A"/>
    <w:multiLevelType w:val="hybridMultilevel"/>
    <w:tmpl w:val="62A48D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E79758F"/>
    <w:multiLevelType w:val="hybridMultilevel"/>
    <w:tmpl w:val="A43E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A50DE6"/>
    <w:multiLevelType w:val="hybridMultilevel"/>
    <w:tmpl w:val="CBC83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B523DA7"/>
    <w:multiLevelType w:val="hybridMultilevel"/>
    <w:tmpl w:val="0F20BEFE"/>
    <w:lvl w:ilvl="0" w:tplc="9BDE2294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3650EF0"/>
    <w:multiLevelType w:val="hybridMultilevel"/>
    <w:tmpl w:val="57085692"/>
    <w:lvl w:ilvl="0" w:tplc="A62EE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51D33"/>
    <w:multiLevelType w:val="hybridMultilevel"/>
    <w:tmpl w:val="69D46E9C"/>
    <w:lvl w:ilvl="0" w:tplc="CECA9E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7DB0882"/>
    <w:multiLevelType w:val="hybridMultilevel"/>
    <w:tmpl w:val="D83402F8"/>
    <w:lvl w:ilvl="0" w:tplc="28F8F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230CC"/>
    <w:multiLevelType w:val="hybridMultilevel"/>
    <w:tmpl w:val="387093D4"/>
    <w:lvl w:ilvl="0" w:tplc="1FBA78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0758B7"/>
    <w:multiLevelType w:val="hybridMultilevel"/>
    <w:tmpl w:val="20B87618"/>
    <w:lvl w:ilvl="0" w:tplc="557A7B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06BC5"/>
    <w:multiLevelType w:val="multilevel"/>
    <w:tmpl w:val="89447E9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5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B0"/>
    <w:rsid w:val="0000049B"/>
    <w:rsid w:val="00002732"/>
    <w:rsid w:val="00002905"/>
    <w:rsid w:val="00004113"/>
    <w:rsid w:val="00010AFF"/>
    <w:rsid w:val="00012B6D"/>
    <w:rsid w:val="00012E73"/>
    <w:rsid w:val="00014A4B"/>
    <w:rsid w:val="000163C9"/>
    <w:rsid w:val="000164AE"/>
    <w:rsid w:val="0001732C"/>
    <w:rsid w:val="00017440"/>
    <w:rsid w:val="000208C0"/>
    <w:rsid w:val="000208FA"/>
    <w:rsid w:val="00020DD4"/>
    <w:rsid w:val="00021811"/>
    <w:rsid w:val="0002276A"/>
    <w:rsid w:val="00026DBC"/>
    <w:rsid w:val="000270EF"/>
    <w:rsid w:val="00027309"/>
    <w:rsid w:val="000274C2"/>
    <w:rsid w:val="0002750C"/>
    <w:rsid w:val="00027FA9"/>
    <w:rsid w:val="0003037A"/>
    <w:rsid w:val="000306F9"/>
    <w:rsid w:val="00030B62"/>
    <w:rsid w:val="00030DAE"/>
    <w:rsid w:val="00031369"/>
    <w:rsid w:val="00031B61"/>
    <w:rsid w:val="0003202C"/>
    <w:rsid w:val="0003238C"/>
    <w:rsid w:val="000329A1"/>
    <w:rsid w:val="00034943"/>
    <w:rsid w:val="00035434"/>
    <w:rsid w:val="00035571"/>
    <w:rsid w:val="00035DC5"/>
    <w:rsid w:val="000364BA"/>
    <w:rsid w:val="00037A1A"/>
    <w:rsid w:val="00037E7B"/>
    <w:rsid w:val="00040493"/>
    <w:rsid w:val="00040627"/>
    <w:rsid w:val="000432D0"/>
    <w:rsid w:val="00043652"/>
    <w:rsid w:val="00043CBC"/>
    <w:rsid w:val="00044C8E"/>
    <w:rsid w:val="00045206"/>
    <w:rsid w:val="00045B7A"/>
    <w:rsid w:val="00045EAA"/>
    <w:rsid w:val="00046AB5"/>
    <w:rsid w:val="000478B4"/>
    <w:rsid w:val="00056B12"/>
    <w:rsid w:val="00057603"/>
    <w:rsid w:val="00057648"/>
    <w:rsid w:val="00057B2C"/>
    <w:rsid w:val="000605D5"/>
    <w:rsid w:val="000609E0"/>
    <w:rsid w:val="000616C8"/>
    <w:rsid w:val="00062A2E"/>
    <w:rsid w:val="00063741"/>
    <w:rsid w:val="000707E9"/>
    <w:rsid w:val="00070FA1"/>
    <w:rsid w:val="000710A3"/>
    <w:rsid w:val="00072829"/>
    <w:rsid w:val="00074216"/>
    <w:rsid w:val="00076DE8"/>
    <w:rsid w:val="000800DE"/>
    <w:rsid w:val="000824F1"/>
    <w:rsid w:val="000834FA"/>
    <w:rsid w:val="00083B65"/>
    <w:rsid w:val="00084559"/>
    <w:rsid w:val="00084605"/>
    <w:rsid w:val="00090722"/>
    <w:rsid w:val="000929B1"/>
    <w:rsid w:val="00093233"/>
    <w:rsid w:val="00095BE7"/>
    <w:rsid w:val="00096221"/>
    <w:rsid w:val="000969F1"/>
    <w:rsid w:val="00096B39"/>
    <w:rsid w:val="000979B3"/>
    <w:rsid w:val="000A1664"/>
    <w:rsid w:val="000A172E"/>
    <w:rsid w:val="000A2823"/>
    <w:rsid w:val="000A313F"/>
    <w:rsid w:val="000A40B8"/>
    <w:rsid w:val="000A7F9E"/>
    <w:rsid w:val="000B140D"/>
    <w:rsid w:val="000B1657"/>
    <w:rsid w:val="000B2506"/>
    <w:rsid w:val="000B29E3"/>
    <w:rsid w:val="000B37D0"/>
    <w:rsid w:val="000B3B4F"/>
    <w:rsid w:val="000B54B8"/>
    <w:rsid w:val="000B5E2C"/>
    <w:rsid w:val="000B6844"/>
    <w:rsid w:val="000C0780"/>
    <w:rsid w:val="000C0F2A"/>
    <w:rsid w:val="000C2201"/>
    <w:rsid w:val="000C25DC"/>
    <w:rsid w:val="000C3EFC"/>
    <w:rsid w:val="000C5073"/>
    <w:rsid w:val="000C52D3"/>
    <w:rsid w:val="000C789B"/>
    <w:rsid w:val="000C7BFB"/>
    <w:rsid w:val="000C7C6A"/>
    <w:rsid w:val="000D0D58"/>
    <w:rsid w:val="000D4C9D"/>
    <w:rsid w:val="000D5A2B"/>
    <w:rsid w:val="000D5B23"/>
    <w:rsid w:val="000E1819"/>
    <w:rsid w:val="000E2D2B"/>
    <w:rsid w:val="000E31AA"/>
    <w:rsid w:val="000E4EAC"/>
    <w:rsid w:val="000E6421"/>
    <w:rsid w:val="000E64E9"/>
    <w:rsid w:val="000E6964"/>
    <w:rsid w:val="000E70A2"/>
    <w:rsid w:val="000F1E77"/>
    <w:rsid w:val="000F3C16"/>
    <w:rsid w:val="000F4405"/>
    <w:rsid w:val="000F5CFA"/>
    <w:rsid w:val="000F618E"/>
    <w:rsid w:val="000F6D70"/>
    <w:rsid w:val="000F6DD8"/>
    <w:rsid w:val="00100103"/>
    <w:rsid w:val="00100837"/>
    <w:rsid w:val="00100F9E"/>
    <w:rsid w:val="00101926"/>
    <w:rsid w:val="001020AF"/>
    <w:rsid w:val="0010214A"/>
    <w:rsid w:val="001031E9"/>
    <w:rsid w:val="00103953"/>
    <w:rsid w:val="001039A2"/>
    <w:rsid w:val="00103CC2"/>
    <w:rsid w:val="00106798"/>
    <w:rsid w:val="00107097"/>
    <w:rsid w:val="001077A2"/>
    <w:rsid w:val="0011117C"/>
    <w:rsid w:val="00112933"/>
    <w:rsid w:val="00112F34"/>
    <w:rsid w:val="00113974"/>
    <w:rsid w:val="00115831"/>
    <w:rsid w:val="00116643"/>
    <w:rsid w:val="00121094"/>
    <w:rsid w:val="00122AE1"/>
    <w:rsid w:val="001240C9"/>
    <w:rsid w:val="00124172"/>
    <w:rsid w:val="0012491F"/>
    <w:rsid w:val="00124D83"/>
    <w:rsid w:val="00124E29"/>
    <w:rsid w:val="001272AF"/>
    <w:rsid w:val="00127913"/>
    <w:rsid w:val="00131600"/>
    <w:rsid w:val="00133C36"/>
    <w:rsid w:val="00134434"/>
    <w:rsid w:val="00134D33"/>
    <w:rsid w:val="00136DE1"/>
    <w:rsid w:val="00137153"/>
    <w:rsid w:val="00137283"/>
    <w:rsid w:val="0014201B"/>
    <w:rsid w:val="00142BB6"/>
    <w:rsid w:val="00142CDC"/>
    <w:rsid w:val="00142F76"/>
    <w:rsid w:val="00143BF3"/>
    <w:rsid w:val="001465B8"/>
    <w:rsid w:val="00146C9C"/>
    <w:rsid w:val="00147F5C"/>
    <w:rsid w:val="001527B0"/>
    <w:rsid w:val="00152A44"/>
    <w:rsid w:val="0015408D"/>
    <w:rsid w:val="00154D9D"/>
    <w:rsid w:val="00154FF9"/>
    <w:rsid w:val="00155277"/>
    <w:rsid w:val="0015529F"/>
    <w:rsid w:val="00155EA8"/>
    <w:rsid w:val="0015616D"/>
    <w:rsid w:val="001564E1"/>
    <w:rsid w:val="00156E8E"/>
    <w:rsid w:val="00160FF7"/>
    <w:rsid w:val="0016145E"/>
    <w:rsid w:val="00164810"/>
    <w:rsid w:val="0016653A"/>
    <w:rsid w:val="001678C6"/>
    <w:rsid w:val="00167B62"/>
    <w:rsid w:val="00171699"/>
    <w:rsid w:val="00172617"/>
    <w:rsid w:val="00172E8C"/>
    <w:rsid w:val="001732CB"/>
    <w:rsid w:val="0017487C"/>
    <w:rsid w:val="00176CA8"/>
    <w:rsid w:val="001776E7"/>
    <w:rsid w:val="00177755"/>
    <w:rsid w:val="001805B5"/>
    <w:rsid w:val="001831A5"/>
    <w:rsid w:val="00184292"/>
    <w:rsid w:val="00184545"/>
    <w:rsid w:val="0018460A"/>
    <w:rsid w:val="00184A99"/>
    <w:rsid w:val="0018583B"/>
    <w:rsid w:val="001862BD"/>
    <w:rsid w:val="00186D31"/>
    <w:rsid w:val="00186E68"/>
    <w:rsid w:val="00186E69"/>
    <w:rsid w:val="00190AC9"/>
    <w:rsid w:val="001913D6"/>
    <w:rsid w:val="0019278D"/>
    <w:rsid w:val="001950C3"/>
    <w:rsid w:val="00195F64"/>
    <w:rsid w:val="001A01A0"/>
    <w:rsid w:val="001A02F6"/>
    <w:rsid w:val="001A24B9"/>
    <w:rsid w:val="001A3115"/>
    <w:rsid w:val="001A3988"/>
    <w:rsid w:val="001A3A38"/>
    <w:rsid w:val="001A50BF"/>
    <w:rsid w:val="001A5912"/>
    <w:rsid w:val="001A62A0"/>
    <w:rsid w:val="001A6408"/>
    <w:rsid w:val="001B1773"/>
    <w:rsid w:val="001B2262"/>
    <w:rsid w:val="001B5465"/>
    <w:rsid w:val="001B61B2"/>
    <w:rsid w:val="001B6871"/>
    <w:rsid w:val="001B6A6A"/>
    <w:rsid w:val="001B6D57"/>
    <w:rsid w:val="001C18AE"/>
    <w:rsid w:val="001C2081"/>
    <w:rsid w:val="001C3418"/>
    <w:rsid w:val="001C35D5"/>
    <w:rsid w:val="001C3C57"/>
    <w:rsid w:val="001C5469"/>
    <w:rsid w:val="001D0C5B"/>
    <w:rsid w:val="001D1509"/>
    <w:rsid w:val="001D2193"/>
    <w:rsid w:val="001D47CA"/>
    <w:rsid w:val="001D49E1"/>
    <w:rsid w:val="001D54BD"/>
    <w:rsid w:val="001D734A"/>
    <w:rsid w:val="001D795F"/>
    <w:rsid w:val="001D7ED4"/>
    <w:rsid w:val="001E0966"/>
    <w:rsid w:val="001E10A9"/>
    <w:rsid w:val="001E1FD7"/>
    <w:rsid w:val="001E2EFC"/>
    <w:rsid w:val="001E361B"/>
    <w:rsid w:val="001E40B5"/>
    <w:rsid w:val="001E5269"/>
    <w:rsid w:val="001E5C8F"/>
    <w:rsid w:val="001E5F95"/>
    <w:rsid w:val="001E65A8"/>
    <w:rsid w:val="001E6A23"/>
    <w:rsid w:val="001E7A36"/>
    <w:rsid w:val="001E7AA3"/>
    <w:rsid w:val="001F2B7B"/>
    <w:rsid w:val="001F3015"/>
    <w:rsid w:val="001F385C"/>
    <w:rsid w:val="001F43BD"/>
    <w:rsid w:val="001F5B98"/>
    <w:rsid w:val="001F6066"/>
    <w:rsid w:val="001F73A5"/>
    <w:rsid w:val="00202463"/>
    <w:rsid w:val="00204A91"/>
    <w:rsid w:val="002072D6"/>
    <w:rsid w:val="002074FF"/>
    <w:rsid w:val="00210E56"/>
    <w:rsid w:val="0021131A"/>
    <w:rsid w:val="002119BA"/>
    <w:rsid w:val="00211F02"/>
    <w:rsid w:val="00213ECF"/>
    <w:rsid w:val="002140CE"/>
    <w:rsid w:val="002147DD"/>
    <w:rsid w:val="00214871"/>
    <w:rsid w:val="00216021"/>
    <w:rsid w:val="0021686F"/>
    <w:rsid w:val="00217C50"/>
    <w:rsid w:val="002205BA"/>
    <w:rsid w:val="002214F2"/>
    <w:rsid w:val="002236B6"/>
    <w:rsid w:val="00223D51"/>
    <w:rsid w:val="002250BA"/>
    <w:rsid w:val="002252FE"/>
    <w:rsid w:val="0022532F"/>
    <w:rsid w:val="00225EFF"/>
    <w:rsid w:val="00226D5A"/>
    <w:rsid w:val="00227DAB"/>
    <w:rsid w:val="00227DC7"/>
    <w:rsid w:val="002306B4"/>
    <w:rsid w:val="002308CF"/>
    <w:rsid w:val="00232D14"/>
    <w:rsid w:val="00233524"/>
    <w:rsid w:val="00233988"/>
    <w:rsid w:val="00233C7A"/>
    <w:rsid w:val="00234E3A"/>
    <w:rsid w:val="00240B8D"/>
    <w:rsid w:val="00245817"/>
    <w:rsid w:val="0024603A"/>
    <w:rsid w:val="00246203"/>
    <w:rsid w:val="00246379"/>
    <w:rsid w:val="002467D9"/>
    <w:rsid w:val="00250069"/>
    <w:rsid w:val="00250836"/>
    <w:rsid w:val="00250F64"/>
    <w:rsid w:val="00251343"/>
    <w:rsid w:val="002521D4"/>
    <w:rsid w:val="00252E74"/>
    <w:rsid w:val="00253C87"/>
    <w:rsid w:val="00253EB4"/>
    <w:rsid w:val="00256C40"/>
    <w:rsid w:val="00256ECC"/>
    <w:rsid w:val="00257756"/>
    <w:rsid w:val="00257B0F"/>
    <w:rsid w:val="00257E7F"/>
    <w:rsid w:val="002609F2"/>
    <w:rsid w:val="00262D2A"/>
    <w:rsid w:val="0026454E"/>
    <w:rsid w:val="0026494B"/>
    <w:rsid w:val="0026581F"/>
    <w:rsid w:val="00265E97"/>
    <w:rsid w:val="002679B3"/>
    <w:rsid w:val="00270126"/>
    <w:rsid w:val="00272509"/>
    <w:rsid w:val="00272C69"/>
    <w:rsid w:val="002746B3"/>
    <w:rsid w:val="00274A8E"/>
    <w:rsid w:val="00274CEB"/>
    <w:rsid w:val="00275354"/>
    <w:rsid w:val="00275D6A"/>
    <w:rsid w:val="002763F1"/>
    <w:rsid w:val="00281942"/>
    <w:rsid w:val="00281ADF"/>
    <w:rsid w:val="00282101"/>
    <w:rsid w:val="00282F3A"/>
    <w:rsid w:val="002841F9"/>
    <w:rsid w:val="002848CD"/>
    <w:rsid w:val="00286083"/>
    <w:rsid w:val="00287223"/>
    <w:rsid w:val="00290299"/>
    <w:rsid w:val="00290D06"/>
    <w:rsid w:val="00291B8C"/>
    <w:rsid w:val="0029237F"/>
    <w:rsid w:val="00293D93"/>
    <w:rsid w:val="00294AD9"/>
    <w:rsid w:val="00294E03"/>
    <w:rsid w:val="00294F1D"/>
    <w:rsid w:val="00296FDC"/>
    <w:rsid w:val="00297D39"/>
    <w:rsid w:val="002A0C90"/>
    <w:rsid w:val="002A0D01"/>
    <w:rsid w:val="002A25B2"/>
    <w:rsid w:val="002A2F3C"/>
    <w:rsid w:val="002A4828"/>
    <w:rsid w:val="002A5A71"/>
    <w:rsid w:val="002A6C09"/>
    <w:rsid w:val="002A7A92"/>
    <w:rsid w:val="002B10D7"/>
    <w:rsid w:val="002B1597"/>
    <w:rsid w:val="002B196D"/>
    <w:rsid w:val="002B25D2"/>
    <w:rsid w:val="002B3739"/>
    <w:rsid w:val="002B3A45"/>
    <w:rsid w:val="002B43F9"/>
    <w:rsid w:val="002B4F84"/>
    <w:rsid w:val="002B5F24"/>
    <w:rsid w:val="002B6177"/>
    <w:rsid w:val="002B643A"/>
    <w:rsid w:val="002B6694"/>
    <w:rsid w:val="002B68D0"/>
    <w:rsid w:val="002B6CD2"/>
    <w:rsid w:val="002B7AD9"/>
    <w:rsid w:val="002C2624"/>
    <w:rsid w:val="002C46FB"/>
    <w:rsid w:val="002C4C4A"/>
    <w:rsid w:val="002C516B"/>
    <w:rsid w:val="002C6617"/>
    <w:rsid w:val="002C6AA0"/>
    <w:rsid w:val="002C6B38"/>
    <w:rsid w:val="002D3CAC"/>
    <w:rsid w:val="002D4442"/>
    <w:rsid w:val="002D462D"/>
    <w:rsid w:val="002D5E70"/>
    <w:rsid w:val="002D7829"/>
    <w:rsid w:val="002E09B3"/>
    <w:rsid w:val="002E0CED"/>
    <w:rsid w:val="002E1926"/>
    <w:rsid w:val="002E24C2"/>
    <w:rsid w:val="002E37DB"/>
    <w:rsid w:val="002E501E"/>
    <w:rsid w:val="002E51E7"/>
    <w:rsid w:val="002E5C65"/>
    <w:rsid w:val="002E600A"/>
    <w:rsid w:val="002E6A1B"/>
    <w:rsid w:val="002E6C57"/>
    <w:rsid w:val="002F26A9"/>
    <w:rsid w:val="002F4E19"/>
    <w:rsid w:val="002F5C14"/>
    <w:rsid w:val="002F7A20"/>
    <w:rsid w:val="002F7B50"/>
    <w:rsid w:val="002F7DCD"/>
    <w:rsid w:val="00300902"/>
    <w:rsid w:val="00300F16"/>
    <w:rsid w:val="00301EF1"/>
    <w:rsid w:val="003021F3"/>
    <w:rsid w:val="003029D1"/>
    <w:rsid w:val="003030A4"/>
    <w:rsid w:val="00303531"/>
    <w:rsid w:val="00303787"/>
    <w:rsid w:val="00304ACD"/>
    <w:rsid w:val="00304BD2"/>
    <w:rsid w:val="00304F97"/>
    <w:rsid w:val="0030501A"/>
    <w:rsid w:val="003058B6"/>
    <w:rsid w:val="00306662"/>
    <w:rsid w:val="00307DD2"/>
    <w:rsid w:val="003102FA"/>
    <w:rsid w:val="00311864"/>
    <w:rsid w:val="00312548"/>
    <w:rsid w:val="00313AB0"/>
    <w:rsid w:val="00313FAC"/>
    <w:rsid w:val="00315675"/>
    <w:rsid w:val="00320756"/>
    <w:rsid w:val="00321414"/>
    <w:rsid w:val="003225D4"/>
    <w:rsid w:val="0032290F"/>
    <w:rsid w:val="00323009"/>
    <w:rsid w:val="00324602"/>
    <w:rsid w:val="00324DF6"/>
    <w:rsid w:val="00324E9B"/>
    <w:rsid w:val="00325D0D"/>
    <w:rsid w:val="0032714E"/>
    <w:rsid w:val="00327956"/>
    <w:rsid w:val="0033039C"/>
    <w:rsid w:val="00332A64"/>
    <w:rsid w:val="0033313C"/>
    <w:rsid w:val="00333AA1"/>
    <w:rsid w:val="0033463B"/>
    <w:rsid w:val="00334831"/>
    <w:rsid w:val="00334C60"/>
    <w:rsid w:val="00334E23"/>
    <w:rsid w:val="00335DEF"/>
    <w:rsid w:val="003361E9"/>
    <w:rsid w:val="00337149"/>
    <w:rsid w:val="0033728F"/>
    <w:rsid w:val="0033776A"/>
    <w:rsid w:val="00343BA0"/>
    <w:rsid w:val="00343EEB"/>
    <w:rsid w:val="0034458C"/>
    <w:rsid w:val="00344D47"/>
    <w:rsid w:val="003456E8"/>
    <w:rsid w:val="00345706"/>
    <w:rsid w:val="00345D7F"/>
    <w:rsid w:val="00346090"/>
    <w:rsid w:val="00346647"/>
    <w:rsid w:val="00350484"/>
    <w:rsid w:val="0035069C"/>
    <w:rsid w:val="00351788"/>
    <w:rsid w:val="00351991"/>
    <w:rsid w:val="0035307E"/>
    <w:rsid w:val="0035321D"/>
    <w:rsid w:val="00353BBF"/>
    <w:rsid w:val="00354F7D"/>
    <w:rsid w:val="0035642C"/>
    <w:rsid w:val="00356CC3"/>
    <w:rsid w:val="00361D8E"/>
    <w:rsid w:val="00364382"/>
    <w:rsid w:val="00365700"/>
    <w:rsid w:val="0036609C"/>
    <w:rsid w:val="00367775"/>
    <w:rsid w:val="00367BD9"/>
    <w:rsid w:val="00367D9D"/>
    <w:rsid w:val="00367D9E"/>
    <w:rsid w:val="00370A60"/>
    <w:rsid w:val="00372536"/>
    <w:rsid w:val="0037511A"/>
    <w:rsid w:val="0037696C"/>
    <w:rsid w:val="0037737D"/>
    <w:rsid w:val="00380364"/>
    <w:rsid w:val="00380D39"/>
    <w:rsid w:val="00381C61"/>
    <w:rsid w:val="003823AE"/>
    <w:rsid w:val="00382961"/>
    <w:rsid w:val="0038495F"/>
    <w:rsid w:val="00384F0E"/>
    <w:rsid w:val="00385162"/>
    <w:rsid w:val="00385F73"/>
    <w:rsid w:val="00386C80"/>
    <w:rsid w:val="00386F3D"/>
    <w:rsid w:val="0038726B"/>
    <w:rsid w:val="00387592"/>
    <w:rsid w:val="00390132"/>
    <w:rsid w:val="00390268"/>
    <w:rsid w:val="00391F47"/>
    <w:rsid w:val="00392E8C"/>
    <w:rsid w:val="003942A8"/>
    <w:rsid w:val="003956E7"/>
    <w:rsid w:val="00395D00"/>
    <w:rsid w:val="00395F00"/>
    <w:rsid w:val="003965DC"/>
    <w:rsid w:val="003968B6"/>
    <w:rsid w:val="00396E35"/>
    <w:rsid w:val="003A02AA"/>
    <w:rsid w:val="003A166B"/>
    <w:rsid w:val="003A20AA"/>
    <w:rsid w:val="003A2959"/>
    <w:rsid w:val="003A3BC5"/>
    <w:rsid w:val="003A3DC0"/>
    <w:rsid w:val="003A502C"/>
    <w:rsid w:val="003A720E"/>
    <w:rsid w:val="003A7AF2"/>
    <w:rsid w:val="003B057D"/>
    <w:rsid w:val="003B1395"/>
    <w:rsid w:val="003B512F"/>
    <w:rsid w:val="003B534E"/>
    <w:rsid w:val="003B54BC"/>
    <w:rsid w:val="003B732F"/>
    <w:rsid w:val="003C016D"/>
    <w:rsid w:val="003C0E6B"/>
    <w:rsid w:val="003C1587"/>
    <w:rsid w:val="003C1835"/>
    <w:rsid w:val="003C1D2C"/>
    <w:rsid w:val="003C2675"/>
    <w:rsid w:val="003C2D4D"/>
    <w:rsid w:val="003C34BB"/>
    <w:rsid w:val="003C37C5"/>
    <w:rsid w:val="003C3BC5"/>
    <w:rsid w:val="003C5A99"/>
    <w:rsid w:val="003C6472"/>
    <w:rsid w:val="003C6F84"/>
    <w:rsid w:val="003C73E4"/>
    <w:rsid w:val="003D00E4"/>
    <w:rsid w:val="003D08A0"/>
    <w:rsid w:val="003D19D8"/>
    <w:rsid w:val="003D1F96"/>
    <w:rsid w:val="003D2FB5"/>
    <w:rsid w:val="003D4889"/>
    <w:rsid w:val="003D5042"/>
    <w:rsid w:val="003D6DE2"/>
    <w:rsid w:val="003E0BDC"/>
    <w:rsid w:val="003E0D6A"/>
    <w:rsid w:val="003E2D0C"/>
    <w:rsid w:val="003E34A4"/>
    <w:rsid w:val="003E39F7"/>
    <w:rsid w:val="003E5185"/>
    <w:rsid w:val="003E65E6"/>
    <w:rsid w:val="003E6DFB"/>
    <w:rsid w:val="003E789B"/>
    <w:rsid w:val="003F0CB5"/>
    <w:rsid w:val="003F0FE0"/>
    <w:rsid w:val="003F1335"/>
    <w:rsid w:val="003F2EEE"/>
    <w:rsid w:val="003F3A26"/>
    <w:rsid w:val="003F3D00"/>
    <w:rsid w:val="003F5A96"/>
    <w:rsid w:val="003F6D45"/>
    <w:rsid w:val="003F7575"/>
    <w:rsid w:val="003F7BFD"/>
    <w:rsid w:val="00400043"/>
    <w:rsid w:val="00401686"/>
    <w:rsid w:val="00401B80"/>
    <w:rsid w:val="00401DAC"/>
    <w:rsid w:val="004035BB"/>
    <w:rsid w:val="00403998"/>
    <w:rsid w:val="00405C87"/>
    <w:rsid w:val="00405D81"/>
    <w:rsid w:val="00406860"/>
    <w:rsid w:val="004105AB"/>
    <w:rsid w:val="004146F1"/>
    <w:rsid w:val="00414C92"/>
    <w:rsid w:val="00415E41"/>
    <w:rsid w:val="0041727A"/>
    <w:rsid w:val="00417EE1"/>
    <w:rsid w:val="00421535"/>
    <w:rsid w:val="00422517"/>
    <w:rsid w:val="004238C9"/>
    <w:rsid w:val="00426F60"/>
    <w:rsid w:val="0042750E"/>
    <w:rsid w:val="00431FCD"/>
    <w:rsid w:val="00432494"/>
    <w:rsid w:val="004332DF"/>
    <w:rsid w:val="00434CAD"/>
    <w:rsid w:val="00434E44"/>
    <w:rsid w:val="00437D31"/>
    <w:rsid w:val="00440C60"/>
    <w:rsid w:val="00440FBE"/>
    <w:rsid w:val="004418EF"/>
    <w:rsid w:val="00441C9B"/>
    <w:rsid w:val="00442CDC"/>
    <w:rsid w:val="004433E2"/>
    <w:rsid w:val="00443B47"/>
    <w:rsid w:val="00445F8A"/>
    <w:rsid w:val="00446715"/>
    <w:rsid w:val="0044788B"/>
    <w:rsid w:val="004507DC"/>
    <w:rsid w:val="00450A24"/>
    <w:rsid w:val="004521C4"/>
    <w:rsid w:val="00452CDC"/>
    <w:rsid w:val="00453557"/>
    <w:rsid w:val="004539D1"/>
    <w:rsid w:val="0045407F"/>
    <w:rsid w:val="0045420A"/>
    <w:rsid w:val="0045745B"/>
    <w:rsid w:val="00457A24"/>
    <w:rsid w:val="00460D62"/>
    <w:rsid w:val="004615F9"/>
    <w:rsid w:val="004652E5"/>
    <w:rsid w:val="00467C5E"/>
    <w:rsid w:val="00471F8B"/>
    <w:rsid w:val="004723F8"/>
    <w:rsid w:val="0047582B"/>
    <w:rsid w:val="00477F5A"/>
    <w:rsid w:val="0048049F"/>
    <w:rsid w:val="00480BF6"/>
    <w:rsid w:val="00484ABA"/>
    <w:rsid w:val="00484F15"/>
    <w:rsid w:val="0048715A"/>
    <w:rsid w:val="00487A93"/>
    <w:rsid w:val="00487F3A"/>
    <w:rsid w:val="00487F7D"/>
    <w:rsid w:val="00490004"/>
    <w:rsid w:val="00491CC2"/>
    <w:rsid w:val="00492284"/>
    <w:rsid w:val="004925A8"/>
    <w:rsid w:val="0049364B"/>
    <w:rsid w:val="00493C82"/>
    <w:rsid w:val="00494201"/>
    <w:rsid w:val="0049435C"/>
    <w:rsid w:val="00494681"/>
    <w:rsid w:val="00495BDE"/>
    <w:rsid w:val="00496EC2"/>
    <w:rsid w:val="0049733F"/>
    <w:rsid w:val="004A1AC5"/>
    <w:rsid w:val="004A3263"/>
    <w:rsid w:val="004A3DF6"/>
    <w:rsid w:val="004A4424"/>
    <w:rsid w:val="004A4804"/>
    <w:rsid w:val="004A5BC7"/>
    <w:rsid w:val="004B12B2"/>
    <w:rsid w:val="004B13F5"/>
    <w:rsid w:val="004B1573"/>
    <w:rsid w:val="004B19DF"/>
    <w:rsid w:val="004B3FA6"/>
    <w:rsid w:val="004B752C"/>
    <w:rsid w:val="004B7AEC"/>
    <w:rsid w:val="004C0945"/>
    <w:rsid w:val="004C1ACD"/>
    <w:rsid w:val="004C20B4"/>
    <w:rsid w:val="004C3438"/>
    <w:rsid w:val="004C42F8"/>
    <w:rsid w:val="004C4639"/>
    <w:rsid w:val="004C47A2"/>
    <w:rsid w:val="004C4D43"/>
    <w:rsid w:val="004C54C3"/>
    <w:rsid w:val="004C6BDA"/>
    <w:rsid w:val="004D109D"/>
    <w:rsid w:val="004D4AAE"/>
    <w:rsid w:val="004D58B9"/>
    <w:rsid w:val="004D7390"/>
    <w:rsid w:val="004D79FE"/>
    <w:rsid w:val="004D7BFC"/>
    <w:rsid w:val="004E20B3"/>
    <w:rsid w:val="004E20F3"/>
    <w:rsid w:val="004E3938"/>
    <w:rsid w:val="004E3E34"/>
    <w:rsid w:val="004E4185"/>
    <w:rsid w:val="004E466C"/>
    <w:rsid w:val="004E632A"/>
    <w:rsid w:val="004E65E9"/>
    <w:rsid w:val="004E7430"/>
    <w:rsid w:val="004E76A4"/>
    <w:rsid w:val="004E7DB8"/>
    <w:rsid w:val="004F166F"/>
    <w:rsid w:val="004F3757"/>
    <w:rsid w:val="004F3AB6"/>
    <w:rsid w:val="004F3EE2"/>
    <w:rsid w:val="004F4F6A"/>
    <w:rsid w:val="004F538C"/>
    <w:rsid w:val="004F6505"/>
    <w:rsid w:val="005000AA"/>
    <w:rsid w:val="00500DA1"/>
    <w:rsid w:val="00501C56"/>
    <w:rsid w:val="00501FCF"/>
    <w:rsid w:val="00502456"/>
    <w:rsid w:val="005030F9"/>
    <w:rsid w:val="00503142"/>
    <w:rsid w:val="00503BBD"/>
    <w:rsid w:val="00503F78"/>
    <w:rsid w:val="00505123"/>
    <w:rsid w:val="00505F29"/>
    <w:rsid w:val="00506A0A"/>
    <w:rsid w:val="00507248"/>
    <w:rsid w:val="00510485"/>
    <w:rsid w:val="0051102C"/>
    <w:rsid w:val="005115A9"/>
    <w:rsid w:val="005115C3"/>
    <w:rsid w:val="005115EE"/>
    <w:rsid w:val="00512A29"/>
    <w:rsid w:val="00512EDD"/>
    <w:rsid w:val="00516F44"/>
    <w:rsid w:val="0051763C"/>
    <w:rsid w:val="005179A0"/>
    <w:rsid w:val="00520542"/>
    <w:rsid w:val="00522500"/>
    <w:rsid w:val="00522C8A"/>
    <w:rsid w:val="00524F0B"/>
    <w:rsid w:val="0052526B"/>
    <w:rsid w:val="0052547A"/>
    <w:rsid w:val="0052633B"/>
    <w:rsid w:val="00526676"/>
    <w:rsid w:val="005316D0"/>
    <w:rsid w:val="00531710"/>
    <w:rsid w:val="0053258D"/>
    <w:rsid w:val="0053732E"/>
    <w:rsid w:val="00537C5D"/>
    <w:rsid w:val="00542622"/>
    <w:rsid w:val="0054311A"/>
    <w:rsid w:val="005436E1"/>
    <w:rsid w:val="00544DE0"/>
    <w:rsid w:val="00546572"/>
    <w:rsid w:val="00546680"/>
    <w:rsid w:val="0054710D"/>
    <w:rsid w:val="0055062F"/>
    <w:rsid w:val="00552155"/>
    <w:rsid w:val="005527AD"/>
    <w:rsid w:val="00552B69"/>
    <w:rsid w:val="00553969"/>
    <w:rsid w:val="00554938"/>
    <w:rsid w:val="00555FCF"/>
    <w:rsid w:val="005575AE"/>
    <w:rsid w:val="00557BCE"/>
    <w:rsid w:val="00557D93"/>
    <w:rsid w:val="0056077A"/>
    <w:rsid w:val="0056118C"/>
    <w:rsid w:val="0056168D"/>
    <w:rsid w:val="00562773"/>
    <w:rsid w:val="00566D08"/>
    <w:rsid w:val="00567A81"/>
    <w:rsid w:val="00570F7A"/>
    <w:rsid w:val="00571260"/>
    <w:rsid w:val="005713DC"/>
    <w:rsid w:val="005719A2"/>
    <w:rsid w:val="005722F3"/>
    <w:rsid w:val="00572504"/>
    <w:rsid w:val="005725AB"/>
    <w:rsid w:val="00572DEF"/>
    <w:rsid w:val="005734E9"/>
    <w:rsid w:val="00573940"/>
    <w:rsid w:val="00573F1C"/>
    <w:rsid w:val="005742F5"/>
    <w:rsid w:val="00574F6F"/>
    <w:rsid w:val="00575E08"/>
    <w:rsid w:val="00576AFC"/>
    <w:rsid w:val="00577505"/>
    <w:rsid w:val="00580509"/>
    <w:rsid w:val="00585225"/>
    <w:rsid w:val="005853CC"/>
    <w:rsid w:val="00587BEA"/>
    <w:rsid w:val="00587EC5"/>
    <w:rsid w:val="00590400"/>
    <w:rsid w:val="00590A5F"/>
    <w:rsid w:val="00590AEF"/>
    <w:rsid w:val="005921F1"/>
    <w:rsid w:val="00592DB0"/>
    <w:rsid w:val="00593690"/>
    <w:rsid w:val="00593B77"/>
    <w:rsid w:val="00594575"/>
    <w:rsid w:val="00594BCA"/>
    <w:rsid w:val="005959AC"/>
    <w:rsid w:val="00595DF9"/>
    <w:rsid w:val="005967DE"/>
    <w:rsid w:val="00597007"/>
    <w:rsid w:val="005A04A2"/>
    <w:rsid w:val="005A0C00"/>
    <w:rsid w:val="005A1C7C"/>
    <w:rsid w:val="005A21AA"/>
    <w:rsid w:val="005A24B0"/>
    <w:rsid w:val="005A2B5B"/>
    <w:rsid w:val="005A326F"/>
    <w:rsid w:val="005A3905"/>
    <w:rsid w:val="005A3B29"/>
    <w:rsid w:val="005A56ED"/>
    <w:rsid w:val="005A57EB"/>
    <w:rsid w:val="005A58DA"/>
    <w:rsid w:val="005A5EDA"/>
    <w:rsid w:val="005A5EF1"/>
    <w:rsid w:val="005A612A"/>
    <w:rsid w:val="005A6DE2"/>
    <w:rsid w:val="005A6F87"/>
    <w:rsid w:val="005A7BFD"/>
    <w:rsid w:val="005B10E5"/>
    <w:rsid w:val="005B1671"/>
    <w:rsid w:val="005B24EC"/>
    <w:rsid w:val="005B299A"/>
    <w:rsid w:val="005B3473"/>
    <w:rsid w:val="005B3704"/>
    <w:rsid w:val="005B4DFE"/>
    <w:rsid w:val="005B4FDF"/>
    <w:rsid w:val="005B5103"/>
    <w:rsid w:val="005B572D"/>
    <w:rsid w:val="005B6A17"/>
    <w:rsid w:val="005B79DD"/>
    <w:rsid w:val="005B7DE7"/>
    <w:rsid w:val="005C109B"/>
    <w:rsid w:val="005C11BF"/>
    <w:rsid w:val="005C19B5"/>
    <w:rsid w:val="005C2DFA"/>
    <w:rsid w:val="005C3401"/>
    <w:rsid w:val="005C518A"/>
    <w:rsid w:val="005C65D9"/>
    <w:rsid w:val="005C6662"/>
    <w:rsid w:val="005C66FF"/>
    <w:rsid w:val="005C67F1"/>
    <w:rsid w:val="005C6930"/>
    <w:rsid w:val="005C6DF7"/>
    <w:rsid w:val="005C723B"/>
    <w:rsid w:val="005C7ECA"/>
    <w:rsid w:val="005D1E30"/>
    <w:rsid w:val="005D2F00"/>
    <w:rsid w:val="005D35D0"/>
    <w:rsid w:val="005D4A8D"/>
    <w:rsid w:val="005D5722"/>
    <w:rsid w:val="005D701A"/>
    <w:rsid w:val="005D7590"/>
    <w:rsid w:val="005E09A7"/>
    <w:rsid w:val="005E39F9"/>
    <w:rsid w:val="005E4755"/>
    <w:rsid w:val="005F1283"/>
    <w:rsid w:val="005F1596"/>
    <w:rsid w:val="005F1B52"/>
    <w:rsid w:val="005F22CA"/>
    <w:rsid w:val="005F2774"/>
    <w:rsid w:val="005F5246"/>
    <w:rsid w:val="005F59B7"/>
    <w:rsid w:val="005F5DB5"/>
    <w:rsid w:val="005F5F48"/>
    <w:rsid w:val="005F7298"/>
    <w:rsid w:val="005F7BBF"/>
    <w:rsid w:val="00600333"/>
    <w:rsid w:val="00601016"/>
    <w:rsid w:val="006013A0"/>
    <w:rsid w:val="00601AC6"/>
    <w:rsid w:val="006033A8"/>
    <w:rsid w:val="0060474B"/>
    <w:rsid w:val="00605D68"/>
    <w:rsid w:val="00606221"/>
    <w:rsid w:val="00606844"/>
    <w:rsid w:val="00606B72"/>
    <w:rsid w:val="006073D5"/>
    <w:rsid w:val="00610856"/>
    <w:rsid w:val="006117D8"/>
    <w:rsid w:val="00611967"/>
    <w:rsid w:val="00614784"/>
    <w:rsid w:val="00614A8D"/>
    <w:rsid w:val="00615745"/>
    <w:rsid w:val="006157BA"/>
    <w:rsid w:val="006163AF"/>
    <w:rsid w:val="00616AE2"/>
    <w:rsid w:val="0061740E"/>
    <w:rsid w:val="006200B2"/>
    <w:rsid w:val="00622899"/>
    <w:rsid w:val="006229FB"/>
    <w:rsid w:val="00622C38"/>
    <w:rsid w:val="00622C58"/>
    <w:rsid w:val="006244FB"/>
    <w:rsid w:val="00625E35"/>
    <w:rsid w:val="00626DBE"/>
    <w:rsid w:val="006316A7"/>
    <w:rsid w:val="00634534"/>
    <w:rsid w:val="00634D0C"/>
    <w:rsid w:val="006409C8"/>
    <w:rsid w:val="00642F32"/>
    <w:rsid w:val="00643047"/>
    <w:rsid w:val="006433DE"/>
    <w:rsid w:val="00643CCD"/>
    <w:rsid w:val="00643DFC"/>
    <w:rsid w:val="00644171"/>
    <w:rsid w:val="00644327"/>
    <w:rsid w:val="006449EE"/>
    <w:rsid w:val="00646323"/>
    <w:rsid w:val="00646765"/>
    <w:rsid w:val="00646B48"/>
    <w:rsid w:val="006476E0"/>
    <w:rsid w:val="00650EBF"/>
    <w:rsid w:val="00651752"/>
    <w:rsid w:val="0065252A"/>
    <w:rsid w:val="00653468"/>
    <w:rsid w:val="00653EE0"/>
    <w:rsid w:val="0065455A"/>
    <w:rsid w:val="006545BA"/>
    <w:rsid w:val="00654E22"/>
    <w:rsid w:val="00655442"/>
    <w:rsid w:val="00655F2B"/>
    <w:rsid w:val="00655FBF"/>
    <w:rsid w:val="006560FB"/>
    <w:rsid w:val="006565BE"/>
    <w:rsid w:val="006567A8"/>
    <w:rsid w:val="00656CF4"/>
    <w:rsid w:val="0065765D"/>
    <w:rsid w:val="00661651"/>
    <w:rsid w:val="00661C18"/>
    <w:rsid w:val="006627A2"/>
    <w:rsid w:val="0066353E"/>
    <w:rsid w:val="006636C8"/>
    <w:rsid w:val="00663A3F"/>
    <w:rsid w:val="00664DBB"/>
    <w:rsid w:val="0066561A"/>
    <w:rsid w:val="00665A35"/>
    <w:rsid w:val="00666E28"/>
    <w:rsid w:val="00667674"/>
    <w:rsid w:val="0067096E"/>
    <w:rsid w:val="00671B03"/>
    <w:rsid w:val="00672372"/>
    <w:rsid w:val="00672809"/>
    <w:rsid w:val="00672DAF"/>
    <w:rsid w:val="00673849"/>
    <w:rsid w:val="0067456D"/>
    <w:rsid w:val="0067601A"/>
    <w:rsid w:val="00676736"/>
    <w:rsid w:val="00676AA8"/>
    <w:rsid w:val="00677CA2"/>
    <w:rsid w:val="00680F6F"/>
    <w:rsid w:val="00681EB5"/>
    <w:rsid w:val="006820A6"/>
    <w:rsid w:val="00682DD6"/>
    <w:rsid w:val="006840DA"/>
    <w:rsid w:val="006853F4"/>
    <w:rsid w:val="00687023"/>
    <w:rsid w:val="00687A43"/>
    <w:rsid w:val="00687D21"/>
    <w:rsid w:val="006908BF"/>
    <w:rsid w:val="00690A41"/>
    <w:rsid w:val="006932A0"/>
    <w:rsid w:val="006948C9"/>
    <w:rsid w:val="0069507F"/>
    <w:rsid w:val="006A0E54"/>
    <w:rsid w:val="006A1D94"/>
    <w:rsid w:val="006A1ED2"/>
    <w:rsid w:val="006A6698"/>
    <w:rsid w:val="006A6E2C"/>
    <w:rsid w:val="006A7508"/>
    <w:rsid w:val="006A7F74"/>
    <w:rsid w:val="006A7F94"/>
    <w:rsid w:val="006B1721"/>
    <w:rsid w:val="006B1B6D"/>
    <w:rsid w:val="006B26A5"/>
    <w:rsid w:val="006B2C79"/>
    <w:rsid w:val="006B374A"/>
    <w:rsid w:val="006B3BEE"/>
    <w:rsid w:val="006B5128"/>
    <w:rsid w:val="006B5BD4"/>
    <w:rsid w:val="006B674D"/>
    <w:rsid w:val="006B6EF1"/>
    <w:rsid w:val="006C0C27"/>
    <w:rsid w:val="006C15E8"/>
    <w:rsid w:val="006C1BCF"/>
    <w:rsid w:val="006C2565"/>
    <w:rsid w:val="006C36EA"/>
    <w:rsid w:val="006C4AD2"/>
    <w:rsid w:val="006C5E78"/>
    <w:rsid w:val="006C66F9"/>
    <w:rsid w:val="006C739D"/>
    <w:rsid w:val="006C78A7"/>
    <w:rsid w:val="006D05AA"/>
    <w:rsid w:val="006D0CC5"/>
    <w:rsid w:val="006D23B1"/>
    <w:rsid w:val="006D36EA"/>
    <w:rsid w:val="006D434A"/>
    <w:rsid w:val="006D4698"/>
    <w:rsid w:val="006D58A9"/>
    <w:rsid w:val="006D5D61"/>
    <w:rsid w:val="006D6289"/>
    <w:rsid w:val="006D6CBB"/>
    <w:rsid w:val="006D736E"/>
    <w:rsid w:val="006D793F"/>
    <w:rsid w:val="006D7F6C"/>
    <w:rsid w:val="006E1F11"/>
    <w:rsid w:val="006E2F73"/>
    <w:rsid w:val="006E37AF"/>
    <w:rsid w:val="006E3A82"/>
    <w:rsid w:val="006E46CF"/>
    <w:rsid w:val="006E5CD9"/>
    <w:rsid w:val="006E66DD"/>
    <w:rsid w:val="006E6CA7"/>
    <w:rsid w:val="006F070E"/>
    <w:rsid w:val="006F0944"/>
    <w:rsid w:val="006F0DEE"/>
    <w:rsid w:val="006F10FA"/>
    <w:rsid w:val="006F2855"/>
    <w:rsid w:val="006F2B38"/>
    <w:rsid w:val="006F3BBC"/>
    <w:rsid w:val="006F3BC4"/>
    <w:rsid w:val="006F3CC1"/>
    <w:rsid w:val="006F41CB"/>
    <w:rsid w:val="006F5847"/>
    <w:rsid w:val="006F6B91"/>
    <w:rsid w:val="006F7BA1"/>
    <w:rsid w:val="006F7DD8"/>
    <w:rsid w:val="00701216"/>
    <w:rsid w:val="007014C1"/>
    <w:rsid w:val="00701C72"/>
    <w:rsid w:val="00701DCC"/>
    <w:rsid w:val="00705D0F"/>
    <w:rsid w:val="00706BD0"/>
    <w:rsid w:val="00710D27"/>
    <w:rsid w:val="00711132"/>
    <w:rsid w:val="007117CD"/>
    <w:rsid w:val="00711BC6"/>
    <w:rsid w:val="00711FC1"/>
    <w:rsid w:val="00713895"/>
    <w:rsid w:val="0071582D"/>
    <w:rsid w:val="00716269"/>
    <w:rsid w:val="00716A59"/>
    <w:rsid w:val="00716BD3"/>
    <w:rsid w:val="00716ECF"/>
    <w:rsid w:val="0071734B"/>
    <w:rsid w:val="00717D41"/>
    <w:rsid w:val="007203A0"/>
    <w:rsid w:val="007225B9"/>
    <w:rsid w:val="00722AE7"/>
    <w:rsid w:val="00723962"/>
    <w:rsid w:val="007247CB"/>
    <w:rsid w:val="00725FD2"/>
    <w:rsid w:val="0072622D"/>
    <w:rsid w:val="00726756"/>
    <w:rsid w:val="00726ACF"/>
    <w:rsid w:val="007275F7"/>
    <w:rsid w:val="007303EF"/>
    <w:rsid w:val="00731E73"/>
    <w:rsid w:val="00732334"/>
    <w:rsid w:val="00735EE5"/>
    <w:rsid w:val="0073740F"/>
    <w:rsid w:val="00737B2E"/>
    <w:rsid w:val="007408A6"/>
    <w:rsid w:val="00741368"/>
    <w:rsid w:val="00741DFF"/>
    <w:rsid w:val="00742C3C"/>
    <w:rsid w:val="00742E83"/>
    <w:rsid w:val="00743072"/>
    <w:rsid w:val="007432AE"/>
    <w:rsid w:val="00744BD0"/>
    <w:rsid w:val="00745352"/>
    <w:rsid w:val="007465A6"/>
    <w:rsid w:val="00746B7D"/>
    <w:rsid w:val="00747D80"/>
    <w:rsid w:val="00747EF7"/>
    <w:rsid w:val="00747F3B"/>
    <w:rsid w:val="00750B66"/>
    <w:rsid w:val="0075185E"/>
    <w:rsid w:val="007536C5"/>
    <w:rsid w:val="00755B2D"/>
    <w:rsid w:val="00755E00"/>
    <w:rsid w:val="00756DC1"/>
    <w:rsid w:val="007634FE"/>
    <w:rsid w:val="00765AA8"/>
    <w:rsid w:val="007702C7"/>
    <w:rsid w:val="007706B1"/>
    <w:rsid w:val="00770F8C"/>
    <w:rsid w:val="0077187C"/>
    <w:rsid w:val="00771951"/>
    <w:rsid w:val="00772E3A"/>
    <w:rsid w:val="00772FC3"/>
    <w:rsid w:val="0077424E"/>
    <w:rsid w:val="007744CB"/>
    <w:rsid w:val="00774E8C"/>
    <w:rsid w:val="007756E8"/>
    <w:rsid w:val="00775F1A"/>
    <w:rsid w:val="0077660B"/>
    <w:rsid w:val="00776908"/>
    <w:rsid w:val="0077773B"/>
    <w:rsid w:val="0078238F"/>
    <w:rsid w:val="007836D8"/>
    <w:rsid w:val="00783FB6"/>
    <w:rsid w:val="00784013"/>
    <w:rsid w:val="0078508E"/>
    <w:rsid w:val="0078536D"/>
    <w:rsid w:val="0078553E"/>
    <w:rsid w:val="0078610C"/>
    <w:rsid w:val="00786523"/>
    <w:rsid w:val="00786740"/>
    <w:rsid w:val="00786B5B"/>
    <w:rsid w:val="007871EC"/>
    <w:rsid w:val="0079292B"/>
    <w:rsid w:val="00792C8B"/>
    <w:rsid w:val="007931EA"/>
    <w:rsid w:val="00794FE8"/>
    <w:rsid w:val="00796878"/>
    <w:rsid w:val="00796FE2"/>
    <w:rsid w:val="0079757B"/>
    <w:rsid w:val="00797659"/>
    <w:rsid w:val="00797C96"/>
    <w:rsid w:val="007A1113"/>
    <w:rsid w:val="007A11CC"/>
    <w:rsid w:val="007A67B3"/>
    <w:rsid w:val="007A7EDB"/>
    <w:rsid w:val="007B15F0"/>
    <w:rsid w:val="007B1D51"/>
    <w:rsid w:val="007B1DCE"/>
    <w:rsid w:val="007B28C4"/>
    <w:rsid w:val="007B297A"/>
    <w:rsid w:val="007B3FA2"/>
    <w:rsid w:val="007B40CC"/>
    <w:rsid w:val="007B7C03"/>
    <w:rsid w:val="007C0AC5"/>
    <w:rsid w:val="007C1E6E"/>
    <w:rsid w:val="007C30FE"/>
    <w:rsid w:val="007C3F0E"/>
    <w:rsid w:val="007C42A0"/>
    <w:rsid w:val="007C553D"/>
    <w:rsid w:val="007C579C"/>
    <w:rsid w:val="007C5D71"/>
    <w:rsid w:val="007C64B1"/>
    <w:rsid w:val="007D0E7D"/>
    <w:rsid w:val="007D13C8"/>
    <w:rsid w:val="007D23A7"/>
    <w:rsid w:val="007D267D"/>
    <w:rsid w:val="007D4674"/>
    <w:rsid w:val="007D50F5"/>
    <w:rsid w:val="007D6F29"/>
    <w:rsid w:val="007D704A"/>
    <w:rsid w:val="007E12D6"/>
    <w:rsid w:val="007E2911"/>
    <w:rsid w:val="007E3707"/>
    <w:rsid w:val="007E37AE"/>
    <w:rsid w:val="007E6ADF"/>
    <w:rsid w:val="007E7738"/>
    <w:rsid w:val="007F2673"/>
    <w:rsid w:val="007F3CE2"/>
    <w:rsid w:val="007F3E8D"/>
    <w:rsid w:val="007F448E"/>
    <w:rsid w:val="007F52C9"/>
    <w:rsid w:val="007F6099"/>
    <w:rsid w:val="007F734B"/>
    <w:rsid w:val="007F7CCE"/>
    <w:rsid w:val="00800EBC"/>
    <w:rsid w:val="008010AA"/>
    <w:rsid w:val="00801714"/>
    <w:rsid w:val="00801EF1"/>
    <w:rsid w:val="0080370A"/>
    <w:rsid w:val="00803D91"/>
    <w:rsid w:val="008052EC"/>
    <w:rsid w:val="0080534B"/>
    <w:rsid w:val="008062D9"/>
    <w:rsid w:val="00806F58"/>
    <w:rsid w:val="00810292"/>
    <w:rsid w:val="00810401"/>
    <w:rsid w:val="0081055D"/>
    <w:rsid w:val="0081068F"/>
    <w:rsid w:val="0081081B"/>
    <w:rsid w:val="00810C57"/>
    <w:rsid w:val="00812F3B"/>
    <w:rsid w:val="0081305A"/>
    <w:rsid w:val="008147DF"/>
    <w:rsid w:val="00815296"/>
    <w:rsid w:val="00816F6A"/>
    <w:rsid w:val="00817010"/>
    <w:rsid w:val="00817B11"/>
    <w:rsid w:val="00821840"/>
    <w:rsid w:val="00822473"/>
    <w:rsid w:val="008232B6"/>
    <w:rsid w:val="008233C0"/>
    <w:rsid w:val="00823C97"/>
    <w:rsid w:val="00824577"/>
    <w:rsid w:val="00826005"/>
    <w:rsid w:val="00826809"/>
    <w:rsid w:val="00826BEC"/>
    <w:rsid w:val="008276FD"/>
    <w:rsid w:val="008304C5"/>
    <w:rsid w:val="00830892"/>
    <w:rsid w:val="00830949"/>
    <w:rsid w:val="008310D9"/>
    <w:rsid w:val="00831B3C"/>
    <w:rsid w:val="008323E6"/>
    <w:rsid w:val="00832561"/>
    <w:rsid w:val="00834A5B"/>
    <w:rsid w:val="00834D57"/>
    <w:rsid w:val="00835470"/>
    <w:rsid w:val="00835B35"/>
    <w:rsid w:val="00835DED"/>
    <w:rsid w:val="0083658A"/>
    <w:rsid w:val="0083727F"/>
    <w:rsid w:val="00840470"/>
    <w:rsid w:val="00840C1D"/>
    <w:rsid w:val="00842937"/>
    <w:rsid w:val="00843C0E"/>
    <w:rsid w:val="00844F32"/>
    <w:rsid w:val="008473A2"/>
    <w:rsid w:val="008473D8"/>
    <w:rsid w:val="008475E6"/>
    <w:rsid w:val="00847819"/>
    <w:rsid w:val="0085001A"/>
    <w:rsid w:val="00850847"/>
    <w:rsid w:val="008523DE"/>
    <w:rsid w:val="00852731"/>
    <w:rsid w:val="00852DD0"/>
    <w:rsid w:val="00853ED1"/>
    <w:rsid w:val="0085488F"/>
    <w:rsid w:val="00854D0F"/>
    <w:rsid w:val="008569CA"/>
    <w:rsid w:val="008613C1"/>
    <w:rsid w:val="0086244B"/>
    <w:rsid w:val="008629DE"/>
    <w:rsid w:val="008634A4"/>
    <w:rsid w:val="00863A8F"/>
    <w:rsid w:val="00864898"/>
    <w:rsid w:val="008656DB"/>
    <w:rsid w:val="00865F8A"/>
    <w:rsid w:val="0086667A"/>
    <w:rsid w:val="00866955"/>
    <w:rsid w:val="0086766E"/>
    <w:rsid w:val="00870869"/>
    <w:rsid w:val="00870A86"/>
    <w:rsid w:val="00872100"/>
    <w:rsid w:val="00875562"/>
    <w:rsid w:val="00876B29"/>
    <w:rsid w:val="0087714C"/>
    <w:rsid w:val="00877369"/>
    <w:rsid w:val="00877CD1"/>
    <w:rsid w:val="00882598"/>
    <w:rsid w:val="00883781"/>
    <w:rsid w:val="0088473A"/>
    <w:rsid w:val="00884B0A"/>
    <w:rsid w:val="008857A5"/>
    <w:rsid w:val="0088617C"/>
    <w:rsid w:val="00886D2D"/>
    <w:rsid w:val="008910F8"/>
    <w:rsid w:val="008915C2"/>
    <w:rsid w:val="0089268C"/>
    <w:rsid w:val="0089325F"/>
    <w:rsid w:val="0089436A"/>
    <w:rsid w:val="00895E36"/>
    <w:rsid w:val="00895EEA"/>
    <w:rsid w:val="00896522"/>
    <w:rsid w:val="008A023D"/>
    <w:rsid w:val="008A0B34"/>
    <w:rsid w:val="008A18AC"/>
    <w:rsid w:val="008A25D0"/>
    <w:rsid w:val="008A3044"/>
    <w:rsid w:val="008A38EC"/>
    <w:rsid w:val="008A4C3D"/>
    <w:rsid w:val="008A6897"/>
    <w:rsid w:val="008A6D2C"/>
    <w:rsid w:val="008B0F1D"/>
    <w:rsid w:val="008B24B8"/>
    <w:rsid w:val="008B2A8D"/>
    <w:rsid w:val="008B37EA"/>
    <w:rsid w:val="008B5840"/>
    <w:rsid w:val="008B5920"/>
    <w:rsid w:val="008B5D57"/>
    <w:rsid w:val="008B70F9"/>
    <w:rsid w:val="008C0428"/>
    <w:rsid w:val="008C0B73"/>
    <w:rsid w:val="008C0E16"/>
    <w:rsid w:val="008C10F0"/>
    <w:rsid w:val="008C1C51"/>
    <w:rsid w:val="008C359F"/>
    <w:rsid w:val="008C36F0"/>
    <w:rsid w:val="008C3CD6"/>
    <w:rsid w:val="008C4C71"/>
    <w:rsid w:val="008C5295"/>
    <w:rsid w:val="008C596A"/>
    <w:rsid w:val="008C5B7E"/>
    <w:rsid w:val="008C6DD3"/>
    <w:rsid w:val="008D0014"/>
    <w:rsid w:val="008D1C56"/>
    <w:rsid w:val="008D533D"/>
    <w:rsid w:val="008D5E97"/>
    <w:rsid w:val="008D610D"/>
    <w:rsid w:val="008D6282"/>
    <w:rsid w:val="008E0D8E"/>
    <w:rsid w:val="008E1C41"/>
    <w:rsid w:val="008E24C3"/>
    <w:rsid w:val="008E2778"/>
    <w:rsid w:val="008E2B0F"/>
    <w:rsid w:val="008E4ABC"/>
    <w:rsid w:val="008E5412"/>
    <w:rsid w:val="008E7912"/>
    <w:rsid w:val="008E7D47"/>
    <w:rsid w:val="008F10D8"/>
    <w:rsid w:val="008F34EF"/>
    <w:rsid w:val="008F3691"/>
    <w:rsid w:val="008F42C2"/>
    <w:rsid w:val="008F57B4"/>
    <w:rsid w:val="008F5D74"/>
    <w:rsid w:val="008F6CDA"/>
    <w:rsid w:val="008F75EF"/>
    <w:rsid w:val="00900261"/>
    <w:rsid w:val="00900376"/>
    <w:rsid w:val="00902DFB"/>
    <w:rsid w:val="0090522C"/>
    <w:rsid w:val="00905B53"/>
    <w:rsid w:val="00907122"/>
    <w:rsid w:val="0090782A"/>
    <w:rsid w:val="00907C85"/>
    <w:rsid w:val="00911B61"/>
    <w:rsid w:val="00912DB9"/>
    <w:rsid w:val="0091300F"/>
    <w:rsid w:val="00913763"/>
    <w:rsid w:val="00914215"/>
    <w:rsid w:val="00916ACE"/>
    <w:rsid w:val="00917091"/>
    <w:rsid w:val="009207D6"/>
    <w:rsid w:val="00923F70"/>
    <w:rsid w:val="009259FE"/>
    <w:rsid w:val="0092754F"/>
    <w:rsid w:val="009277CA"/>
    <w:rsid w:val="00930A6A"/>
    <w:rsid w:val="00930E0C"/>
    <w:rsid w:val="00930F1C"/>
    <w:rsid w:val="0093140F"/>
    <w:rsid w:val="00932EA4"/>
    <w:rsid w:val="009340B7"/>
    <w:rsid w:val="00934214"/>
    <w:rsid w:val="009352D2"/>
    <w:rsid w:val="00935585"/>
    <w:rsid w:val="00936018"/>
    <w:rsid w:val="00937021"/>
    <w:rsid w:val="009376D2"/>
    <w:rsid w:val="00937BC1"/>
    <w:rsid w:val="00937D4A"/>
    <w:rsid w:val="0094051B"/>
    <w:rsid w:val="00940923"/>
    <w:rsid w:val="00940C5B"/>
    <w:rsid w:val="00941C69"/>
    <w:rsid w:val="00941ECC"/>
    <w:rsid w:val="009424D4"/>
    <w:rsid w:val="009430E5"/>
    <w:rsid w:val="00943DFB"/>
    <w:rsid w:val="009449D0"/>
    <w:rsid w:val="009457EC"/>
    <w:rsid w:val="00947012"/>
    <w:rsid w:val="00950A79"/>
    <w:rsid w:val="009525EC"/>
    <w:rsid w:val="00952CBD"/>
    <w:rsid w:val="00954D57"/>
    <w:rsid w:val="00954EF5"/>
    <w:rsid w:val="009562B2"/>
    <w:rsid w:val="00962F4F"/>
    <w:rsid w:val="0096552B"/>
    <w:rsid w:val="0096732C"/>
    <w:rsid w:val="009723D1"/>
    <w:rsid w:val="009724FF"/>
    <w:rsid w:val="00972748"/>
    <w:rsid w:val="0097326F"/>
    <w:rsid w:val="00973992"/>
    <w:rsid w:val="009749B0"/>
    <w:rsid w:val="00975788"/>
    <w:rsid w:val="00975E40"/>
    <w:rsid w:val="00976416"/>
    <w:rsid w:val="009765C2"/>
    <w:rsid w:val="009766A5"/>
    <w:rsid w:val="00977BF3"/>
    <w:rsid w:val="00981502"/>
    <w:rsid w:val="00981C58"/>
    <w:rsid w:val="00983446"/>
    <w:rsid w:val="00985647"/>
    <w:rsid w:val="00986932"/>
    <w:rsid w:val="00986B9B"/>
    <w:rsid w:val="0098706E"/>
    <w:rsid w:val="00987B11"/>
    <w:rsid w:val="00990831"/>
    <w:rsid w:val="00992208"/>
    <w:rsid w:val="0099279C"/>
    <w:rsid w:val="00992B9A"/>
    <w:rsid w:val="00993335"/>
    <w:rsid w:val="00994305"/>
    <w:rsid w:val="00997095"/>
    <w:rsid w:val="00997435"/>
    <w:rsid w:val="00997673"/>
    <w:rsid w:val="009A0504"/>
    <w:rsid w:val="009A0942"/>
    <w:rsid w:val="009A1BD9"/>
    <w:rsid w:val="009A1DDD"/>
    <w:rsid w:val="009A21AF"/>
    <w:rsid w:val="009A30A8"/>
    <w:rsid w:val="009A5061"/>
    <w:rsid w:val="009A54E8"/>
    <w:rsid w:val="009A6332"/>
    <w:rsid w:val="009A6816"/>
    <w:rsid w:val="009A7552"/>
    <w:rsid w:val="009B1268"/>
    <w:rsid w:val="009B1EA7"/>
    <w:rsid w:val="009B2557"/>
    <w:rsid w:val="009B2B9F"/>
    <w:rsid w:val="009B3288"/>
    <w:rsid w:val="009B38AA"/>
    <w:rsid w:val="009B4098"/>
    <w:rsid w:val="009B6107"/>
    <w:rsid w:val="009B7283"/>
    <w:rsid w:val="009B7507"/>
    <w:rsid w:val="009C0E66"/>
    <w:rsid w:val="009C3F62"/>
    <w:rsid w:val="009C5365"/>
    <w:rsid w:val="009C54A7"/>
    <w:rsid w:val="009C60ED"/>
    <w:rsid w:val="009C6CA3"/>
    <w:rsid w:val="009C707A"/>
    <w:rsid w:val="009D013C"/>
    <w:rsid w:val="009D37CD"/>
    <w:rsid w:val="009D4F05"/>
    <w:rsid w:val="009D5C99"/>
    <w:rsid w:val="009D6072"/>
    <w:rsid w:val="009D6EC9"/>
    <w:rsid w:val="009D73AE"/>
    <w:rsid w:val="009D763A"/>
    <w:rsid w:val="009D7A1E"/>
    <w:rsid w:val="009E0F2B"/>
    <w:rsid w:val="009E1AB8"/>
    <w:rsid w:val="009E29A0"/>
    <w:rsid w:val="009E3D49"/>
    <w:rsid w:val="009E46FC"/>
    <w:rsid w:val="009E503F"/>
    <w:rsid w:val="009F00C0"/>
    <w:rsid w:val="009F0625"/>
    <w:rsid w:val="009F0DAE"/>
    <w:rsid w:val="009F1B0F"/>
    <w:rsid w:val="009F27CA"/>
    <w:rsid w:val="009F2F78"/>
    <w:rsid w:val="009F3266"/>
    <w:rsid w:val="009F5B38"/>
    <w:rsid w:val="009F6B07"/>
    <w:rsid w:val="00A000AE"/>
    <w:rsid w:val="00A007AA"/>
    <w:rsid w:val="00A01502"/>
    <w:rsid w:val="00A02849"/>
    <w:rsid w:val="00A0404D"/>
    <w:rsid w:val="00A050D3"/>
    <w:rsid w:val="00A0510F"/>
    <w:rsid w:val="00A05DDC"/>
    <w:rsid w:val="00A064FB"/>
    <w:rsid w:val="00A065E2"/>
    <w:rsid w:val="00A06CC6"/>
    <w:rsid w:val="00A1095E"/>
    <w:rsid w:val="00A10A4B"/>
    <w:rsid w:val="00A11B74"/>
    <w:rsid w:val="00A11BB6"/>
    <w:rsid w:val="00A12255"/>
    <w:rsid w:val="00A14D53"/>
    <w:rsid w:val="00A154BE"/>
    <w:rsid w:val="00A20C6E"/>
    <w:rsid w:val="00A213BD"/>
    <w:rsid w:val="00A21E11"/>
    <w:rsid w:val="00A2239A"/>
    <w:rsid w:val="00A22E11"/>
    <w:rsid w:val="00A2377E"/>
    <w:rsid w:val="00A23ABD"/>
    <w:rsid w:val="00A23DB4"/>
    <w:rsid w:val="00A24AA2"/>
    <w:rsid w:val="00A267A5"/>
    <w:rsid w:val="00A26AF3"/>
    <w:rsid w:val="00A26E37"/>
    <w:rsid w:val="00A26E67"/>
    <w:rsid w:val="00A272CC"/>
    <w:rsid w:val="00A300F8"/>
    <w:rsid w:val="00A31482"/>
    <w:rsid w:val="00A31D42"/>
    <w:rsid w:val="00A31EE5"/>
    <w:rsid w:val="00A3268F"/>
    <w:rsid w:val="00A3270B"/>
    <w:rsid w:val="00A33034"/>
    <w:rsid w:val="00A33100"/>
    <w:rsid w:val="00A33C9A"/>
    <w:rsid w:val="00A33FE0"/>
    <w:rsid w:val="00A34292"/>
    <w:rsid w:val="00A34B9A"/>
    <w:rsid w:val="00A35613"/>
    <w:rsid w:val="00A35B58"/>
    <w:rsid w:val="00A35C62"/>
    <w:rsid w:val="00A365DF"/>
    <w:rsid w:val="00A377D7"/>
    <w:rsid w:val="00A377EE"/>
    <w:rsid w:val="00A3785E"/>
    <w:rsid w:val="00A4028B"/>
    <w:rsid w:val="00A4111D"/>
    <w:rsid w:val="00A42167"/>
    <w:rsid w:val="00A4217B"/>
    <w:rsid w:val="00A421B6"/>
    <w:rsid w:val="00A42228"/>
    <w:rsid w:val="00A434E7"/>
    <w:rsid w:val="00A43A58"/>
    <w:rsid w:val="00A44E64"/>
    <w:rsid w:val="00A450BB"/>
    <w:rsid w:val="00A45328"/>
    <w:rsid w:val="00A45999"/>
    <w:rsid w:val="00A46048"/>
    <w:rsid w:val="00A4604E"/>
    <w:rsid w:val="00A47824"/>
    <w:rsid w:val="00A47B90"/>
    <w:rsid w:val="00A5162E"/>
    <w:rsid w:val="00A51838"/>
    <w:rsid w:val="00A52748"/>
    <w:rsid w:val="00A52C81"/>
    <w:rsid w:val="00A52FA1"/>
    <w:rsid w:val="00A53680"/>
    <w:rsid w:val="00A53973"/>
    <w:rsid w:val="00A55D05"/>
    <w:rsid w:val="00A5736E"/>
    <w:rsid w:val="00A61C10"/>
    <w:rsid w:val="00A6230F"/>
    <w:rsid w:val="00A63C9B"/>
    <w:rsid w:val="00A64D34"/>
    <w:rsid w:val="00A67465"/>
    <w:rsid w:val="00A67D38"/>
    <w:rsid w:val="00A701F4"/>
    <w:rsid w:val="00A704BB"/>
    <w:rsid w:val="00A70BE4"/>
    <w:rsid w:val="00A7121E"/>
    <w:rsid w:val="00A723C2"/>
    <w:rsid w:val="00A727DA"/>
    <w:rsid w:val="00A729DF"/>
    <w:rsid w:val="00A73000"/>
    <w:rsid w:val="00A7305A"/>
    <w:rsid w:val="00A7370E"/>
    <w:rsid w:val="00A757D3"/>
    <w:rsid w:val="00A757EC"/>
    <w:rsid w:val="00A76B5E"/>
    <w:rsid w:val="00A806C4"/>
    <w:rsid w:val="00A837AC"/>
    <w:rsid w:val="00A850E2"/>
    <w:rsid w:val="00A860ED"/>
    <w:rsid w:val="00A86162"/>
    <w:rsid w:val="00A863D5"/>
    <w:rsid w:val="00A869AF"/>
    <w:rsid w:val="00A90430"/>
    <w:rsid w:val="00A9084E"/>
    <w:rsid w:val="00A9102A"/>
    <w:rsid w:val="00A9189E"/>
    <w:rsid w:val="00A934CB"/>
    <w:rsid w:val="00A934E9"/>
    <w:rsid w:val="00A9394F"/>
    <w:rsid w:val="00A94F2F"/>
    <w:rsid w:val="00A97AEC"/>
    <w:rsid w:val="00A97D29"/>
    <w:rsid w:val="00AA02D1"/>
    <w:rsid w:val="00AA12D6"/>
    <w:rsid w:val="00AA25B4"/>
    <w:rsid w:val="00AA4EC8"/>
    <w:rsid w:val="00AA6401"/>
    <w:rsid w:val="00AA6402"/>
    <w:rsid w:val="00AA6BE1"/>
    <w:rsid w:val="00AB0348"/>
    <w:rsid w:val="00AB0BA3"/>
    <w:rsid w:val="00AB0F6E"/>
    <w:rsid w:val="00AB249E"/>
    <w:rsid w:val="00AB2BEA"/>
    <w:rsid w:val="00AB3602"/>
    <w:rsid w:val="00AB37B3"/>
    <w:rsid w:val="00AB5105"/>
    <w:rsid w:val="00AB543A"/>
    <w:rsid w:val="00AB5835"/>
    <w:rsid w:val="00AB5BC1"/>
    <w:rsid w:val="00AB63FB"/>
    <w:rsid w:val="00AB68DE"/>
    <w:rsid w:val="00AB7CBA"/>
    <w:rsid w:val="00AC1EDA"/>
    <w:rsid w:val="00AC2789"/>
    <w:rsid w:val="00AC38FD"/>
    <w:rsid w:val="00AC526A"/>
    <w:rsid w:val="00AC653E"/>
    <w:rsid w:val="00AC79D6"/>
    <w:rsid w:val="00AD1BA6"/>
    <w:rsid w:val="00AD2B5A"/>
    <w:rsid w:val="00AD3256"/>
    <w:rsid w:val="00AD3B74"/>
    <w:rsid w:val="00AD3C16"/>
    <w:rsid w:val="00AD4A9C"/>
    <w:rsid w:val="00AD4C5A"/>
    <w:rsid w:val="00AD58FD"/>
    <w:rsid w:val="00AD603B"/>
    <w:rsid w:val="00AD68BC"/>
    <w:rsid w:val="00AE143E"/>
    <w:rsid w:val="00AE3223"/>
    <w:rsid w:val="00AE3E44"/>
    <w:rsid w:val="00AE3F2E"/>
    <w:rsid w:val="00AE5012"/>
    <w:rsid w:val="00AE5844"/>
    <w:rsid w:val="00AE6CB3"/>
    <w:rsid w:val="00AE6EFE"/>
    <w:rsid w:val="00AE71B3"/>
    <w:rsid w:val="00AE72FB"/>
    <w:rsid w:val="00AE76FC"/>
    <w:rsid w:val="00AE7B8A"/>
    <w:rsid w:val="00AF2AD4"/>
    <w:rsid w:val="00AF45FD"/>
    <w:rsid w:val="00AF5982"/>
    <w:rsid w:val="00AF6D60"/>
    <w:rsid w:val="00AF73AA"/>
    <w:rsid w:val="00B0081E"/>
    <w:rsid w:val="00B00976"/>
    <w:rsid w:val="00B01DF7"/>
    <w:rsid w:val="00B03014"/>
    <w:rsid w:val="00B03631"/>
    <w:rsid w:val="00B03B11"/>
    <w:rsid w:val="00B10032"/>
    <w:rsid w:val="00B10B94"/>
    <w:rsid w:val="00B11879"/>
    <w:rsid w:val="00B12126"/>
    <w:rsid w:val="00B12F7C"/>
    <w:rsid w:val="00B13AA1"/>
    <w:rsid w:val="00B14DE2"/>
    <w:rsid w:val="00B14DE7"/>
    <w:rsid w:val="00B154D1"/>
    <w:rsid w:val="00B16428"/>
    <w:rsid w:val="00B16BB8"/>
    <w:rsid w:val="00B17020"/>
    <w:rsid w:val="00B17615"/>
    <w:rsid w:val="00B20408"/>
    <w:rsid w:val="00B21200"/>
    <w:rsid w:val="00B2141F"/>
    <w:rsid w:val="00B21746"/>
    <w:rsid w:val="00B21CFC"/>
    <w:rsid w:val="00B223BD"/>
    <w:rsid w:val="00B22C84"/>
    <w:rsid w:val="00B23FEC"/>
    <w:rsid w:val="00B247D8"/>
    <w:rsid w:val="00B25795"/>
    <w:rsid w:val="00B25F12"/>
    <w:rsid w:val="00B261DE"/>
    <w:rsid w:val="00B26C05"/>
    <w:rsid w:val="00B27A7D"/>
    <w:rsid w:val="00B30507"/>
    <w:rsid w:val="00B309CD"/>
    <w:rsid w:val="00B30DEF"/>
    <w:rsid w:val="00B31B8C"/>
    <w:rsid w:val="00B32736"/>
    <w:rsid w:val="00B32C6D"/>
    <w:rsid w:val="00B33A1E"/>
    <w:rsid w:val="00B34071"/>
    <w:rsid w:val="00B345A4"/>
    <w:rsid w:val="00B348D0"/>
    <w:rsid w:val="00B3541A"/>
    <w:rsid w:val="00B354C5"/>
    <w:rsid w:val="00B35960"/>
    <w:rsid w:val="00B36445"/>
    <w:rsid w:val="00B37A68"/>
    <w:rsid w:val="00B40AD0"/>
    <w:rsid w:val="00B40D68"/>
    <w:rsid w:val="00B40D8D"/>
    <w:rsid w:val="00B466FA"/>
    <w:rsid w:val="00B47716"/>
    <w:rsid w:val="00B506C1"/>
    <w:rsid w:val="00B51A3C"/>
    <w:rsid w:val="00B51F82"/>
    <w:rsid w:val="00B52487"/>
    <w:rsid w:val="00B53486"/>
    <w:rsid w:val="00B555FB"/>
    <w:rsid w:val="00B55769"/>
    <w:rsid w:val="00B571F1"/>
    <w:rsid w:val="00B6073C"/>
    <w:rsid w:val="00B625E6"/>
    <w:rsid w:val="00B642CA"/>
    <w:rsid w:val="00B64BB3"/>
    <w:rsid w:val="00B64E00"/>
    <w:rsid w:val="00B66B99"/>
    <w:rsid w:val="00B66DA7"/>
    <w:rsid w:val="00B70BAE"/>
    <w:rsid w:val="00B73760"/>
    <w:rsid w:val="00B74AB8"/>
    <w:rsid w:val="00B75C2E"/>
    <w:rsid w:val="00B75E74"/>
    <w:rsid w:val="00B7619F"/>
    <w:rsid w:val="00B76D71"/>
    <w:rsid w:val="00B7756B"/>
    <w:rsid w:val="00B819DE"/>
    <w:rsid w:val="00B81F27"/>
    <w:rsid w:val="00B8294B"/>
    <w:rsid w:val="00B840F3"/>
    <w:rsid w:val="00B84763"/>
    <w:rsid w:val="00B84907"/>
    <w:rsid w:val="00B8648B"/>
    <w:rsid w:val="00B87CAC"/>
    <w:rsid w:val="00B87EAB"/>
    <w:rsid w:val="00B91664"/>
    <w:rsid w:val="00B91AC3"/>
    <w:rsid w:val="00B91F9F"/>
    <w:rsid w:val="00B92483"/>
    <w:rsid w:val="00B94380"/>
    <w:rsid w:val="00B94FF3"/>
    <w:rsid w:val="00B959C2"/>
    <w:rsid w:val="00B96B05"/>
    <w:rsid w:val="00B96FD8"/>
    <w:rsid w:val="00B97195"/>
    <w:rsid w:val="00B9793B"/>
    <w:rsid w:val="00B97A4C"/>
    <w:rsid w:val="00B97B5A"/>
    <w:rsid w:val="00BA0244"/>
    <w:rsid w:val="00BA0F94"/>
    <w:rsid w:val="00BA21FF"/>
    <w:rsid w:val="00BA2349"/>
    <w:rsid w:val="00BA348F"/>
    <w:rsid w:val="00BA5590"/>
    <w:rsid w:val="00BA6138"/>
    <w:rsid w:val="00BA69DD"/>
    <w:rsid w:val="00BA6D5B"/>
    <w:rsid w:val="00BA7FAF"/>
    <w:rsid w:val="00BB0E51"/>
    <w:rsid w:val="00BB1AAF"/>
    <w:rsid w:val="00BB2BF4"/>
    <w:rsid w:val="00BB3409"/>
    <w:rsid w:val="00BB3966"/>
    <w:rsid w:val="00BB4487"/>
    <w:rsid w:val="00BB4C19"/>
    <w:rsid w:val="00BB5C0D"/>
    <w:rsid w:val="00BB7D09"/>
    <w:rsid w:val="00BC0BC3"/>
    <w:rsid w:val="00BC0C15"/>
    <w:rsid w:val="00BC1877"/>
    <w:rsid w:val="00BC2F5E"/>
    <w:rsid w:val="00BC3BD4"/>
    <w:rsid w:val="00BC48C7"/>
    <w:rsid w:val="00BC5C11"/>
    <w:rsid w:val="00BD08B1"/>
    <w:rsid w:val="00BD11E6"/>
    <w:rsid w:val="00BD13F7"/>
    <w:rsid w:val="00BD1829"/>
    <w:rsid w:val="00BD2C6E"/>
    <w:rsid w:val="00BD3EA4"/>
    <w:rsid w:val="00BD4BDA"/>
    <w:rsid w:val="00BD6242"/>
    <w:rsid w:val="00BD6BDD"/>
    <w:rsid w:val="00BD7D73"/>
    <w:rsid w:val="00BE0277"/>
    <w:rsid w:val="00BE0881"/>
    <w:rsid w:val="00BE2BB8"/>
    <w:rsid w:val="00BE35DD"/>
    <w:rsid w:val="00BE3B15"/>
    <w:rsid w:val="00BE3D44"/>
    <w:rsid w:val="00BE5959"/>
    <w:rsid w:val="00BE60AE"/>
    <w:rsid w:val="00BF08AF"/>
    <w:rsid w:val="00BF0BBF"/>
    <w:rsid w:val="00BF0EC5"/>
    <w:rsid w:val="00BF138A"/>
    <w:rsid w:val="00BF239F"/>
    <w:rsid w:val="00BF60C9"/>
    <w:rsid w:val="00C007D5"/>
    <w:rsid w:val="00C00E58"/>
    <w:rsid w:val="00C019E7"/>
    <w:rsid w:val="00C01EF1"/>
    <w:rsid w:val="00C041DB"/>
    <w:rsid w:val="00C05184"/>
    <w:rsid w:val="00C0618C"/>
    <w:rsid w:val="00C06EC5"/>
    <w:rsid w:val="00C07110"/>
    <w:rsid w:val="00C13ED9"/>
    <w:rsid w:val="00C15C21"/>
    <w:rsid w:val="00C16840"/>
    <w:rsid w:val="00C16D8C"/>
    <w:rsid w:val="00C17050"/>
    <w:rsid w:val="00C176EE"/>
    <w:rsid w:val="00C21603"/>
    <w:rsid w:val="00C23924"/>
    <w:rsid w:val="00C23C4C"/>
    <w:rsid w:val="00C252C1"/>
    <w:rsid w:val="00C2535B"/>
    <w:rsid w:val="00C26637"/>
    <w:rsid w:val="00C301EB"/>
    <w:rsid w:val="00C3119A"/>
    <w:rsid w:val="00C31203"/>
    <w:rsid w:val="00C31A54"/>
    <w:rsid w:val="00C32F6E"/>
    <w:rsid w:val="00C332E8"/>
    <w:rsid w:val="00C341AD"/>
    <w:rsid w:val="00C36780"/>
    <w:rsid w:val="00C37848"/>
    <w:rsid w:val="00C37927"/>
    <w:rsid w:val="00C4067A"/>
    <w:rsid w:val="00C40B51"/>
    <w:rsid w:val="00C40E46"/>
    <w:rsid w:val="00C416C5"/>
    <w:rsid w:val="00C42388"/>
    <w:rsid w:val="00C42A0E"/>
    <w:rsid w:val="00C4321C"/>
    <w:rsid w:val="00C43F3F"/>
    <w:rsid w:val="00C43FFA"/>
    <w:rsid w:val="00C45249"/>
    <w:rsid w:val="00C46A5C"/>
    <w:rsid w:val="00C46AB0"/>
    <w:rsid w:val="00C5082D"/>
    <w:rsid w:val="00C517DD"/>
    <w:rsid w:val="00C533E2"/>
    <w:rsid w:val="00C53A1F"/>
    <w:rsid w:val="00C53D4B"/>
    <w:rsid w:val="00C54264"/>
    <w:rsid w:val="00C54721"/>
    <w:rsid w:val="00C54BBC"/>
    <w:rsid w:val="00C55163"/>
    <w:rsid w:val="00C55320"/>
    <w:rsid w:val="00C563F8"/>
    <w:rsid w:val="00C56D6A"/>
    <w:rsid w:val="00C57331"/>
    <w:rsid w:val="00C63817"/>
    <w:rsid w:val="00C63EF4"/>
    <w:rsid w:val="00C64C86"/>
    <w:rsid w:val="00C65D21"/>
    <w:rsid w:val="00C65EFC"/>
    <w:rsid w:val="00C67923"/>
    <w:rsid w:val="00C67F1E"/>
    <w:rsid w:val="00C70234"/>
    <w:rsid w:val="00C7191F"/>
    <w:rsid w:val="00C71E8F"/>
    <w:rsid w:val="00C74F62"/>
    <w:rsid w:val="00C75413"/>
    <w:rsid w:val="00C7560B"/>
    <w:rsid w:val="00C801DA"/>
    <w:rsid w:val="00C805D5"/>
    <w:rsid w:val="00C8067D"/>
    <w:rsid w:val="00C81D09"/>
    <w:rsid w:val="00C81D6A"/>
    <w:rsid w:val="00C82653"/>
    <w:rsid w:val="00C82666"/>
    <w:rsid w:val="00C8380C"/>
    <w:rsid w:val="00C83D09"/>
    <w:rsid w:val="00C848F0"/>
    <w:rsid w:val="00C85117"/>
    <w:rsid w:val="00C85E7A"/>
    <w:rsid w:val="00C85FE5"/>
    <w:rsid w:val="00C86C58"/>
    <w:rsid w:val="00C90C8F"/>
    <w:rsid w:val="00C92079"/>
    <w:rsid w:val="00C9247C"/>
    <w:rsid w:val="00C92904"/>
    <w:rsid w:val="00C93214"/>
    <w:rsid w:val="00C93311"/>
    <w:rsid w:val="00C96A32"/>
    <w:rsid w:val="00C96C79"/>
    <w:rsid w:val="00C97BE6"/>
    <w:rsid w:val="00CA007F"/>
    <w:rsid w:val="00CA038A"/>
    <w:rsid w:val="00CA0A08"/>
    <w:rsid w:val="00CA0B81"/>
    <w:rsid w:val="00CA2320"/>
    <w:rsid w:val="00CA532D"/>
    <w:rsid w:val="00CA5330"/>
    <w:rsid w:val="00CA5A2F"/>
    <w:rsid w:val="00CA73E8"/>
    <w:rsid w:val="00CA745E"/>
    <w:rsid w:val="00CA7B0D"/>
    <w:rsid w:val="00CB0887"/>
    <w:rsid w:val="00CB092C"/>
    <w:rsid w:val="00CB0EF9"/>
    <w:rsid w:val="00CB0F70"/>
    <w:rsid w:val="00CB1A45"/>
    <w:rsid w:val="00CB1BA5"/>
    <w:rsid w:val="00CB1DBF"/>
    <w:rsid w:val="00CB354E"/>
    <w:rsid w:val="00CB363B"/>
    <w:rsid w:val="00CB46C1"/>
    <w:rsid w:val="00CB49F9"/>
    <w:rsid w:val="00CB6CAC"/>
    <w:rsid w:val="00CB727B"/>
    <w:rsid w:val="00CB775E"/>
    <w:rsid w:val="00CB79A3"/>
    <w:rsid w:val="00CC0B25"/>
    <w:rsid w:val="00CC18C7"/>
    <w:rsid w:val="00CC3306"/>
    <w:rsid w:val="00CC35AC"/>
    <w:rsid w:val="00CC4731"/>
    <w:rsid w:val="00CC5AED"/>
    <w:rsid w:val="00CC678F"/>
    <w:rsid w:val="00CC6BAB"/>
    <w:rsid w:val="00CC6CEC"/>
    <w:rsid w:val="00CD22C2"/>
    <w:rsid w:val="00CD2941"/>
    <w:rsid w:val="00CD463C"/>
    <w:rsid w:val="00CD4EBE"/>
    <w:rsid w:val="00CD54BF"/>
    <w:rsid w:val="00CD555A"/>
    <w:rsid w:val="00CD61F6"/>
    <w:rsid w:val="00CD62E7"/>
    <w:rsid w:val="00CD6946"/>
    <w:rsid w:val="00CD6E69"/>
    <w:rsid w:val="00CD71F8"/>
    <w:rsid w:val="00CE21EF"/>
    <w:rsid w:val="00CE2CAB"/>
    <w:rsid w:val="00CE3B3E"/>
    <w:rsid w:val="00CE4CB3"/>
    <w:rsid w:val="00CE7D02"/>
    <w:rsid w:val="00CF0457"/>
    <w:rsid w:val="00CF1271"/>
    <w:rsid w:val="00CF1AAA"/>
    <w:rsid w:val="00CF33D5"/>
    <w:rsid w:val="00CF5EA7"/>
    <w:rsid w:val="00CF741F"/>
    <w:rsid w:val="00D00178"/>
    <w:rsid w:val="00D00939"/>
    <w:rsid w:val="00D01C24"/>
    <w:rsid w:val="00D01F58"/>
    <w:rsid w:val="00D03721"/>
    <w:rsid w:val="00D041A0"/>
    <w:rsid w:val="00D04C51"/>
    <w:rsid w:val="00D05ACC"/>
    <w:rsid w:val="00D078EC"/>
    <w:rsid w:val="00D10D1B"/>
    <w:rsid w:val="00D11B05"/>
    <w:rsid w:val="00D12B51"/>
    <w:rsid w:val="00D13703"/>
    <w:rsid w:val="00D13E45"/>
    <w:rsid w:val="00D14685"/>
    <w:rsid w:val="00D175A0"/>
    <w:rsid w:val="00D206E9"/>
    <w:rsid w:val="00D22037"/>
    <w:rsid w:val="00D22FD2"/>
    <w:rsid w:val="00D23AE3"/>
    <w:rsid w:val="00D23AE4"/>
    <w:rsid w:val="00D23F87"/>
    <w:rsid w:val="00D2430F"/>
    <w:rsid w:val="00D24CEA"/>
    <w:rsid w:val="00D250B7"/>
    <w:rsid w:val="00D2726E"/>
    <w:rsid w:val="00D31A38"/>
    <w:rsid w:val="00D31D0E"/>
    <w:rsid w:val="00D3438D"/>
    <w:rsid w:val="00D34563"/>
    <w:rsid w:val="00D3458D"/>
    <w:rsid w:val="00D35FA6"/>
    <w:rsid w:val="00D3710F"/>
    <w:rsid w:val="00D37876"/>
    <w:rsid w:val="00D40236"/>
    <w:rsid w:val="00D41535"/>
    <w:rsid w:val="00D41CA7"/>
    <w:rsid w:val="00D41D86"/>
    <w:rsid w:val="00D430FB"/>
    <w:rsid w:val="00D43C78"/>
    <w:rsid w:val="00D43DAE"/>
    <w:rsid w:val="00D44506"/>
    <w:rsid w:val="00D44E36"/>
    <w:rsid w:val="00D452C5"/>
    <w:rsid w:val="00D45A8A"/>
    <w:rsid w:val="00D4641F"/>
    <w:rsid w:val="00D4663B"/>
    <w:rsid w:val="00D46947"/>
    <w:rsid w:val="00D51977"/>
    <w:rsid w:val="00D51EFF"/>
    <w:rsid w:val="00D53CB0"/>
    <w:rsid w:val="00D567A2"/>
    <w:rsid w:val="00D56FCE"/>
    <w:rsid w:val="00D61170"/>
    <w:rsid w:val="00D617DF"/>
    <w:rsid w:val="00D62B3F"/>
    <w:rsid w:val="00D63440"/>
    <w:rsid w:val="00D63CB9"/>
    <w:rsid w:val="00D64C53"/>
    <w:rsid w:val="00D64E31"/>
    <w:rsid w:val="00D66106"/>
    <w:rsid w:val="00D672F8"/>
    <w:rsid w:val="00D67507"/>
    <w:rsid w:val="00D700CE"/>
    <w:rsid w:val="00D72CFA"/>
    <w:rsid w:val="00D770B2"/>
    <w:rsid w:val="00D827C2"/>
    <w:rsid w:val="00D83058"/>
    <w:rsid w:val="00D836C7"/>
    <w:rsid w:val="00D83BA3"/>
    <w:rsid w:val="00D83CAB"/>
    <w:rsid w:val="00D85114"/>
    <w:rsid w:val="00D85DA8"/>
    <w:rsid w:val="00D87743"/>
    <w:rsid w:val="00D87A5C"/>
    <w:rsid w:val="00D90B44"/>
    <w:rsid w:val="00D9166D"/>
    <w:rsid w:val="00D91F5F"/>
    <w:rsid w:val="00D92B75"/>
    <w:rsid w:val="00D936B9"/>
    <w:rsid w:val="00D94B1F"/>
    <w:rsid w:val="00D95477"/>
    <w:rsid w:val="00D95D3A"/>
    <w:rsid w:val="00D9719F"/>
    <w:rsid w:val="00D976E3"/>
    <w:rsid w:val="00D97EB1"/>
    <w:rsid w:val="00DA049E"/>
    <w:rsid w:val="00DA0627"/>
    <w:rsid w:val="00DA171B"/>
    <w:rsid w:val="00DA28CE"/>
    <w:rsid w:val="00DA3158"/>
    <w:rsid w:val="00DA3554"/>
    <w:rsid w:val="00DA36FE"/>
    <w:rsid w:val="00DA3D69"/>
    <w:rsid w:val="00DA555F"/>
    <w:rsid w:val="00DA6053"/>
    <w:rsid w:val="00DA6289"/>
    <w:rsid w:val="00DA78A2"/>
    <w:rsid w:val="00DB01B5"/>
    <w:rsid w:val="00DB0269"/>
    <w:rsid w:val="00DB119D"/>
    <w:rsid w:val="00DB15D1"/>
    <w:rsid w:val="00DB1BBA"/>
    <w:rsid w:val="00DB285A"/>
    <w:rsid w:val="00DB3AF0"/>
    <w:rsid w:val="00DB45CA"/>
    <w:rsid w:val="00DB4D7C"/>
    <w:rsid w:val="00DB7151"/>
    <w:rsid w:val="00DC123C"/>
    <w:rsid w:val="00DC198B"/>
    <w:rsid w:val="00DC1B4F"/>
    <w:rsid w:val="00DC388A"/>
    <w:rsid w:val="00DC6439"/>
    <w:rsid w:val="00DC6EEE"/>
    <w:rsid w:val="00DC7F5B"/>
    <w:rsid w:val="00DD2778"/>
    <w:rsid w:val="00DD2A79"/>
    <w:rsid w:val="00DD3BAA"/>
    <w:rsid w:val="00DD3D64"/>
    <w:rsid w:val="00DD4E43"/>
    <w:rsid w:val="00DE0765"/>
    <w:rsid w:val="00DE15D6"/>
    <w:rsid w:val="00DE17EC"/>
    <w:rsid w:val="00DE184F"/>
    <w:rsid w:val="00DE2008"/>
    <w:rsid w:val="00DE432F"/>
    <w:rsid w:val="00DE47F8"/>
    <w:rsid w:val="00DE565D"/>
    <w:rsid w:val="00DE611A"/>
    <w:rsid w:val="00DE79C6"/>
    <w:rsid w:val="00DF1324"/>
    <w:rsid w:val="00DF1E80"/>
    <w:rsid w:val="00DF201D"/>
    <w:rsid w:val="00DF2166"/>
    <w:rsid w:val="00DF2C57"/>
    <w:rsid w:val="00DF3D42"/>
    <w:rsid w:val="00DF5810"/>
    <w:rsid w:val="00DF5B90"/>
    <w:rsid w:val="00DF7793"/>
    <w:rsid w:val="00E00759"/>
    <w:rsid w:val="00E00B2F"/>
    <w:rsid w:val="00E01324"/>
    <w:rsid w:val="00E01B86"/>
    <w:rsid w:val="00E01CCA"/>
    <w:rsid w:val="00E037D9"/>
    <w:rsid w:val="00E046A3"/>
    <w:rsid w:val="00E0554E"/>
    <w:rsid w:val="00E07B8C"/>
    <w:rsid w:val="00E07E6E"/>
    <w:rsid w:val="00E10E40"/>
    <w:rsid w:val="00E10EE4"/>
    <w:rsid w:val="00E11A05"/>
    <w:rsid w:val="00E1274E"/>
    <w:rsid w:val="00E127B8"/>
    <w:rsid w:val="00E136D6"/>
    <w:rsid w:val="00E13AAB"/>
    <w:rsid w:val="00E14640"/>
    <w:rsid w:val="00E14DE2"/>
    <w:rsid w:val="00E169A2"/>
    <w:rsid w:val="00E16C57"/>
    <w:rsid w:val="00E1744E"/>
    <w:rsid w:val="00E2103B"/>
    <w:rsid w:val="00E21C73"/>
    <w:rsid w:val="00E22D49"/>
    <w:rsid w:val="00E22ED4"/>
    <w:rsid w:val="00E23016"/>
    <w:rsid w:val="00E23491"/>
    <w:rsid w:val="00E23545"/>
    <w:rsid w:val="00E236CD"/>
    <w:rsid w:val="00E24F5B"/>
    <w:rsid w:val="00E272E7"/>
    <w:rsid w:val="00E273C2"/>
    <w:rsid w:val="00E274A1"/>
    <w:rsid w:val="00E27A62"/>
    <w:rsid w:val="00E30AAD"/>
    <w:rsid w:val="00E30CC5"/>
    <w:rsid w:val="00E30E0F"/>
    <w:rsid w:val="00E30F09"/>
    <w:rsid w:val="00E323BA"/>
    <w:rsid w:val="00E33E3C"/>
    <w:rsid w:val="00E35731"/>
    <w:rsid w:val="00E3794A"/>
    <w:rsid w:val="00E40742"/>
    <w:rsid w:val="00E40F7C"/>
    <w:rsid w:val="00E413D4"/>
    <w:rsid w:val="00E435EB"/>
    <w:rsid w:val="00E43C8E"/>
    <w:rsid w:val="00E4461A"/>
    <w:rsid w:val="00E46683"/>
    <w:rsid w:val="00E470FF"/>
    <w:rsid w:val="00E50A25"/>
    <w:rsid w:val="00E51075"/>
    <w:rsid w:val="00E51107"/>
    <w:rsid w:val="00E520DB"/>
    <w:rsid w:val="00E53044"/>
    <w:rsid w:val="00E53C86"/>
    <w:rsid w:val="00E54CA3"/>
    <w:rsid w:val="00E55CD5"/>
    <w:rsid w:val="00E60E20"/>
    <w:rsid w:val="00E62AA2"/>
    <w:rsid w:val="00E63747"/>
    <w:rsid w:val="00E639B4"/>
    <w:rsid w:val="00E64007"/>
    <w:rsid w:val="00E646D6"/>
    <w:rsid w:val="00E647B9"/>
    <w:rsid w:val="00E64A35"/>
    <w:rsid w:val="00E64D85"/>
    <w:rsid w:val="00E64F84"/>
    <w:rsid w:val="00E6516E"/>
    <w:rsid w:val="00E66361"/>
    <w:rsid w:val="00E66B74"/>
    <w:rsid w:val="00E7237C"/>
    <w:rsid w:val="00E73839"/>
    <w:rsid w:val="00E74288"/>
    <w:rsid w:val="00E742C5"/>
    <w:rsid w:val="00E7455D"/>
    <w:rsid w:val="00E74662"/>
    <w:rsid w:val="00E75E3B"/>
    <w:rsid w:val="00E763C1"/>
    <w:rsid w:val="00E77936"/>
    <w:rsid w:val="00E80BB2"/>
    <w:rsid w:val="00E81F4B"/>
    <w:rsid w:val="00E82FD4"/>
    <w:rsid w:val="00E8390E"/>
    <w:rsid w:val="00E83A12"/>
    <w:rsid w:val="00E83F51"/>
    <w:rsid w:val="00E878AD"/>
    <w:rsid w:val="00E9173C"/>
    <w:rsid w:val="00E918D9"/>
    <w:rsid w:val="00E9328D"/>
    <w:rsid w:val="00E9332A"/>
    <w:rsid w:val="00E9458A"/>
    <w:rsid w:val="00E948B2"/>
    <w:rsid w:val="00E94F60"/>
    <w:rsid w:val="00E96A3E"/>
    <w:rsid w:val="00E96FE2"/>
    <w:rsid w:val="00E97543"/>
    <w:rsid w:val="00E9793B"/>
    <w:rsid w:val="00E979A6"/>
    <w:rsid w:val="00EA0233"/>
    <w:rsid w:val="00EA14B2"/>
    <w:rsid w:val="00EA1C1D"/>
    <w:rsid w:val="00EA2075"/>
    <w:rsid w:val="00EA2124"/>
    <w:rsid w:val="00EA4804"/>
    <w:rsid w:val="00EA6221"/>
    <w:rsid w:val="00EA6562"/>
    <w:rsid w:val="00EA714E"/>
    <w:rsid w:val="00EB1131"/>
    <w:rsid w:val="00EB2780"/>
    <w:rsid w:val="00EB2AFB"/>
    <w:rsid w:val="00EB3993"/>
    <w:rsid w:val="00EB592F"/>
    <w:rsid w:val="00EB5A76"/>
    <w:rsid w:val="00EB6B79"/>
    <w:rsid w:val="00EC07CF"/>
    <w:rsid w:val="00EC09CE"/>
    <w:rsid w:val="00EC168B"/>
    <w:rsid w:val="00EC1C67"/>
    <w:rsid w:val="00EC1EF4"/>
    <w:rsid w:val="00EC21E5"/>
    <w:rsid w:val="00EC3513"/>
    <w:rsid w:val="00EC433C"/>
    <w:rsid w:val="00EC679C"/>
    <w:rsid w:val="00EC70C7"/>
    <w:rsid w:val="00EC73DA"/>
    <w:rsid w:val="00ED061E"/>
    <w:rsid w:val="00ED0690"/>
    <w:rsid w:val="00ED1AF9"/>
    <w:rsid w:val="00ED26B4"/>
    <w:rsid w:val="00ED6347"/>
    <w:rsid w:val="00EE2FB1"/>
    <w:rsid w:val="00EE3D30"/>
    <w:rsid w:val="00EE4B5C"/>
    <w:rsid w:val="00EE4D4A"/>
    <w:rsid w:val="00EE5146"/>
    <w:rsid w:val="00EE7191"/>
    <w:rsid w:val="00EE78BF"/>
    <w:rsid w:val="00EE7CAA"/>
    <w:rsid w:val="00EE7DCE"/>
    <w:rsid w:val="00EF0CBA"/>
    <w:rsid w:val="00EF24AB"/>
    <w:rsid w:val="00EF391C"/>
    <w:rsid w:val="00EF53F5"/>
    <w:rsid w:val="00EF5565"/>
    <w:rsid w:val="00EF6138"/>
    <w:rsid w:val="00EF6582"/>
    <w:rsid w:val="00EF6E65"/>
    <w:rsid w:val="00EF7672"/>
    <w:rsid w:val="00EF7E13"/>
    <w:rsid w:val="00EF7EE0"/>
    <w:rsid w:val="00F02670"/>
    <w:rsid w:val="00F02F68"/>
    <w:rsid w:val="00F02FE1"/>
    <w:rsid w:val="00F03DFD"/>
    <w:rsid w:val="00F05032"/>
    <w:rsid w:val="00F050BB"/>
    <w:rsid w:val="00F06C2F"/>
    <w:rsid w:val="00F06F64"/>
    <w:rsid w:val="00F0720D"/>
    <w:rsid w:val="00F103DE"/>
    <w:rsid w:val="00F1206F"/>
    <w:rsid w:val="00F127C9"/>
    <w:rsid w:val="00F12F75"/>
    <w:rsid w:val="00F13E9B"/>
    <w:rsid w:val="00F15697"/>
    <w:rsid w:val="00F158B2"/>
    <w:rsid w:val="00F15EDB"/>
    <w:rsid w:val="00F16F45"/>
    <w:rsid w:val="00F20320"/>
    <w:rsid w:val="00F21172"/>
    <w:rsid w:val="00F21C31"/>
    <w:rsid w:val="00F22513"/>
    <w:rsid w:val="00F22A95"/>
    <w:rsid w:val="00F23FAE"/>
    <w:rsid w:val="00F24513"/>
    <w:rsid w:val="00F258C0"/>
    <w:rsid w:val="00F25AAA"/>
    <w:rsid w:val="00F26925"/>
    <w:rsid w:val="00F27CB7"/>
    <w:rsid w:val="00F3148A"/>
    <w:rsid w:val="00F315E5"/>
    <w:rsid w:val="00F31B73"/>
    <w:rsid w:val="00F32BBF"/>
    <w:rsid w:val="00F333FA"/>
    <w:rsid w:val="00F34323"/>
    <w:rsid w:val="00F346EB"/>
    <w:rsid w:val="00F34AE7"/>
    <w:rsid w:val="00F3542A"/>
    <w:rsid w:val="00F35C28"/>
    <w:rsid w:val="00F36ABD"/>
    <w:rsid w:val="00F37249"/>
    <w:rsid w:val="00F372BD"/>
    <w:rsid w:val="00F4092A"/>
    <w:rsid w:val="00F42D54"/>
    <w:rsid w:val="00F43FF2"/>
    <w:rsid w:val="00F447ED"/>
    <w:rsid w:val="00F45FF8"/>
    <w:rsid w:val="00F47065"/>
    <w:rsid w:val="00F520D8"/>
    <w:rsid w:val="00F52617"/>
    <w:rsid w:val="00F52858"/>
    <w:rsid w:val="00F52C56"/>
    <w:rsid w:val="00F53431"/>
    <w:rsid w:val="00F53E21"/>
    <w:rsid w:val="00F53FD5"/>
    <w:rsid w:val="00F543D0"/>
    <w:rsid w:val="00F54595"/>
    <w:rsid w:val="00F57C54"/>
    <w:rsid w:val="00F57D44"/>
    <w:rsid w:val="00F606DB"/>
    <w:rsid w:val="00F60F37"/>
    <w:rsid w:val="00F61E0E"/>
    <w:rsid w:val="00F6445C"/>
    <w:rsid w:val="00F645C8"/>
    <w:rsid w:val="00F65114"/>
    <w:rsid w:val="00F6520A"/>
    <w:rsid w:val="00F67264"/>
    <w:rsid w:val="00F673AD"/>
    <w:rsid w:val="00F67810"/>
    <w:rsid w:val="00F70B9E"/>
    <w:rsid w:val="00F714EA"/>
    <w:rsid w:val="00F7208F"/>
    <w:rsid w:val="00F72DA6"/>
    <w:rsid w:val="00F75F7E"/>
    <w:rsid w:val="00F77037"/>
    <w:rsid w:val="00F77AE3"/>
    <w:rsid w:val="00F77E45"/>
    <w:rsid w:val="00F806CB"/>
    <w:rsid w:val="00F821A9"/>
    <w:rsid w:val="00F838C6"/>
    <w:rsid w:val="00F83AEB"/>
    <w:rsid w:val="00F84C20"/>
    <w:rsid w:val="00F84D6A"/>
    <w:rsid w:val="00F86218"/>
    <w:rsid w:val="00F86362"/>
    <w:rsid w:val="00F87488"/>
    <w:rsid w:val="00F9251F"/>
    <w:rsid w:val="00F94A47"/>
    <w:rsid w:val="00F959C1"/>
    <w:rsid w:val="00F97519"/>
    <w:rsid w:val="00F97ED3"/>
    <w:rsid w:val="00FA0949"/>
    <w:rsid w:val="00FA096C"/>
    <w:rsid w:val="00FA0A68"/>
    <w:rsid w:val="00FA2089"/>
    <w:rsid w:val="00FA244F"/>
    <w:rsid w:val="00FA2DBF"/>
    <w:rsid w:val="00FA3D36"/>
    <w:rsid w:val="00FA3FE3"/>
    <w:rsid w:val="00FA47E4"/>
    <w:rsid w:val="00FA4A8E"/>
    <w:rsid w:val="00FA7BE8"/>
    <w:rsid w:val="00FB04AE"/>
    <w:rsid w:val="00FB2BDB"/>
    <w:rsid w:val="00FC094F"/>
    <w:rsid w:val="00FC135D"/>
    <w:rsid w:val="00FC254D"/>
    <w:rsid w:val="00FC2641"/>
    <w:rsid w:val="00FC2D47"/>
    <w:rsid w:val="00FC446D"/>
    <w:rsid w:val="00FC5682"/>
    <w:rsid w:val="00FC6CAB"/>
    <w:rsid w:val="00FD087C"/>
    <w:rsid w:val="00FD15A2"/>
    <w:rsid w:val="00FD17DE"/>
    <w:rsid w:val="00FD1CAF"/>
    <w:rsid w:val="00FD22F2"/>
    <w:rsid w:val="00FD3769"/>
    <w:rsid w:val="00FD4C38"/>
    <w:rsid w:val="00FD51FB"/>
    <w:rsid w:val="00FD6433"/>
    <w:rsid w:val="00FD646F"/>
    <w:rsid w:val="00FD7750"/>
    <w:rsid w:val="00FE0254"/>
    <w:rsid w:val="00FE1764"/>
    <w:rsid w:val="00FE1D8A"/>
    <w:rsid w:val="00FE2F67"/>
    <w:rsid w:val="00FE377C"/>
    <w:rsid w:val="00FE537C"/>
    <w:rsid w:val="00FE6312"/>
    <w:rsid w:val="00FE7004"/>
    <w:rsid w:val="00FE7828"/>
    <w:rsid w:val="00FE78AB"/>
    <w:rsid w:val="00FF1CDB"/>
    <w:rsid w:val="00FF24BD"/>
    <w:rsid w:val="00FF2D25"/>
    <w:rsid w:val="00FF4012"/>
    <w:rsid w:val="00FF4B18"/>
    <w:rsid w:val="00FF767F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7CF14"/>
  <w15:docId w15:val="{DEA91A3E-DBB6-465E-8347-A6ADF466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B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810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A3988"/>
    <w:rPr>
      <w:sz w:val="24"/>
    </w:rPr>
  </w:style>
  <w:style w:type="character" w:styleId="a5">
    <w:name w:val="page number"/>
    <w:basedOn w:val="a0"/>
    <w:uiPriority w:val="99"/>
    <w:rsid w:val="00F67810"/>
    <w:rPr>
      <w:rFonts w:cs="Times New Roman"/>
    </w:rPr>
  </w:style>
  <w:style w:type="paragraph" w:styleId="3">
    <w:name w:val="List 3"/>
    <w:basedOn w:val="a"/>
    <w:uiPriority w:val="99"/>
    <w:rsid w:val="00794FE8"/>
    <w:pPr>
      <w:ind w:left="849" w:hanging="283"/>
    </w:pPr>
    <w:rPr>
      <w:sz w:val="26"/>
      <w:szCs w:val="20"/>
    </w:rPr>
  </w:style>
  <w:style w:type="table" w:styleId="a6">
    <w:name w:val="Table Grid"/>
    <w:basedOn w:val="a1"/>
    <w:uiPriority w:val="99"/>
    <w:rsid w:val="00FE1D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99"/>
    <w:rsid w:val="00FE1D8A"/>
    <w:rPr>
      <w:sz w:val="24"/>
      <w:szCs w:val="24"/>
      <w:lang w:val="ru-RU" w:eastAsia="ru-RU"/>
    </w:rPr>
  </w:style>
  <w:style w:type="paragraph" w:customStyle="1" w:styleId="10">
    <w:name w:val="Абзац списка1"/>
    <w:basedOn w:val="a"/>
    <w:uiPriority w:val="99"/>
    <w:rsid w:val="001D47C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934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934CB"/>
    <w:rPr>
      <w:sz w:val="24"/>
      <w:lang w:val="ru-RU" w:eastAsia="ru-RU"/>
    </w:rPr>
  </w:style>
  <w:style w:type="paragraph" w:styleId="a9">
    <w:name w:val="Balloon Text"/>
    <w:basedOn w:val="a"/>
    <w:link w:val="aa"/>
    <w:uiPriority w:val="99"/>
    <w:rsid w:val="003A3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A3BC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82F3A"/>
    <w:pPr>
      <w:ind w:left="720"/>
      <w:contextualSpacing/>
    </w:pPr>
  </w:style>
  <w:style w:type="paragraph" w:customStyle="1" w:styleId="Default">
    <w:name w:val="Default"/>
    <w:uiPriority w:val="99"/>
    <w:rsid w:val="002763F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6C15E8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3125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12548"/>
    <w:rPr>
      <w:sz w:val="24"/>
      <w:szCs w:val="24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E07B8C"/>
    <w:pPr>
      <w:ind w:left="720"/>
      <w:contextualSpacing/>
    </w:pPr>
  </w:style>
  <w:style w:type="paragraph" w:styleId="af">
    <w:name w:val="No Spacing"/>
    <w:uiPriority w:val="1"/>
    <w:qFormat/>
    <w:rsid w:val="00B84907"/>
    <w:rPr>
      <w:rFonts w:asciiTheme="minorHAnsi" w:eastAsiaTheme="minorHAnsi" w:hAnsiTheme="minorHAnsi" w:cstheme="minorBidi"/>
      <w:lang w:val="ru-RU" w:eastAsia="en-US"/>
    </w:rPr>
  </w:style>
  <w:style w:type="character" w:styleId="af0">
    <w:name w:val="annotation reference"/>
    <w:basedOn w:val="a0"/>
    <w:uiPriority w:val="99"/>
    <w:semiHidden/>
    <w:unhideWhenUsed/>
    <w:rsid w:val="00954D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4D5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4D57"/>
    <w:rPr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4D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4D57"/>
    <w:rPr>
      <w:b/>
      <w:bCs/>
      <w:sz w:val="20"/>
      <w:szCs w:val="20"/>
      <w:lang w:val="ru-RU" w:eastAsia="ru-RU"/>
    </w:rPr>
  </w:style>
  <w:style w:type="paragraph" w:styleId="af5">
    <w:name w:val="Plain Text"/>
    <w:basedOn w:val="a"/>
    <w:link w:val="af6"/>
    <w:uiPriority w:val="99"/>
    <w:unhideWhenUsed/>
    <w:rsid w:val="004D7390"/>
    <w:rPr>
      <w:rFonts w:ascii="Calibri" w:eastAsiaTheme="minorHAnsi" w:hAnsi="Calibri" w:cs="Calibri"/>
      <w:sz w:val="22"/>
      <w:szCs w:val="22"/>
    </w:rPr>
  </w:style>
  <w:style w:type="character" w:customStyle="1" w:styleId="af6">
    <w:name w:val="Текст Знак"/>
    <w:basedOn w:val="a0"/>
    <w:link w:val="af5"/>
    <w:uiPriority w:val="99"/>
    <w:rsid w:val="004D7390"/>
    <w:rPr>
      <w:rFonts w:ascii="Calibri" w:eastAsiaTheme="minorHAns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098D-3055-442F-A7D4-1AFC9664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18</Pages>
  <Words>6566</Words>
  <Characters>42623</Characters>
  <Application>Microsoft Office Word</Application>
  <DocSecurity>0</DocSecurity>
  <Lines>355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ПОЯВНЮВАЛЬНА ЗАПИСКА</vt:lpstr>
    </vt:vector>
  </TitlesOfParts>
  <Company>Grizli777</Company>
  <LinksUpToDate>false</LinksUpToDate>
  <CharactersWithSpaces>49091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ПОЯВНЮВАЛЬНА ЗАПИСКА</dc:title>
  <dc:subject/>
  <dc:creator>name</dc:creator>
  <cp:keywords/>
  <dc:description/>
  <cp:lastModifiedBy>user</cp:lastModifiedBy>
  <cp:revision>242</cp:revision>
  <cp:lastPrinted>2019-02-14T07:29:00Z</cp:lastPrinted>
  <dcterms:created xsi:type="dcterms:W3CDTF">2019-02-11T07:29:00Z</dcterms:created>
  <dcterms:modified xsi:type="dcterms:W3CDTF">2019-02-26T13:18:00Z</dcterms:modified>
</cp:coreProperties>
</file>