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 кошик</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Механізм відбору інвестиційних проєктів місцевого рівня з використанням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Єдиного порталу державних послуг Дія в межах бюджету участі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Державного фонду регіонального розвитку</w:t>
      </w:r>
      <w:r w:rsidDel="00000000" w:rsidR="00000000" w:rsidRPr="00000000">
        <w:rPr>
          <w:rtl w:val="0"/>
        </w:rPr>
      </w:r>
    </w:p>
    <w:p w:rsidR="00000000" w:rsidDel="00000000" w:rsidP="00000000" w:rsidRDefault="00000000" w:rsidRPr="00000000" w14:paraId="00000006">
      <w:pPr>
        <w:pStyle w:val="Heading1"/>
        <w:spacing w:before="0" w:lineRule="auto"/>
        <w:rPr/>
      </w:pPr>
      <w:r w:rsidDel="00000000" w:rsidR="00000000" w:rsidRPr="00000000">
        <w:rPr>
          <w:rtl w:val="0"/>
        </w:rPr>
      </w:r>
    </w:p>
    <w:p w:rsidR="00000000" w:rsidDel="00000000" w:rsidP="00000000" w:rsidRDefault="00000000" w:rsidRPr="00000000" w14:paraId="00000007">
      <w:pPr>
        <w:pStyle w:val="Heading1"/>
        <w:spacing w:before="0" w:lineRule="auto"/>
        <w:rPr/>
      </w:pPr>
      <w:r w:rsidDel="00000000" w:rsidR="00000000" w:rsidRPr="00000000">
        <w:rPr>
          <w:rtl w:val="0"/>
        </w:rPr>
        <w:t xml:space="preserve">Передмова</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документ підготовлений з метою розпочати широку дискусію серед центральних органів виконавчої влади України, органів влади та дорадчих органів міжнародних партнерів України, органів місцевого самоврядування та громадянського суспільства щодо порядку відбору проєктів місцевого рівня з використанням Єдиного порталу державних послуг Дія (далі - </w:t>
      </w:r>
      <w:r w:rsidDel="00000000" w:rsidR="00000000" w:rsidRPr="00000000">
        <w:rPr>
          <w:rFonts w:ascii="Times New Roman" w:cs="Times New Roman" w:eastAsia="Times New Roman" w:hAnsi="Times New Roman"/>
          <w:b w:val="1"/>
          <w:rtl w:val="0"/>
        </w:rPr>
        <w:t xml:space="preserve">Портал Дія</w:t>
      </w:r>
      <w:r w:rsidDel="00000000" w:rsidR="00000000" w:rsidRPr="00000000">
        <w:rPr>
          <w:rFonts w:ascii="Times New Roman" w:cs="Times New Roman" w:eastAsia="Times New Roman" w:hAnsi="Times New Roman"/>
          <w:rtl w:val="0"/>
        </w:rPr>
        <w:t xml:space="preserve">) в межах бюджету участі Державного фонду регіонального розвитку (далі </w:t>
      </w:r>
      <w:r w:rsidDel="00000000" w:rsidR="00000000" w:rsidRPr="00000000">
        <w:rPr>
          <w:rFonts w:ascii="Times New Roman" w:cs="Times New Roman" w:eastAsia="Times New Roman" w:hAnsi="Times New Roman"/>
          <w:b w:val="1"/>
          <w:rtl w:val="0"/>
        </w:rPr>
        <w:t xml:space="preserve">ДФРР</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spacing w:after="0" w:line="360" w:lineRule="auto"/>
        <w:ind w:firstLine="70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360" w:lineRule="auto"/>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Проблема, яка потребує розв’язання</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Реформа децентралізації стала поштовхом до розвитку громадянського суспільства в Україні. Жителі громади  хочуть бути активними учасниками громади та мати реальний вплив на прийняття ключових рішень щодо діяльності та розвитку громади, зокрема в частині здійснення інвестицій. </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Чинний механізм функціонування ДФРР не містить інструментів залучення громадян до прийняття рішень щодо відбору проектів до фінансування з ДФРР, що призводить до того, що інтереси громадян не завжди в повній мірі враховуються при прийнятті управлінських рішень щодо залучення фінансування</w:t>
      </w:r>
      <w:r w:rsidDel="00000000" w:rsidR="00000000" w:rsidRPr="00000000">
        <w:rPr>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Запровадження механізму фінансування проектів за механізмом бюджету участі покликане створити умови для реального залучення жителів громад до прийняття рішень щодо здійснення інвестицій у ключові для громадян об’єкти</w:t>
      </w:r>
      <w:r w:rsidDel="00000000" w:rsidR="00000000" w:rsidRPr="00000000">
        <w:rPr>
          <w:rtl w:val="0"/>
        </w:rPr>
      </w:r>
    </w:p>
    <w:p w:rsidR="00000000" w:rsidDel="00000000" w:rsidP="00000000" w:rsidRDefault="00000000" w:rsidRPr="00000000" w14:paraId="0000000D">
      <w:pPr>
        <w:keepNext w:val="1"/>
        <w:keepLines w:val="1"/>
        <w:spacing w:after="0" w:line="36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Загальні положення </w:t>
      </w:r>
    </w:p>
    <w:p w:rsidR="00000000" w:rsidDel="00000000" w:rsidP="00000000" w:rsidRDefault="00000000" w:rsidRPr="00000000" w14:paraId="0000000E">
      <w:pPr>
        <w:keepNext w:val="1"/>
        <w:keepLines w:val="1"/>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в цьому документів механізм є одним з трьох базових механізмів (“кошиків”), які пропонується запровадити в оновленому ДФРР, а саме:</w:t>
      </w:r>
    </w:p>
    <w:p w:rsidR="00000000" w:rsidDel="00000000" w:rsidP="00000000" w:rsidRDefault="00000000" w:rsidRPr="00000000" w14:paraId="0000000F">
      <w:pPr>
        <w:keepNext w:val="1"/>
        <w:keepLines w:val="1"/>
        <w:numPr>
          <w:ilvl w:val="0"/>
          <w:numId w:val="7"/>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Бюджет участі ( громадський бюджет) (10% від </w:t>
      </w:r>
      <w:r w:rsidDel="00000000" w:rsidR="00000000" w:rsidRPr="00000000">
        <w:rPr>
          <w:rFonts w:ascii="Times New Roman" w:cs="Times New Roman" w:eastAsia="Times New Roman" w:hAnsi="Times New Roman"/>
          <w:i w:val="1"/>
          <w:rtl w:val="0"/>
        </w:rPr>
        <w:t xml:space="preserve">загального фонду ДФРР</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keepNext w:val="1"/>
        <w:keepLines w:val="1"/>
        <w:numPr>
          <w:ilvl w:val="0"/>
          <w:numId w:val="7"/>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Субвенція на відбудову, реконструкцію, модернізацію субнаціональних органів влади, зокрема органів місцевого самоврядування (кошти Ukraine Facility)</w:t>
      </w:r>
    </w:p>
    <w:p w:rsidR="00000000" w:rsidDel="00000000" w:rsidP="00000000" w:rsidRDefault="00000000" w:rsidRPr="00000000" w14:paraId="00000011">
      <w:pPr>
        <w:keepNext w:val="1"/>
        <w:keepLines w:val="1"/>
        <w:numPr>
          <w:ilvl w:val="0"/>
          <w:numId w:val="7"/>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Пільгові кредити органам місцевого самоврядування </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Механізм бюджету участі</w:t>
      </w:r>
      <w:r w:rsidDel="00000000" w:rsidR="00000000" w:rsidRPr="00000000">
        <w:rPr>
          <w:rFonts w:ascii="Times New Roman" w:cs="Times New Roman" w:eastAsia="Times New Roman" w:hAnsi="Times New Roman"/>
          <w:rtl w:val="0"/>
        </w:rPr>
        <w:t xml:space="preserve"> – процес демократичного відбору інвестиційних проектів, який надає можливість кожному громадянину обирати конкретні проекти до фінансування та впровадження за рахунок коштів ДФРР. Бюджет участі є інструментом пошуку спільних рішень між державою, органами місцевого самоврядування та громадянами. Такий інструмент сприятиме подоланню корупції, робити громаду кращою та дати можливість кожному громадянину відчути причетність та відповідальність за те, якою буде його громада.</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Ініціювати проекти в рамках бюджету участі зможуть сільські, селищні, міські ради, а також обласні ради за умови, що вони не перебувають в окупації та розташовані не ближче 30 км від зони бойових дій (за окремими виключеннями). Весь процес від подачі заявки до реалізації проекту буде цифровізованим та автоматизованим через систему DREAM та портал Дія.</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Проекти, яким може бути надано фінансування, мають належати до пріоритетних галузей (житло, критична, соціальна та  транспортна інфраструктура) та відповідати цілям та завданням Державної стратегії регіонального розвитку (ДСРР), місцевим/регіональним стратегіям розвитку та планам заходів до них. </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Голосування за проекти (попередньо схвалені Стратегічною інвестиційною радою) буде здійснюватись на Порталі Дія. Кожен громадянин України буде мати право проголосувати за важливі для нього інвестиційні проєкти.</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 бюджету участі ДФРР має бути узгоджено з Реформою публічних інвестицій.</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механізм бюджету участі ДФРР складається з таких елементів, які більш детально описані у відповідних розділах нижче:</w:t>
      </w:r>
    </w:p>
    <w:p w:rsidR="00000000" w:rsidDel="00000000" w:rsidP="00000000" w:rsidRDefault="00000000" w:rsidRPr="00000000" w14:paraId="00000018">
      <w:pPr>
        <w:numPr>
          <w:ilvl w:val="0"/>
          <w:numId w:val="2"/>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критерії до заявників</w:t>
      </w:r>
    </w:p>
    <w:p w:rsidR="00000000" w:rsidDel="00000000" w:rsidP="00000000" w:rsidRDefault="00000000" w:rsidRPr="00000000" w14:paraId="00000019">
      <w:pPr>
        <w:numPr>
          <w:ilvl w:val="0"/>
          <w:numId w:val="2"/>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критерії відбору проєктів;</w:t>
      </w:r>
    </w:p>
    <w:p w:rsidR="00000000" w:rsidDel="00000000" w:rsidP="00000000" w:rsidRDefault="00000000" w:rsidRPr="00000000" w14:paraId="0000001A">
      <w:pPr>
        <w:numPr>
          <w:ilvl w:val="0"/>
          <w:numId w:val="2"/>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 розподілу фінансування; та</w:t>
      </w:r>
    </w:p>
    <w:p w:rsidR="00000000" w:rsidDel="00000000" w:rsidP="00000000" w:rsidRDefault="00000000" w:rsidRPr="00000000" w14:paraId="0000001B">
      <w:pPr>
        <w:numPr>
          <w:ilvl w:val="0"/>
          <w:numId w:val="2"/>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механізми контролю та звітності.</w:t>
      </w:r>
    </w:p>
    <w:p w:rsidR="00000000" w:rsidDel="00000000" w:rsidP="00000000" w:rsidRDefault="00000000" w:rsidRPr="00000000" w14:paraId="0000001C">
      <w:pPr>
        <w:spacing w:after="0" w:line="360" w:lineRule="auto"/>
        <w:ind w:firstLine="70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1"/>
        <w:keepLines w:val="1"/>
        <w:spacing w:after="0" w:line="360" w:lineRule="auto"/>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Критерії відбору проєктів в межах бюджету участі</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Проєкти, які можуть отримати фінансування за рахунок бюджету участі, повинні відповідати таким критеріям:</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відповідати вимогам до проєктів, які висуваються в межах single project pipeline Реформи управління публічними інвестиціями.</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забезпечувати досягнення визначених показників ефективності;</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мають бути спрямованим на досягнення цілей, визначених ДСРР,  стратегією розвитку територіальної громади / області, та відповідати плану заходів з її реалізації;</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бути представлені та обговорені в рамках публічних консультацій з громадськістю (при обговоренні плану заходів, якщо такий проект прямо названий у плані заходів, або в рамках окремих публічних консультацій)</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належати до однієї з пріоритетних галузей:</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Житло;</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Критична інфраструктура життєдіяльності (електроенергія, газ та опалення; водопостачання, водовідведення; управління відходами)</w:t>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Соціальна інфраструктура (освіта; охорона здоров'я; бомбосховища; центри безпеки; адміністративні будівлі);</w:t>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Транспортна інфраструктура.</w:t>
      </w:r>
    </w:p>
    <w:p w:rsidR="00000000" w:rsidDel="00000000" w:rsidP="00000000" w:rsidRDefault="00000000" w:rsidRPr="00000000" w14:paraId="00000028">
      <w:pPr>
        <w:spacing w:after="0" w:line="360" w:lineRule="auto"/>
        <w:ind w:firstLine="70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1"/>
        <w:keepLines w:val="1"/>
        <w:spacing w:after="0" w:line="360" w:lineRule="auto"/>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Процес подання та відбору проєктів до фінансування</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Процес подання та відбору інвестиційних проєктів місцевого рівня в межах бюджету участі пропонується організувати наступним чином: </w:t>
      </w:r>
      <w:r w:rsidDel="00000000" w:rsidR="00000000" w:rsidRPr="00000000">
        <w:rPr>
          <w:rtl w:val="0"/>
        </w:rPr>
      </w:r>
    </w:p>
    <w:p w:rsidR="00000000" w:rsidDel="00000000" w:rsidP="00000000" w:rsidRDefault="00000000" w:rsidRPr="00000000" w14:paraId="0000002C">
      <w:pPr>
        <w:numPr>
          <w:ilvl w:val="0"/>
          <w:numId w:val="1"/>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Виходячи зі стратегічних цілей оновленої Державної стратегії регіонального розвитку України (далі – “</w:t>
      </w:r>
      <w:r w:rsidDel="00000000" w:rsidR="00000000" w:rsidRPr="00000000">
        <w:rPr>
          <w:rFonts w:ascii="Times New Roman" w:cs="Times New Roman" w:eastAsia="Times New Roman" w:hAnsi="Times New Roman"/>
          <w:b w:val="1"/>
          <w:rtl w:val="0"/>
        </w:rPr>
        <w:t xml:space="preserve">ДСРР</w:t>
      </w:r>
      <w:r w:rsidDel="00000000" w:rsidR="00000000" w:rsidRPr="00000000">
        <w:rPr>
          <w:rFonts w:ascii="Times New Roman" w:cs="Times New Roman" w:eastAsia="Times New Roman" w:hAnsi="Times New Roman"/>
          <w:rtl w:val="0"/>
        </w:rPr>
        <w:t xml:space="preserve">”) та плану заходів до неї, заявники (відповідні органи місцевого самоврядування) розробляють (оновлюють) і затверджують свої стратегії розвитку та плани заходів до них.</w:t>
      </w:r>
    </w:p>
    <w:p w:rsidR="00000000" w:rsidDel="00000000" w:rsidP="00000000" w:rsidRDefault="00000000" w:rsidRPr="00000000" w14:paraId="0000002D">
      <w:pPr>
        <w:numPr>
          <w:ilvl w:val="0"/>
          <w:numId w:val="1"/>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Заявники готують </w:t>
      </w:r>
      <w:r w:rsidDel="00000000" w:rsidR="00000000" w:rsidRPr="00000000">
        <w:rPr>
          <w:rFonts w:ascii="Times New Roman" w:cs="Times New Roman" w:eastAsia="Times New Roman" w:hAnsi="Times New Roman"/>
          <w:b w:val="1"/>
          <w:rtl w:val="0"/>
        </w:rPr>
        <w:t xml:space="preserve">інвестиційні проєкти,</w:t>
      </w:r>
      <w:r w:rsidDel="00000000" w:rsidR="00000000" w:rsidRPr="00000000">
        <w:rPr>
          <w:rFonts w:ascii="Times New Roman" w:cs="Times New Roman" w:eastAsia="Times New Roman" w:hAnsi="Times New Roman"/>
          <w:rtl w:val="0"/>
        </w:rPr>
        <w:t xml:space="preserve"> для яких вони планують отримати  фінансування з бюджету участі ДФРР, та реєструють їх в системі DREAM. Підготовка проектів має здійснюватись відповідно до вимог Бюджетного кодексу України з урахування методичних рекомендації щодо управління публічними інвестиціями, які будуть розроблені та затверджені Міністерством фінансів. </w:t>
      </w:r>
    </w:p>
    <w:p w:rsidR="00000000" w:rsidDel="00000000" w:rsidP="00000000" w:rsidRDefault="00000000" w:rsidRPr="00000000" w14:paraId="0000002E">
      <w:pPr>
        <w:numPr>
          <w:ilvl w:val="0"/>
          <w:numId w:val="1"/>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Заявник має провести громадські консультації щодо інвестиційних проектів, які він планує подати до фінансування за рахунок бюджету участі ДФРР. Це може бути організовано двома шляхами:</w:t>
      </w:r>
    </w:p>
    <w:p w:rsidR="00000000" w:rsidDel="00000000" w:rsidP="00000000" w:rsidRDefault="00000000" w:rsidRPr="00000000" w14:paraId="0000002F">
      <w:pPr>
        <w:numPr>
          <w:ilvl w:val="0"/>
          <w:numId w:val="3"/>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проекти включені до плану заходів до стратегій відповідних органів місцевого самоврядування - вони можуть обговоренні в рамках консультацій щодо таких планів заходів;</w:t>
      </w:r>
    </w:p>
    <w:p w:rsidR="00000000" w:rsidDel="00000000" w:rsidP="00000000" w:rsidRDefault="00000000" w:rsidRPr="00000000" w14:paraId="00000030">
      <w:pPr>
        <w:numPr>
          <w:ilvl w:val="0"/>
          <w:numId w:val="3"/>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проекти прямо не зазначені у планах заходів - заявник організовує окремі громадські консультації таких проектів.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Заявники подають заявки на фінансування проєктів за рахунок бюджету участі з використанням системи DREAM.  </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завершення терміну подання заявок проводиться попередня перевірка (скринінг) на предмет відповідності проєкту встановленим критеріям фінансування за рахунок бюджету участі та критеріям, визначеним в межах Реформи управління публічними інвестиціями.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Із проектів, які пройшли попередню перевірку, система DREAM формує попередній перелік проєктів, який передається на розгляд Стратегічній інвестиційній раді (консультаційно-дорадчий орган, що створюється при Кабінеті Міністрів України в межах реформи управління публічними інвестиціями).</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Стратегічна інвестиційна рада розглядає проєкти на відповідність критеріям фінансування за рахунок бюджету участі та критеріям, визначеним в межах Реформи управління публічними інвестиціями, та схвалює попередній перелік проектів.</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Інформація про проекти, схвалені Стратегічною  інвестиційною радою,  передається на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Портал Дія шляхом автоматичної взаємодії з системою DREAM. На Порталі Дія проекти розміщуються в кабінетах органів місцевого самоврядування, які подали такі проєкти.</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Кожен громадянин України має змогу проголосувати на Порталі Дія за інвестиційні проєкти органу місцевого самоврядування, в територіальних межах якого зареєстроване їх місце проживання.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Обраними будуть вважати ті проекти органу місцевого самоврядування, за які проголосувала проста більшість громадян України, місце проживання яких зареєстровано</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на території відповідного органу місцевого самоврядування, який</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є власником проєкту.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результатами голосування на Порталі Дія Кабінету Міністрів України приймає рішення про виділення фінансування в межах бюджету участі через ДФРР. Після затвердження рішення Кабінетом Міністрів України фінансування виділяється територіальним громадам для реалізації обраних проєктів.</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Інформація про фінансування офіційно оприлюднюється та буде доступна для широкого загалу, зокрема, в системі DREAM та на Порталі Дія.</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Кошти спрямовуються у вигляді субвенції з державного місцевим бюджетам. Розподіл коштів за рахунок субвенцій здійснюватиметься на вимогах та принципах, передбачених статтею 105 Бюджетного кодексу України, а саме принципах об’єктивності та прозорості, єдності, збалансованості розвитку та цільового використання коштів.</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Територіальні громади будуть регулярно звітувати  про хід реалізації проєктів відповідно до законодавства України, включаючи оновлення статусу проєктів у системі DREAM та на Порталі Дія.</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1"/>
        <w:keepLines w:val="1"/>
        <w:spacing w:after="0" w:line="360" w:lineRule="auto"/>
        <w:ind w:firstLine="709"/>
        <w:jc w:val="both"/>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Прозорість, моніторинг виконання та показники ефективності</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Вся інформація щодо проектів, які були подані та відібрані до фінансування, хід їх реалізації буде доступна 24/7 у системі DREAM та на Порталі Дія. Обов’язковому опублікуванню будуть підлягати порядки денні та протоколи засідань Стратегічної інвестиційної ради,  буде організовано онлайн трансляцію засідань.</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Міністерство здійснюватиме постійний моніторинг та оцінку виконання проектів, фінансування яких здійснюється за рахунок бюджету участі. До моніторингу можуть залучатись проекти міжнародної технічної допомоги.</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Моніторингу будуть підлягати п</w:t>
      </w:r>
      <w:r w:rsidDel="00000000" w:rsidR="00000000" w:rsidRPr="00000000">
        <w:rPr>
          <w:rFonts w:ascii="Times New Roman" w:cs="Times New Roman" w:eastAsia="Times New Roman" w:hAnsi="Times New Roman"/>
          <w:color w:val="000000"/>
          <w:rtl w:val="0"/>
        </w:rPr>
        <w:t xml:space="preserve">оказники ефективності, які демонструють позитивний прогрес у реалізації проєктів:</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стан проведення закупівель;</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стан укладення договорів; і</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 виконання проєктів.</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Додатково моніторингу будуть підлягати показники, які використовуватимуться для оцінки досягнення цілей ДССР та відповідних місцевих стратегій та планів заходів до них. У єдиній геоінформаційній системі регіонального розвитку можна буде відслідковувати вплив реалізації проектів на розвиток відповідних громад.</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Більш детальну інформацію про них буде надано в проєктах законодавчих ініціатив, включно зі з</w:t>
      </w:r>
      <w:r w:rsidDel="00000000" w:rsidR="00000000" w:rsidRPr="00000000">
        <w:rPr>
          <w:rFonts w:ascii="Times New Roman" w:cs="Times New Roman" w:eastAsia="Times New Roman" w:hAnsi="Times New Roman"/>
          <w:rtl w:val="0"/>
        </w:rPr>
        <w:t xml:space="preserve">мінами до</w:t>
      </w:r>
      <w:r w:rsidDel="00000000" w:rsidR="00000000" w:rsidRPr="00000000">
        <w:rPr>
          <w:rFonts w:ascii="Times New Roman" w:cs="Times New Roman" w:eastAsia="Times New Roman" w:hAnsi="Times New Roman"/>
          <w:color w:val="000000"/>
          <w:rtl w:val="0"/>
        </w:rPr>
        <w:t xml:space="preserve"> постанов</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color w:val="000000"/>
          <w:rtl w:val="0"/>
        </w:rPr>
        <w:t xml:space="preserve"> Кабінету Міністрів України “Деякі питання державного фонду регіонального розвитку”.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1"/>
        <w:keepLines w:val="1"/>
        <w:spacing w:after="0" w:line="36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Джерело фінансування</w:t>
      </w:r>
    </w:p>
    <w:p w:rsidR="00000000" w:rsidDel="00000000" w:rsidP="00000000" w:rsidRDefault="00000000" w:rsidRPr="00000000" w14:paraId="00000048">
      <w:pPr>
        <w:keepNext w:val="1"/>
        <w:keepLines w:val="1"/>
        <w:spacing w:after="0" w:line="36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Фінансування бюджету участі буде здійснюватись за рахунок коштів ДФРР. </w:t>
      </w:r>
    </w:p>
    <w:p w:rsidR="00000000" w:rsidDel="00000000" w:rsidP="00000000" w:rsidRDefault="00000000" w:rsidRPr="00000000" w14:paraId="00000049">
      <w:pPr>
        <w:keepNext w:val="1"/>
        <w:keepLines w:val="1"/>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складанні Бюджетної декларації та проекту Державного бюджету України у складі ДФРР буде створено бюджет участі, який не може перевищувати 10% загального обсягу цього фонду на відповідний бюджетний період.</w:t>
      </w:r>
    </w:p>
    <w:p w:rsidR="00000000" w:rsidDel="00000000" w:rsidP="00000000" w:rsidRDefault="00000000" w:rsidRPr="00000000" w14:paraId="0000004A">
      <w:pPr>
        <w:keepNext w:val="1"/>
        <w:keepLines w:val="1"/>
        <w:spacing w:after="0" w:line="36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1"/>
        <w:keepLines w:val="1"/>
        <w:spacing w:after="0" w:line="360" w:lineRule="auto"/>
        <w:ind w:firstLine="709"/>
        <w:jc w:val="both"/>
        <w:rPr>
          <w:rFonts w:ascii="Times New Roman" w:cs="Times New Roman" w:eastAsia="Times New Roman" w:hAnsi="Times New Roman"/>
          <w:b w:val="1"/>
        </w:rPr>
      </w:pPr>
      <w:bookmarkStart w:colFirst="0" w:colLast="0" w:name="_1fob9te" w:id="2"/>
      <w:bookmarkEnd w:id="2"/>
      <w:r w:rsidDel="00000000" w:rsidR="00000000" w:rsidRPr="00000000">
        <w:rPr>
          <w:rFonts w:ascii="Times New Roman" w:cs="Times New Roman" w:eastAsia="Times New Roman" w:hAnsi="Times New Roman"/>
          <w:b w:val="1"/>
          <w:rtl w:val="0"/>
        </w:rPr>
        <w:t xml:space="preserve">Необхідні зміни законодавства </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імплементації запропонованого механізму необхідні зміни до законодавства:</w:t>
      </w:r>
    </w:p>
    <w:p w:rsidR="00000000" w:rsidDel="00000000" w:rsidP="00000000" w:rsidRDefault="00000000" w:rsidRPr="00000000" w14:paraId="0000004D">
      <w:pPr>
        <w:numPr>
          <w:ilvl w:val="0"/>
          <w:numId w:val="4"/>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Бюджетний кодекс України </w:t>
      </w:r>
    </w:p>
    <w:p w:rsidR="00000000" w:rsidDel="00000000" w:rsidP="00000000" w:rsidRDefault="00000000" w:rsidRPr="00000000" w14:paraId="0000004E">
      <w:pPr>
        <w:numPr>
          <w:ilvl w:val="0"/>
          <w:numId w:val="4"/>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Закон України “Про державний бюджет” </w:t>
      </w:r>
    </w:p>
    <w:p w:rsidR="00000000" w:rsidDel="00000000" w:rsidP="00000000" w:rsidRDefault="00000000" w:rsidRPr="00000000" w14:paraId="0000004F">
      <w:pPr>
        <w:numPr>
          <w:ilvl w:val="0"/>
          <w:numId w:val="4"/>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Закон України “Про засади державної регіональної політики”.</w:t>
      </w:r>
    </w:p>
    <w:p w:rsidR="00000000" w:rsidDel="00000000" w:rsidP="00000000" w:rsidRDefault="00000000" w:rsidRPr="00000000" w14:paraId="00000050">
      <w:pPr>
        <w:numPr>
          <w:ilvl w:val="0"/>
          <w:numId w:val="4"/>
        </w:numP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Постанови КМУ “Деякі питання державного фонду регіонального розвитку”</w:t>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Зміни до законодавства будуть охоплювати, серед іншого, такі питання:</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визначення поняття “бюджет участі” та його обсяг у складі ДФРР;</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використання ДФРР як бюджетного механізму для надання фінансування за рахунок бюджету участі з використанням Порталу Дія;</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чіткі критерії для подання та відбору до фінансування проєктів;</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уніфіковані критерії моніторингу виконання обраних проєктів.</w:t>
      </w:r>
    </w:p>
    <w:sectPr>
      <w:footerReference r:id="rId6"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Times New Roman" w:cs="Times New Roman" w:eastAsia="Times New Roman" w:hAnsi="Times New Roman"/>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360" w:lineRule="auto"/>
      <w:jc w:val="both"/>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