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drawingml.diagramData+xml" PartName="/word/diagrams/data1.xml"/>
  <Override ContentType="application/vnd.openxmlformats-officedocument.wordprocessingml.footer+xml" PartName="/word/footer1.xml"/>
  <Override ContentType="application/vnd.openxmlformats-officedocument.drawingml.diagramLayout+xml" PartName="/word/diagrams/layout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drawingml.diagramStyle+xml" PartName="/word/diagrams/quickStyle1.xml"/>
  <Override ContentType="application/vnd.ms-office.drawingml.diagramDrawing+xml" PartName="/word/diagrams/drawing1.xml"/>
  <Override ContentType="application/vnd.openxmlformats-officedocument.wordprocessingml.document.main+xml" PartName="/word/document.xml"/>
  <Override ContentType="application/vnd.openxmlformats-officedocument.drawingml.diagramColors+xml" PartName="/word/diagrams/colors1.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ІІІ кошик </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КОНЦЕПТУАЛЬНА ЗАПИСКА</w:t>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Механізм компенсації відсотків та комісій за надання кредитів для фінансування інвестиційних проєктів місцевого та регіонального рівнів з використанням </w:t>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Державного фонду регіонального розвитку</w:t>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Style w:val="Heading1"/>
        <w:spacing w:before="0" w:lineRule="auto"/>
        <w:ind w:firstLine="567"/>
        <w:rPr/>
      </w:pPr>
      <w:bookmarkStart w:colFirst="0" w:colLast="0" w:name="_gjdgxs" w:id="0"/>
      <w:bookmarkEnd w:id="0"/>
      <w:r w:rsidDel="00000000" w:rsidR="00000000" w:rsidRPr="00000000">
        <w:rPr>
          <w:rtl w:val="0"/>
        </w:rPr>
        <w:t xml:space="preserve">Передмова</w:t>
      </w:r>
    </w:p>
    <w:p w:rsidR="00000000" w:rsidDel="00000000" w:rsidP="00000000" w:rsidRDefault="00000000" w:rsidRPr="00000000" w14:paraId="00000007">
      <w:pP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Запропонований документ підготовлений з метою розпочати широку дискусію серед центральних органів виконавчої влади України, органів влади та дорадчих органів міжнародних партнерів України, органів місцевого самоврядування та громадянського суспільства щодо механізму компенсації відсотків та комісій за надання кредитів для фінансування інвестиційних проєктів місцевого рівня з використанням Державного фонду регіонального розвитку (далі - ДФРР).</w:t>
      </w:r>
    </w:p>
    <w:p w:rsidR="00000000" w:rsidDel="00000000" w:rsidP="00000000" w:rsidRDefault="00000000" w:rsidRPr="00000000" w14:paraId="00000008">
      <w:pPr>
        <w:spacing w:after="0" w:line="360" w:lineRule="auto"/>
        <w:ind w:firstLine="56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after="0" w:line="360" w:lineRule="auto"/>
        <w:ind w:firstLine="56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Проблема, яка потребує розв’язання</w:t>
      </w:r>
    </w:p>
    <w:p w:rsidR="00000000" w:rsidDel="00000000" w:rsidP="00000000" w:rsidRDefault="00000000" w:rsidRPr="00000000" w14:paraId="0000000A">
      <w:pP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Міжнародній партнери підтримають України та її органи місцевого самоврядування в тому числі за рахунок кредитних коштів, які надаються на пільгових умовах, що передбачають надання гарантій, повністю або часткову компенсацію відсотків за користування кредитними коштами та/або комісій.</w:t>
      </w:r>
    </w:p>
    <w:p w:rsidR="00000000" w:rsidDel="00000000" w:rsidP="00000000" w:rsidRDefault="00000000" w:rsidRPr="00000000" w14:paraId="0000000B">
      <w:pP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Зазвичай подібна компенсація стосується відносин між Україною та міжнародною фінансовою організацією або міжнародним банком, які виступають позикодавцями.  В той же час, у разі надання кредитних коштів органам місцевого самоврядування міжнародним банком з використанням дочірньої компанії (банку) на території України відсотки за користування кредитом та/або комісії за його надання можуть не включатися до суми компенсації, яку покривають міжнародні партнери України.</w:t>
      </w:r>
    </w:p>
    <w:p w:rsidR="00000000" w:rsidDel="00000000" w:rsidP="00000000" w:rsidRDefault="00000000" w:rsidRPr="00000000" w14:paraId="0000000C">
      <w:pPr>
        <w:spacing w:after="0" w:line="360" w:lineRule="auto"/>
        <w:ind w:firstLine="56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Запропонований механізм має за мету компенсувати банкам, які виступають кредиторами органів місцевого самоврядування, за рахунок коштів Державного фонду регіонального розвитку відсотки за користування кредитом та/або комісії за його надання за умови фінансування за рахунок кредитних коштів інвестиційних проєктів, які відповідають стратегічним цілям Державної стратегії регіонального розвитку (далі - ДСРР), плану заходів щодо її реалізації, регіональним та місцевим стратегіям та планам заходів в частині реалізації стратегічних цілей ДСРР.</w:t>
      </w:r>
      <w:r w:rsidDel="00000000" w:rsidR="00000000" w:rsidRPr="00000000">
        <w:rPr>
          <w:rtl w:val="0"/>
        </w:rPr>
      </w:r>
    </w:p>
    <w:p w:rsidR="00000000" w:rsidDel="00000000" w:rsidP="00000000" w:rsidRDefault="00000000" w:rsidRPr="00000000" w14:paraId="0000000D">
      <w:pPr>
        <w:spacing w:after="0" w:line="360" w:lineRule="auto"/>
        <w:rPr>
          <w:rFonts w:ascii="Times New Roman" w:cs="Times New Roman" w:eastAsia="Times New Roman" w:hAnsi="Times New Roman"/>
          <w:b w:val="1"/>
        </w:rPr>
        <w:sectPr>
          <w:footerReference r:id="rId10" w:type="default"/>
          <w:pgSz w:h="16838" w:w="11906" w:orient="portrait"/>
          <w:pgMar w:bottom="1134" w:top="1134" w:left="1701" w:right="850" w:header="708" w:footer="708"/>
          <w:pgNumType w:start="1"/>
        </w:sectPr>
      </w:pPr>
      <w:r w:rsidDel="00000000" w:rsidR="00000000" w:rsidRPr="00000000">
        <w:rPr>
          <w:rtl w:val="0"/>
        </w:rPr>
      </w:r>
    </w:p>
    <w:p w:rsidR="00000000" w:rsidDel="00000000" w:rsidP="00000000" w:rsidRDefault="00000000" w:rsidRPr="00000000" w14:paraId="0000000E">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Схема компенсації відсотків та комісій за надання кредитів для фінансування інвестиційних проєктів місцевого рівня з використанням ДФРР</w:t>
      </w:r>
    </w:p>
    <w:p w:rsidR="00000000" w:rsidDel="00000000" w:rsidP="00000000" w:rsidRDefault="00000000" w:rsidRPr="00000000" w14:paraId="0000000F">
      <w:pPr>
        <w:spacing w:after="0"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9268883" cy="3310467"/>
            <wp:effectExtent b="0" l="19050" r="8890" t="0"/>
            <wp:docPr id="11" name=""/>
            <a:graphic>
              <a:graphicData uri="http://schemas.openxmlformats.org/drawingml/2006/diagram">
                <dgm:relIds r:cs="rId1" r:dm="rId2" r:lo="rId3" r:qs="rId4"/>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3152140</wp:posOffset>
                </wp:positionH>
                <wp:positionV relativeFrom="paragraph">
                  <wp:posOffset>1365568</wp:posOffset>
                </wp:positionV>
                <wp:extent cx="441326" cy="2363258"/>
                <wp:effectExtent b="26670" l="10795" r="26670" t="8255"/>
                <wp:wrapNone/>
                <wp:docPr id="10" name=""/>
                <a:graphic>
                  <a:graphicData uri="http://schemas.microsoft.com/office/word/2010/wordprocessingShape">
                    <wps:wsp>
                      <wps:cNvSpPr/>
                      <wps:spPr>
                        <a:xfrm rot="5400000">
                          <a:off x="0" y="0"/>
                          <a:ext cx="441326" cy="2363258"/>
                        </a:xfrm>
                        <a:prstGeom prst="rightBrace">
                          <a:avLst/>
                        </a:prstGeom>
                        <a:ln w="28575"/>
                      </wps:spPr>
                      <wps:style>
                        <a:lnRef idx="1">
                          <a:schemeClr val="accent1"/>
                        </a:lnRef>
                        <a:fillRef idx="0">
                          <a:schemeClr val="accent1"/>
                        </a:fillRef>
                        <a:effectRef idx="0">
                          <a:schemeClr val="accent1"/>
                        </a:effectRef>
                        <a:fontRef idx="minor">
                          <a:schemeClr val="tx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3152140</wp:posOffset>
                </wp:positionH>
                <wp:positionV relativeFrom="paragraph">
                  <wp:posOffset>1365568</wp:posOffset>
                </wp:positionV>
                <wp:extent cx="478791" cy="2398183"/>
                <wp:effectExtent b="0" l="0" r="0" t="0"/>
                <wp:wrapNone/>
                <wp:docPr id="10"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rot="5400000">
                          <a:off x="0" y="0"/>
                          <a:ext cx="478791" cy="239818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6385137</wp:posOffset>
                </wp:positionH>
                <wp:positionV relativeFrom="paragraph">
                  <wp:posOffset>1363345</wp:posOffset>
                </wp:positionV>
                <wp:extent cx="441326" cy="2363258"/>
                <wp:effectExtent b="26670" l="10795" r="26670" t="8255"/>
                <wp:wrapNone/>
                <wp:docPr id="2" name=""/>
                <a:graphic>
                  <a:graphicData uri="http://schemas.microsoft.com/office/word/2010/wordprocessingShape">
                    <wps:wsp>
                      <wps:cNvSpPr/>
                      <wps:spPr>
                        <a:xfrm rot="5400000">
                          <a:off x="0" y="0"/>
                          <a:ext cx="441326" cy="2363258"/>
                        </a:xfrm>
                        <a:prstGeom prst="rightBrace">
                          <a:avLst/>
                        </a:prstGeom>
                        <a:ln w="28575"/>
                      </wps:spPr>
                      <wps:style>
                        <a:lnRef idx="1">
                          <a:schemeClr val="accent1"/>
                        </a:lnRef>
                        <a:fillRef idx="0">
                          <a:schemeClr val="accent1"/>
                        </a:fillRef>
                        <a:effectRef idx="0">
                          <a:schemeClr val="accent1"/>
                        </a:effectRef>
                        <a:fontRef idx="minor">
                          <a:schemeClr val="tx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6385137</wp:posOffset>
                </wp:positionH>
                <wp:positionV relativeFrom="paragraph">
                  <wp:posOffset>1363345</wp:posOffset>
                </wp:positionV>
                <wp:extent cx="478791" cy="2398183"/>
                <wp:effectExtent b="0" l="0" r="0" t="0"/>
                <wp:wrapNone/>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rot="5400000">
                          <a:off x="0" y="0"/>
                          <a:ext cx="478791" cy="239818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2285577</wp:posOffset>
                </wp:positionH>
                <wp:positionV relativeFrom="paragraph">
                  <wp:posOffset>2879090</wp:posOffset>
                </wp:positionV>
                <wp:extent cx="2201333" cy="524933"/>
                <wp:effectExtent b="27940" l="0" r="27940" t="0"/>
                <wp:wrapNone/>
                <wp:docPr id="4" name=""/>
                <a:graphic>
                  <a:graphicData uri="http://schemas.microsoft.com/office/word/2010/wordprocessingShape">
                    <wps:wsp>
                      <wps:cNvSpPr/>
                      <wps:spPr>
                        <a:xfrm>
                          <a:off x="0" y="0"/>
                          <a:ext cx="2201333" cy="524933"/>
                        </a:xfrm>
                        <a:prstGeom prst="round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B11184" w:rsidDel="00000000" w:rsidP="00B11184" w:rsidRDefault="00B11184" w:rsidRPr="00B11184" w14:paraId="261388CF" w14:textId="77004A1B">
                            <w:pPr>
                              <w:jc w:val="center"/>
                              <w:rPr>
                                <w:color w:val="44546a" w:themeColor="text2"/>
                                <w:lang w:val="uk-UA"/>
                              </w:rPr>
                            </w:pPr>
                            <w:r w:rsidDel="00000000" w:rsidR="00000000" w:rsidRPr="00000000">
                              <w:rPr>
                                <w:color w:val="44546a" w:themeColor="text2"/>
                                <w:lang w:val="uk-UA"/>
                              </w:rPr>
                              <w:t>Відсотки та комісії</w:t>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2285577</wp:posOffset>
                </wp:positionH>
                <wp:positionV relativeFrom="paragraph">
                  <wp:posOffset>2879090</wp:posOffset>
                </wp:positionV>
                <wp:extent cx="2229273" cy="552873"/>
                <wp:effectExtent b="0" l="0" r="0" t="0"/>
                <wp:wrapNone/>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2229273" cy="55287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5520266</wp:posOffset>
                </wp:positionH>
                <wp:positionV relativeFrom="paragraph">
                  <wp:posOffset>2879302</wp:posOffset>
                </wp:positionV>
                <wp:extent cx="2201333" cy="524933"/>
                <wp:effectExtent b="27940" l="0" r="27940" t="0"/>
                <wp:wrapNone/>
                <wp:docPr id="1" name=""/>
                <a:graphic>
                  <a:graphicData uri="http://schemas.microsoft.com/office/word/2010/wordprocessingShape">
                    <wps:wsp>
                      <wps:cNvSpPr/>
                      <wps:spPr>
                        <a:xfrm>
                          <a:off x="0" y="0"/>
                          <a:ext cx="2201333" cy="524933"/>
                        </a:xfrm>
                        <a:prstGeom prst="round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B11184" w:rsidDel="00000000" w:rsidP="00B11184" w:rsidRDefault="00B11184" w:rsidRPr="00B11184" w14:paraId="4873B122" w14:textId="77777777">
                            <w:pPr>
                              <w:jc w:val="center"/>
                              <w:rPr>
                                <w:color w:val="44546a" w:themeColor="text2"/>
                                <w:lang w:val="uk-UA"/>
                              </w:rPr>
                            </w:pPr>
                            <w:r w:rsidDel="00000000" w:rsidR="00000000" w:rsidRPr="00000000">
                              <w:rPr>
                                <w:color w:val="44546a" w:themeColor="text2"/>
                                <w:lang w:val="uk-UA"/>
                              </w:rPr>
                              <w:t>Відсотки та комісії</w:t>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5520266</wp:posOffset>
                </wp:positionH>
                <wp:positionV relativeFrom="paragraph">
                  <wp:posOffset>2879302</wp:posOffset>
                </wp:positionV>
                <wp:extent cx="2229273" cy="552873"/>
                <wp:effectExtent b="0" l="0" r="0" t="0"/>
                <wp:wrapNone/>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229273" cy="55287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3411644</wp:posOffset>
                </wp:positionH>
                <wp:positionV relativeFrom="paragraph">
                  <wp:posOffset>3992880</wp:posOffset>
                </wp:positionV>
                <wp:extent cx="2729070" cy="1053421"/>
                <wp:effectExtent b="13970" l="19050" r="33655" t="0"/>
                <wp:wrapNone/>
                <wp:docPr id="3" name=""/>
                <a:graphic>
                  <a:graphicData uri="http://schemas.microsoft.com/office/word/2010/wordprocessingShape">
                    <wps:wsp>
                      <wps:cNvSpPr/>
                      <wps:spPr>
                        <a:xfrm>
                          <a:off x="0" y="0"/>
                          <a:ext cx="2729070" cy="1053421"/>
                        </a:xfrm>
                        <a:prstGeom prst="chevron">
                          <a:avLst>
                            <a:gd fmla="val 40000" name="adj"/>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3411644</wp:posOffset>
                </wp:positionH>
                <wp:positionV relativeFrom="paragraph">
                  <wp:posOffset>3992880</wp:posOffset>
                </wp:positionV>
                <wp:extent cx="2781775" cy="1067391"/>
                <wp:effectExtent b="0" l="0" r="0" t="0"/>
                <wp:wrapNone/>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781775" cy="1067391"/>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4053840</wp:posOffset>
                </wp:positionH>
                <wp:positionV relativeFrom="paragraph">
                  <wp:posOffset>4330700</wp:posOffset>
                </wp:positionV>
                <wp:extent cx="2192866" cy="999067"/>
                <wp:effectExtent b="10795" l="0" r="17145" t="0"/>
                <wp:wrapNone/>
                <wp:docPr id="12" name=""/>
                <a:graphic>
                  <a:graphicData uri="http://schemas.microsoft.com/office/word/2010/wordprocessingShape">
                    <wps:wsp>
                      <wps:cNvSpPr/>
                      <wps:spPr>
                        <a:xfrm>
                          <a:off x="0" y="0"/>
                          <a:ext cx="2192866" cy="999067"/>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rsidR="00B11184" w:rsidDel="00000000" w:rsidP="00B11184" w:rsidRDefault="00B11184" w:rsidRPr="00B11184" w14:paraId="45B96DAD" w14:textId="0AF4F5E6">
                            <w:pPr>
                              <w:spacing w:after="0" w:line="360" w:lineRule="auto"/>
                              <w:jc w:val="center"/>
                              <w:rPr>
                                <w:color w:val="000000" w:themeColor="text1"/>
                                <w:lang w:val="uk-UA"/>
                              </w:rPr>
                            </w:pPr>
                            <w:r w:rsidDel="00000000" w:rsidR="00000000" w:rsidRPr="00B11184">
                              <w:rPr>
                                <w:color w:val="000000" w:themeColor="text1"/>
                                <w:lang w:val="uk-UA"/>
                              </w:rPr>
                              <w:t>ДФРР</w:t>
                            </w:r>
                            <w:r w:rsidDel="00000000" w:rsidR="00000000" w:rsidRPr="00000000">
                              <w:rPr>
                                <w:color w:val="000000" w:themeColor="text1"/>
                                <w:lang w:val="uk-UA"/>
                              </w:rPr>
                              <w:t xml:space="preserve"> компенсує за рахунок кредитних коштів банку відсотки та/або комісії </w:t>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4053840</wp:posOffset>
                </wp:positionH>
                <wp:positionV relativeFrom="paragraph">
                  <wp:posOffset>4330700</wp:posOffset>
                </wp:positionV>
                <wp:extent cx="2210011" cy="1009862"/>
                <wp:effectExtent b="0" l="0" r="0" t="0"/>
                <wp:wrapNone/>
                <wp:docPr id="12"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2210011" cy="1009862"/>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1065740</wp:posOffset>
                </wp:positionH>
                <wp:positionV relativeFrom="paragraph">
                  <wp:posOffset>486622</wp:posOffset>
                </wp:positionV>
                <wp:extent cx="541866" cy="474133"/>
                <wp:effectExtent b="2540" l="0" r="0" t="0"/>
                <wp:wrapNone/>
                <wp:docPr id="13" name=""/>
                <a:graphic>
                  <a:graphicData uri="http://schemas.microsoft.com/office/word/2010/wordprocessingShape">
                    <wps:wsp>
                      <wps:cNvSpPr txBox="1"/>
                      <wps:spPr>
                        <a:xfrm>
                          <a:off x="0" y="0"/>
                          <a:ext cx="541866" cy="474133"/>
                        </a:xfrm>
                        <a:prstGeom prst="rect">
                          <a:avLst/>
                        </a:prstGeom>
                        <a:solidFill>
                          <a:schemeClr val="lt1"/>
                        </a:solidFill>
                        <a:ln w="6350">
                          <a:noFill/>
                        </a:ln>
                      </wps:spPr>
                      <wps:txbx>
                        <w:txbxContent>
                          <w:p w:rsidR="00B11184" w:rsidDel="00000000" w:rsidP="00B11184" w:rsidRDefault="00B11184" w:rsidRPr="00B11184" w14:paraId="657177AC" w14:textId="2A3F6443">
                            <w:pPr>
                              <w:jc w:val="center"/>
                              <w:rPr>
                                <w:b w:val="1"/>
                                <w:bCs w:val="1"/>
                                <w:sz w:val="32"/>
                                <w:szCs w:val="32"/>
                                <w:lang w:val="uk-UA"/>
                              </w:rPr>
                            </w:pPr>
                            <w:r w:rsidDel="00000000" w:rsidR="00000000" w:rsidRPr="00B11184">
                              <w:rPr>
                                <w:b w:val="1"/>
                                <w:bCs w:val="1"/>
                                <w:sz w:val="32"/>
                                <w:szCs w:val="32"/>
                                <w:lang w:val="uk-UA"/>
                              </w:rPr>
                              <w:t>1</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1065740</wp:posOffset>
                </wp:positionH>
                <wp:positionV relativeFrom="paragraph">
                  <wp:posOffset>486622</wp:posOffset>
                </wp:positionV>
                <wp:extent cx="541866" cy="476673"/>
                <wp:effectExtent b="0" l="0" r="0" t="0"/>
                <wp:wrapNone/>
                <wp:docPr id="13"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541866" cy="47667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4199467</wp:posOffset>
                </wp:positionH>
                <wp:positionV relativeFrom="paragraph">
                  <wp:posOffset>486832</wp:posOffset>
                </wp:positionV>
                <wp:extent cx="541866" cy="474133"/>
                <wp:effectExtent b="2540" l="0" r="0" t="0"/>
                <wp:wrapNone/>
                <wp:docPr id="5" name=""/>
                <a:graphic>
                  <a:graphicData uri="http://schemas.microsoft.com/office/word/2010/wordprocessingShape">
                    <wps:wsp>
                      <wps:cNvSpPr txBox="1"/>
                      <wps:spPr>
                        <a:xfrm>
                          <a:off x="0" y="0"/>
                          <a:ext cx="541866" cy="474133"/>
                        </a:xfrm>
                        <a:prstGeom prst="rect">
                          <a:avLst/>
                        </a:prstGeom>
                        <a:solidFill>
                          <a:schemeClr val="lt1"/>
                        </a:solidFill>
                        <a:ln w="6350">
                          <a:noFill/>
                        </a:ln>
                      </wps:spPr>
                      <wps:txbx>
                        <w:txbxContent>
                          <w:p w:rsidR="00B11184" w:rsidDel="00000000" w:rsidP="00B11184" w:rsidRDefault="00B11184" w:rsidRPr="00B11184" w14:paraId="4AADAA04" w14:textId="696D50D9">
                            <w:pPr>
                              <w:jc w:val="center"/>
                              <w:rPr>
                                <w:b w:val="1"/>
                                <w:bCs w:val="1"/>
                                <w:sz w:val="32"/>
                                <w:szCs w:val="32"/>
                                <w:lang w:val="uk-UA"/>
                              </w:rPr>
                            </w:pPr>
                            <w:r w:rsidDel="00000000" w:rsidR="00000000" w:rsidRPr="00000000">
                              <w:rPr>
                                <w:b w:val="1"/>
                                <w:bCs w:val="1"/>
                                <w:sz w:val="32"/>
                                <w:szCs w:val="32"/>
                                <w:lang w:val="uk-UA"/>
                              </w:rPr>
                              <w:t>2</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4199467</wp:posOffset>
                </wp:positionH>
                <wp:positionV relativeFrom="paragraph">
                  <wp:posOffset>486832</wp:posOffset>
                </wp:positionV>
                <wp:extent cx="541866" cy="476673"/>
                <wp:effectExtent b="0" l="0" r="0" t="0"/>
                <wp:wrapNone/>
                <wp:docPr id="5"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541866" cy="47667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7306734</wp:posOffset>
                </wp:positionH>
                <wp:positionV relativeFrom="paragraph">
                  <wp:posOffset>486832</wp:posOffset>
                </wp:positionV>
                <wp:extent cx="541866" cy="474133"/>
                <wp:effectExtent b="2540" l="0" r="0" t="0"/>
                <wp:wrapNone/>
                <wp:docPr id="8" name=""/>
                <a:graphic>
                  <a:graphicData uri="http://schemas.microsoft.com/office/word/2010/wordprocessingShape">
                    <wps:wsp>
                      <wps:cNvSpPr txBox="1"/>
                      <wps:spPr>
                        <a:xfrm>
                          <a:off x="0" y="0"/>
                          <a:ext cx="541866" cy="474133"/>
                        </a:xfrm>
                        <a:prstGeom prst="rect">
                          <a:avLst/>
                        </a:prstGeom>
                        <a:solidFill>
                          <a:schemeClr val="lt1"/>
                        </a:solidFill>
                        <a:ln w="6350">
                          <a:noFill/>
                        </a:ln>
                      </wps:spPr>
                      <wps:txbx>
                        <w:txbxContent>
                          <w:p w:rsidR="00B11184" w:rsidDel="00000000" w:rsidP="00B11184" w:rsidRDefault="00B11184" w:rsidRPr="00B11184" w14:paraId="21C387A0" w14:textId="22BD6D90">
                            <w:pPr>
                              <w:jc w:val="center"/>
                              <w:rPr>
                                <w:b w:val="1"/>
                                <w:bCs w:val="1"/>
                                <w:sz w:val="32"/>
                                <w:szCs w:val="32"/>
                                <w:lang w:val="uk-UA"/>
                              </w:rPr>
                            </w:pPr>
                            <w:r w:rsidDel="00000000" w:rsidR="00000000" w:rsidRPr="00000000">
                              <w:rPr>
                                <w:b w:val="1"/>
                                <w:bCs w:val="1"/>
                                <w:sz w:val="32"/>
                                <w:szCs w:val="32"/>
                                <w:lang w:val="uk-UA"/>
                              </w:rPr>
                              <w:t>3</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7306734</wp:posOffset>
                </wp:positionH>
                <wp:positionV relativeFrom="paragraph">
                  <wp:posOffset>486832</wp:posOffset>
                </wp:positionV>
                <wp:extent cx="541866" cy="476673"/>
                <wp:effectExtent b="0" l="0" r="0" t="0"/>
                <wp:wrapNone/>
                <wp:docPr id="8"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41866" cy="47667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4318000</wp:posOffset>
                </wp:positionH>
                <wp:positionV relativeFrom="paragraph">
                  <wp:posOffset>3501390</wp:posOffset>
                </wp:positionV>
                <wp:extent cx="541866" cy="474133"/>
                <wp:effectExtent b="2540" l="0" r="0" t="0"/>
                <wp:wrapNone/>
                <wp:docPr id="7" name=""/>
                <a:graphic>
                  <a:graphicData uri="http://schemas.microsoft.com/office/word/2010/wordprocessingShape">
                    <wps:wsp>
                      <wps:cNvSpPr txBox="1"/>
                      <wps:spPr>
                        <a:xfrm>
                          <a:off x="0" y="0"/>
                          <a:ext cx="541866" cy="474133"/>
                        </a:xfrm>
                        <a:prstGeom prst="rect">
                          <a:avLst/>
                        </a:prstGeom>
                        <a:solidFill>
                          <a:schemeClr val="lt1"/>
                        </a:solidFill>
                        <a:ln w="6350">
                          <a:noFill/>
                        </a:ln>
                      </wps:spPr>
                      <wps:txbx>
                        <w:txbxContent>
                          <w:p w:rsidR="00B11184" w:rsidDel="00000000" w:rsidP="00B11184" w:rsidRDefault="00B11184" w:rsidRPr="00B11184" w14:paraId="177AB026" w14:textId="0E805780">
                            <w:pPr>
                              <w:jc w:val="center"/>
                              <w:rPr>
                                <w:b w:val="1"/>
                                <w:bCs w:val="1"/>
                                <w:sz w:val="32"/>
                                <w:szCs w:val="32"/>
                                <w:lang w:val="uk-UA"/>
                              </w:rPr>
                            </w:pPr>
                            <w:r w:rsidDel="00000000" w:rsidR="00000000" w:rsidRPr="00000000">
                              <w:rPr>
                                <w:b w:val="1"/>
                                <w:bCs w:val="1"/>
                                <w:sz w:val="32"/>
                                <w:szCs w:val="32"/>
                                <w:lang w:val="uk-UA"/>
                              </w:rPr>
                              <w:t>4</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3501390</wp:posOffset>
                </wp:positionV>
                <wp:extent cx="541866" cy="476673"/>
                <wp:effectExtent b="0" l="0" r="0" t="0"/>
                <wp:wrapNone/>
                <wp:docPr id="7"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541866" cy="47667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4961043</wp:posOffset>
                </wp:positionH>
                <wp:positionV relativeFrom="paragraph">
                  <wp:posOffset>2544233</wp:posOffset>
                </wp:positionV>
                <wp:extent cx="0" cy="1278467"/>
                <wp:effectExtent b="17145" l="57150" r="57150" t="38100"/>
                <wp:wrapNone/>
                <wp:docPr id="6" name=""/>
                <a:graphic>
                  <a:graphicData uri="http://schemas.microsoft.com/office/word/2010/wordprocessingShape">
                    <wps:wsp>
                      <wps:cNvCnPr/>
                      <wps:spPr>
                        <a:xfrm flipV="1">
                          <a:off x="0" y="0"/>
                          <a:ext cx="0" cy="1278467"/>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4961043</wp:posOffset>
                </wp:positionH>
                <wp:positionV relativeFrom="paragraph">
                  <wp:posOffset>2544233</wp:posOffset>
                </wp:positionV>
                <wp:extent cx="114300" cy="1333712"/>
                <wp:effectExtent b="0" l="0" r="0" t="0"/>
                <wp:wrapNone/>
                <wp:docPr id="6"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114300" cy="1333712"/>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6468110</wp:posOffset>
                </wp:positionH>
                <wp:positionV relativeFrom="paragraph">
                  <wp:posOffset>2493433</wp:posOffset>
                </wp:positionV>
                <wp:extent cx="2218267" cy="2209800"/>
                <wp:effectExtent b="38100" l="38100" r="29845" t="19050"/>
                <wp:wrapNone/>
                <wp:docPr id="9" name=""/>
                <a:graphic>
                  <a:graphicData uri="http://schemas.microsoft.com/office/word/2010/wordprocessingShape">
                    <wps:wsp>
                      <wps:cNvCnPr/>
                      <wps:spPr>
                        <a:xfrm flipH="1">
                          <a:off x="0" y="0"/>
                          <a:ext cx="2218267" cy="22098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6468110</wp:posOffset>
                </wp:positionH>
                <wp:positionV relativeFrom="paragraph">
                  <wp:posOffset>2493433</wp:posOffset>
                </wp:positionV>
                <wp:extent cx="2286212" cy="2266950"/>
                <wp:effectExtent b="0" l="0" r="0" t="0"/>
                <wp:wrapNone/>
                <wp:docPr id="9"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2286212" cy="2266950"/>
                        </a:xfrm>
                        <a:prstGeom prst="rect"/>
                        <a:ln/>
                      </pic:spPr>
                    </pic:pic>
                  </a:graphicData>
                </a:graphic>
              </wp:anchor>
            </w:drawing>
          </mc:Fallback>
        </mc:AlternateConten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tabs>
          <w:tab w:val="left" w:leader="none" w:pos="1733"/>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tabs>
          <w:tab w:val="left" w:leader="none" w:pos="1733"/>
        </w:tabs>
        <w:rPr>
          <w:rFonts w:ascii="Times New Roman" w:cs="Times New Roman" w:eastAsia="Times New Roman" w:hAnsi="Times New Roman"/>
        </w:rPr>
        <w:sectPr>
          <w:type w:val="nextPage"/>
          <w:pgSz w:h="11906" w:w="16838" w:orient="landscape"/>
          <w:pgMar w:bottom="851" w:top="1701" w:left="1134" w:right="1134" w:header="709" w:footer="709"/>
        </w:sectPr>
      </w:pPr>
      <w:r w:rsidDel="00000000" w:rsidR="00000000" w:rsidRPr="00000000">
        <w:rPr>
          <w:rtl w:val="0"/>
        </w:rPr>
      </w:r>
    </w:p>
    <w:p w:rsidR="00000000" w:rsidDel="00000000" w:rsidP="00000000" w:rsidRDefault="00000000" w:rsidRPr="00000000" w14:paraId="00000017">
      <w:pPr>
        <w:keepNext w:val="1"/>
        <w:keepLines w:val="1"/>
        <w:spacing w:after="0" w:line="360" w:lineRule="auto"/>
        <w:ind w:firstLine="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Загальні положення </w:t>
      </w:r>
    </w:p>
    <w:p w:rsidR="00000000" w:rsidDel="00000000" w:rsidP="00000000" w:rsidRDefault="00000000" w:rsidRPr="00000000" w14:paraId="00000018">
      <w:pPr>
        <w:keepNext w:val="1"/>
        <w:keepLines w:val="1"/>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Запропонований в цьому документів механізм є одним з трьох базових механізмів (“кошиків”), які пропонується запровадити в оновленому ДФРР, а саме:</w:t>
      </w:r>
    </w:p>
    <w:p w:rsidR="00000000" w:rsidDel="00000000" w:rsidP="00000000" w:rsidRDefault="00000000" w:rsidRPr="00000000" w14:paraId="00000019">
      <w:pPr>
        <w:keepNext w:val="1"/>
        <w:keepLines w:val="1"/>
        <w:numPr>
          <w:ilvl w:val="0"/>
          <w:numId w:val="7"/>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Бюджет участі (громадський бюджет) (в розмірі, який визначається Законом України про державний бюджет на відповідний рік).</w:t>
      </w:r>
    </w:p>
    <w:p w:rsidR="00000000" w:rsidDel="00000000" w:rsidP="00000000" w:rsidRDefault="00000000" w:rsidRPr="00000000" w14:paraId="0000001A">
      <w:pPr>
        <w:keepNext w:val="1"/>
        <w:keepLines w:val="1"/>
        <w:numPr>
          <w:ilvl w:val="0"/>
          <w:numId w:val="7"/>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Програмні субвенції на відбудову, реконструкцію та модернізацію субнаціональних органів влади, зокрема органів місцевого самоврядування (20% компоненту І Українського фонду ЄС).</w:t>
      </w:r>
    </w:p>
    <w:p w:rsidR="00000000" w:rsidDel="00000000" w:rsidP="00000000" w:rsidRDefault="00000000" w:rsidRPr="00000000" w14:paraId="0000001B">
      <w:pPr>
        <w:keepNext w:val="1"/>
        <w:keepLines w:val="1"/>
        <w:numPr>
          <w:ilvl w:val="0"/>
          <w:numId w:val="7"/>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Пільгові кредити органам місцевого самоврядування .</w:t>
      </w:r>
    </w:p>
    <w:p w:rsidR="00000000" w:rsidDel="00000000" w:rsidP="00000000" w:rsidRDefault="00000000" w:rsidRPr="00000000" w14:paraId="0000001C">
      <w:pPr>
        <w:keepNext w:val="1"/>
        <w:keepLines w:val="1"/>
        <w:spacing w:after="0" w:line="360" w:lineRule="auto"/>
        <w:ind w:firstLine="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line="360" w:lineRule="auto"/>
        <w:ind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Проекти, яким може бути надано пільгове кредитне фінансування, мають належати до пріоритетних галузей (житло, критична, соціальна та  транспортна інфраструктура) та відповідати цілям та завданням Державної стратегії регіонального розвитку (далі - ДСРР), місцевим/регіональним стратегіям та планам заходів до них. </w:t>
      </w:r>
    </w:p>
    <w:p w:rsidR="00000000" w:rsidDel="00000000" w:rsidP="00000000" w:rsidRDefault="00000000" w:rsidRPr="00000000" w14:paraId="0000001E">
      <w:pP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Механізм надання пільгових кредитів з використанням ДФРР має бути узгоджено з Реформою публічних інвестицій.</w:t>
      </w:r>
    </w:p>
    <w:p w:rsidR="00000000" w:rsidDel="00000000" w:rsidP="00000000" w:rsidRDefault="00000000" w:rsidRPr="00000000" w14:paraId="0000001F">
      <w:pP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Запропонований надання пільгових кредитів з використанням ДФРР складається з таких елементів, які більш детально описані нижче:</w:t>
      </w:r>
    </w:p>
    <w:p w:rsidR="00000000" w:rsidDel="00000000" w:rsidP="00000000" w:rsidRDefault="00000000" w:rsidRPr="00000000" w14:paraId="00000020">
      <w:pPr>
        <w:numPr>
          <w:ilvl w:val="0"/>
          <w:numId w:val="8"/>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критерії до заявників</w:t>
      </w:r>
    </w:p>
    <w:p w:rsidR="00000000" w:rsidDel="00000000" w:rsidP="00000000" w:rsidRDefault="00000000" w:rsidRPr="00000000" w14:paraId="00000021">
      <w:pPr>
        <w:numPr>
          <w:ilvl w:val="0"/>
          <w:numId w:val="8"/>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критерії відбору проєктів;</w:t>
      </w:r>
    </w:p>
    <w:p w:rsidR="00000000" w:rsidDel="00000000" w:rsidP="00000000" w:rsidRDefault="00000000" w:rsidRPr="00000000" w14:paraId="00000022">
      <w:pPr>
        <w:numPr>
          <w:ilvl w:val="0"/>
          <w:numId w:val="8"/>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механізм розподілу фінансування; та</w:t>
      </w:r>
    </w:p>
    <w:p w:rsidR="00000000" w:rsidDel="00000000" w:rsidP="00000000" w:rsidRDefault="00000000" w:rsidRPr="00000000" w14:paraId="00000023">
      <w:pPr>
        <w:numPr>
          <w:ilvl w:val="0"/>
          <w:numId w:val="8"/>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механізми контролю та звітності.</w:t>
      </w:r>
    </w:p>
    <w:p w:rsidR="00000000" w:rsidDel="00000000" w:rsidP="00000000" w:rsidRDefault="00000000" w:rsidRPr="00000000" w14:paraId="00000024">
      <w:pPr>
        <w:tabs>
          <w:tab w:val="left" w:leader="none" w:pos="1733"/>
        </w:tabs>
        <w:ind w:firstLine="42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keepNext w:val="1"/>
        <w:keepLines w:val="1"/>
        <w:spacing w:after="0" w:line="360" w:lineRule="auto"/>
        <w:ind w:firstLine="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Джерело фінансування</w:t>
      </w:r>
    </w:p>
    <w:p w:rsidR="00000000" w:rsidDel="00000000" w:rsidP="00000000" w:rsidRDefault="00000000" w:rsidRPr="00000000" w14:paraId="00000026">
      <w:pPr>
        <w:keepNext w:val="1"/>
        <w:keepLines w:val="1"/>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Фінансування пільгових кредитів буде здійснюватися за рахунок коштів ДФРР. </w:t>
      </w:r>
    </w:p>
    <w:p w:rsidR="00000000" w:rsidDel="00000000" w:rsidP="00000000" w:rsidRDefault="00000000" w:rsidRPr="00000000" w14:paraId="00000027">
      <w:pPr>
        <w:keepNext w:val="1"/>
        <w:keepLines w:val="1"/>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Обсяг коштів для надання пільгових кредитів визначається законом України про державний бюджет на відповідний рік та включатиме: </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733"/>
        </w:tabs>
        <w:spacing w:after="0" w:before="0" w:line="360" w:lineRule="auto"/>
        <w:ind w:left="0" w:right="0" w:firstLine="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надходження від Європейського Союзу, отримані на безоплатній та безповоротній основі в обсязі, який визначається acquis Європейського Союзу, що виділяються Україні на потреби органів місцевого самоврядування у відновленні, відбудові та модернізації з метою компенсації відсотків та комісій за надання кредитів для фінансування інвестиційних проєктів місцевого та регіонального рівнів; та</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733"/>
        </w:tabs>
        <w:spacing w:after="0" w:before="0" w:line="360" w:lineRule="auto"/>
        <w:ind w:left="0" w:right="0" w:firstLine="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надходження від урядів іноземних держав, міжнародних організацій, донорських установ в обсязі, визначеному законодавством та/або міжнародними договорами, що виділяються Україні на потреби органів місцевого самоврядування у відновленні, відбудові та модернізації з метою компенсації відсотків та комісій за надання кредитів для фінансування інвестиційних проєктів місцевого та регіонального рівнів.</w:t>
      </w:r>
    </w:p>
    <w:p w:rsidR="00000000" w:rsidDel="00000000" w:rsidP="00000000" w:rsidRDefault="00000000" w:rsidRPr="00000000" w14:paraId="0000002A">
      <w:pPr>
        <w:tabs>
          <w:tab w:val="left" w:leader="none" w:pos="1733"/>
        </w:tabs>
        <w:ind w:firstLine="42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360" w:lineRule="auto"/>
        <w:ind w:firstLine="42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Критерії до заявників </w:t>
      </w:r>
    </w:p>
    <w:p w:rsidR="00000000" w:rsidDel="00000000" w:rsidP="00000000" w:rsidRDefault="00000000" w:rsidRPr="00000000" w14:paraId="0000002C">
      <w:pPr>
        <w:spacing w:after="0" w:line="360" w:lineRule="auto"/>
        <w:ind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Претендувати на надання пільгових кредитів з використанням ДФРР можуть (1) сільські, селищні міські ради, та (2) обласні ради (далі - “</w:t>
      </w:r>
      <w:r w:rsidDel="00000000" w:rsidR="00000000" w:rsidRPr="00000000">
        <w:rPr>
          <w:rFonts w:ascii="Times New Roman" w:cs="Times New Roman" w:eastAsia="Times New Roman" w:hAnsi="Times New Roman"/>
          <w:b w:val="1"/>
          <w:rtl w:val="0"/>
        </w:rPr>
        <w:t xml:space="preserve">заявники”</w:t>
      </w:r>
      <w:r w:rsidDel="00000000" w:rsidR="00000000" w:rsidRPr="00000000">
        <w:rPr>
          <w:rFonts w:ascii="Times New Roman" w:cs="Times New Roman" w:eastAsia="Times New Roman" w:hAnsi="Times New Roman"/>
          <w:rtl w:val="0"/>
        </w:rPr>
        <w:t xml:space="preserve">) за умови, що вони:</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входять до переліку Переліку територій, на яких ведуться бойові дії або тимчасово окупованих Російською Федерацією</w:t>
      </w:r>
    </w:p>
    <w:p w:rsidR="00000000" w:rsidDel="00000000" w:rsidP="00000000" w:rsidRDefault="00000000" w:rsidRPr="00000000" w14:paraId="0000002E">
      <w:pPr>
        <w:numPr>
          <w:ilvl w:val="0"/>
          <w:numId w:val="8"/>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віддаленими від лінії фронту та тимчасово окупованих територій щонайменше на 30 км (за виключенням окремих територіальних громад Херсонської, Запорізької та Дніпропетровської областей)</w:t>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віддаленими від державного кордону України з Російською Федерацією щонайменше на 10 км;</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сукупний обсяг кредитних коштів не може перевищувати дефіцит бюджету розвитку місцевого бюджету на відповідний рік</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кредитні кошти залучаються лиши на фінансування інвестиційних проєктів, які відповідають цілям та завданням ДСРР, місцевим/регіональним стратегіям та планам заходів до них синхронізованим з ДСРР</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видатки на обслуговування кредитних коштів, які не покриваються компенсацією ДФРР, не можуть перевищувати 10% видатків загального фонду місцевого бюджету протягом періоду обслуговування боргу</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загальний обсяг заборгованості за кредитними коштами не може перевищувати 100% обсягу доходів загальної частини місцевого бюджету протягом періоду користування кредитними коштами. </w:t>
      </w:r>
    </w:p>
    <w:p w:rsidR="00000000" w:rsidDel="00000000" w:rsidP="00000000" w:rsidRDefault="00000000" w:rsidRPr="00000000" w14:paraId="00000034">
      <w:pP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можливості звернення за фінансування відповідний орган місцевого самоврядування повинен мати чинну стратегію територіальної громади/регіональну стратегію та план заходів до неї.</w:t>
      </w:r>
    </w:p>
    <w:p w:rsidR="00000000" w:rsidDel="00000000" w:rsidP="00000000" w:rsidRDefault="00000000" w:rsidRPr="00000000" w14:paraId="00000035">
      <w:pPr>
        <w:spacing w:after="0" w:line="360" w:lineRule="auto"/>
        <w:ind w:firstLine="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1"/>
        <w:keepLines w:val="1"/>
        <w:spacing w:after="0" w:line="360" w:lineRule="auto"/>
        <w:ind w:firstLine="42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Критерії відбору проєктів в межах бюджету участі</w:t>
      </w:r>
    </w:p>
    <w:p w:rsidR="00000000" w:rsidDel="00000000" w:rsidP="00000000" w:rsidRDefault="00000000" w:rsidRPr="00000000" w14:paraId="00000037">
      <w:pPr>
        <w:spacing w:after="0" w:line="360" w:lineRule="auto"/>
        <w:ind w:firstLine="426"/>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Проєкти за якими можливе надання пільгових кредитів з використанням ДФРР повинні відповідати таким критеріям:</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відповідати вимогам до проєктів, які висуваються в межах single project pipeline Реформи управління публічними інвестиціями;</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забезпечувати досягнення визначених показників ефективності;</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мають бути спрямованим на досягнення цілей, визначених ДСРР, стратегією розвитку територіальної громади / області, та відповідати плану заходів до неї;</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бути представлені та обговорені в рамках публічних консультацій з громадськістю (при обговоренні плану заходів, якщо такий проект прямо включений у план заходів)</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належати до однієї з пріоритетних галузей:</w:t>
      </w:r>
    </w:p>
    <w:p w:rsidR="00000000" w:rsidDel="00000000" w:rsidP="00000000" w:rsidRDefault="00000000" w:rsidRPr="00000000" w14:paraId="0000003D">
      <w:pP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Житло;</w:t>
      </w:r>
    </w:p>
    <w:p w:rsidR="00000000" w:rsidDel="00000000" w:rsidP="00000000" w:rsidRDefault="00000000" w:rsidRPr="00000000" w14:paraId="0000003E">
      <w:pP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Критична інфраструктура життєдіяльності (електроенергія, газ та опалення; водопостачання, водовідведення; управління відходами);</w:t>
      </w:r>
    </w:p>
    <w:p w:rsidR="00000000" w:rsidDel="00000000" w:rsidP="00000000" w:rsidRDefault="00000000" w:rsidRPr="00000000" w14:paraId="0000003F">
      <w:pP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Соціальна інфраструктура (освіта; охорона здоров'я; бомбосховища; центри безпеки; адміністративні будівлі);</w:t>
      </w:r>
    </w:p>
    <w:p w:rsidR="00000000" w:rsidDel="00000000" w:rsidP="00000000" w:rsidRDefault="00000000" w:rsidRPr="00000000" w14:paraId="00000040">
      <w:pP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Транспортна інфраструктура;</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перевищувати максимальну вартість проєкту (буде визначена на пізніших етапах);</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мати належним чином розроблену проектно-кошторисну документацію з актуальною кошторисною частиною; та</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фінансуватися за рахунок інших механізмів ДФРР.</w:t>
      </w:r>
    </w:p>
    <w:p w:rsidR="00000000" w:rsidDel="00000000" w:rsidP="00000000" w:rsidRDefault="00000000" w:rsidRPr="00000000" w14:paraId="00000044">
      <w:pPr>
        <w:spacing w:after="0" w:line="360" w:lineRule="auto"/>
        <w:ind w:firstLine="42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1"/>
        <w:keepLines w:val="1"/>
        <w:spacing w:after="0" w:line="360" w:lineRule="auto"/>
        <w:ind w:firstLine="42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Процес подання та відбору проєктів до фінансування</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36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Відбір проектів відбувається раз на рік.  Процес подання та відбору інвестиційних проєктів пропонується організувати наступним чином: </w:t>
      </w:r>
      <w:r w:rsidDel="00000000" w:rsidR="00000000" w:rsidRPr="00000000">
        <w:rPr>
          <w:rtl w:val="0"/>
        </w:rPr>
      </w:r>
    </w:p>
    <w:p w:rsidR="00000000" w:rsidDel="00000000" w:rsidP="00000000" w:rsidRDefault="00000000" w:rsidRPr="00000000" w14:paraId="00000047">
      <w:pPr>
        <w:numPr>
          <w:ilvl w:val="0"/>
          <w:numId w:val="4"/>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Виходячи зі стратегічних цілей оновленої Державної стратегії регіонального розвитку України ”) та плану заходів до неї, заявники (відповідні органи місцевого самоврядування) розробляють (оновлюють) і затверджують свої стратегії розвитку та плани заходів до них.</w:t>
      </w:r>
    </w:p>
    <w:p w:rsidR="00000000" w:rsidDel="00000000" w:rsidP="00000000" w:rsidRDefault="00000000" w:rsidRPr="00000000" w14:paraId="00000048">
      <w:pPr>
        <w:numPr>
          <w:ilvl w:val="0"/>
          <w:numId w:val="4"/>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Заявники готують інвестиційні проєкти, для яких вони планують отримати компенсацію витрат за користуванням кредитними коштами, розробляють проектно-кошторисну документацію до них та реєструють їх в системі DREAM. Підготовка проектів має здійснюватися відповідно до вимог Бюджетного кодексу України з урахування методичних рекомендації щодо управління публічними інвестиціями. </w:t>
      </w:r>
    </w:p>
    <w:p w:rsidR="00000000" w:rsidDel="00000000" w:rsidP="00000000" w:rsidRDefault="00000000" w:rsidRPr="00000000" w14:paraId="00000049">
      <w:pPr>
        <w:numPr>
          <w:ilvl w:val="0"/>
          <w:numId w:val="4"/>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Заявник має провести громадські консультації щодо інвестиційних проектів, які він планує подати до фінансування за рахунок бюджету участі ДФРР, як частину плану заходів до стратегій відповідних органів місцевого самоврядування</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Заявники подають звернення до Міністерства розвитку громад, територій та інфраструктури України (надалі – “Міністерство”) з використанням системи DREAM з метою отримання компенсації витрат за користуванням кредитними коштами для реалізації інвестиційного проєкту.  </w:t>
      </w:r>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Після завершення граничного строку подання звернення проводиться попередня перевірка (скринінг) на предмет відповідності проєкту встановленим критеріям фінансування, визначеним в межах Реформи управління публічними інвестиціями. </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Із проектів, які пройшли попередню перевірку, система DREAM формує попередній перелік проєктів, який передається на розгляд Стратегічній інвестиційній раді (консультаційно-дорадчий орган, що створюється при Кабінеті Міністрів України в межах реформи управління публічними інвестиціями).</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Стратегічна інвестиційна рада розглядає проєкти на відповідність критеріям фінансування, визначеним в межах Реформи управління публічними інвестиціями, та схвалює попередній перелік проектів.</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Міністерство готує проєкт рішення Кабінету Міністрів України про компенсацію витрат витрат за користуванням кредитними коштами для реалізації інвестиційного проєкту. Після затвердження рішення Кабінетом Міністрів України орган місцевого самоврядування звертається до банку з метою отримання кредиту.</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Інформація про фінансування офіційно оприлюднюється та буде доступна для широкого загалу в системі DREAM.</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Компенсації відсотків за користування кредитними коштами та/або комісій виплачуються за рахунок коштів ДФРР банкам, які уклали кредитні договори та надали кредитні кошти органам місцевого самоврядування для реалізації проєктів, зазначених в рішенні Кабінету Міністрів України. </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Територіальні громади будуть регулярно звітувати  про хід реалізації проєктів відповідно до законодавства України, включаючи оновлення статусу проєктів у системі DREAM т\.</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60" w:lineRule="auto"/>
        <w:ind w:firstLine="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Next w:val="1"/>
        <w:keepLines w:val="1"/>
        <w:spacing w:after="0" w:line="360" w:lineRule="auto"/>
        <w:ind w:firstLine="426"/>
        <w:jc w:val="both"/>
        <w:rPr>
          <w:rFonts w:ascii="Times New Roman" w:cs="Times New Roman" w:eastAsia="Times New Roman" w:hAnsi="Times New Roman"/>
          <w:b w:val="1"/>
        </w:rPr>
      </w:pPr>
      <w:bookmarkStart w:colFirst="0" w:colLast="0" w:name="_1fob9te" w:id="2"/>
      <w:bookmarkEnd w:id="2"/>
      <w:r w:rsidDel="00000000" w:rsidR="00000000" w:rsidRPr="00000000">
        <w:rPr>
          <w:rFonts w:ascii="Times New Roman" w:cs="Times New Roman" w:eastAsia="Times New Roman" w:hAnsi="Times New Roman"/>
          <w:b w:val="1"/>
          <w:rtl w:val="0"/>
        </w:rPr>
        <w:t xml:space="preserve">Прозорість, моніторинг виконання та показники ефективності</w:t>
      </w:r>
    </w:p>
    <w:p w:rsidR="00000000" w:rsidDel="00000000" w:rsidP="00000000" w:rsidRDefault="00000000" w:rsidRPr="00000000" w14:paraId="00000054">
      <w:pP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Вся інформація щодо проектів, які були подані та відібрані до фінансування, хід їх реалізації буде доступна у системі DREAM. Обов’язковому опублікуванню будуть підлягати порядки денні та протоколи засідань Стратегічної інвестиційної ради, буде організовано онлайн трансляцію засідань.</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Міністерство здійснюватиме моніторинг та оцінку виконання проектів. До моніторингу можуть залучатись проекти міжнародної технічної допомоги.</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Моніторингу будуть підлягати п</w:t>
      </w:r>
      <w:r w:rsidDel="00000000" w:rsidR="00000000" w:rsidRPr="00000000">
        <w:rPr>
          <w:rFonts w:ascii="Times New Roman" w:cs="Times New Roman" w:eastAsia="Times New Roman" w:hAnsi="Times New Roman"/>
          <w:color w:val="000000"/>
          <w:rtl w:val="0"/>
        </w:rPr>
        <w:t xml:space="preserve">оказники ефективності, які демонструють позитивний прогрес у реалізації проєктів:</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стан проведення закупівель;</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стан укладення договорів; і</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прогрес виконання проєктів.</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Додатково моніторингу будуть підлягати показники, які використовуватимуться для оцінки досягнення цілей ДССР та відповідних місцевих стратегій та планів заходів до них. У єдиній геоінформаційній системі регіонального розвитку можна буде відслідковувати вплив реалізації проектів на розвиток відповідних громад.</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firstLine="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Більш детальну інформацію про них буде надано в проєктах законодавчих ініціатив, включно зі з</w:t>
      </w:r>
      <w:r w:rsidDel="00000000" w:rsidR="00000000" w:rsidRPr="00000000">
        <w:rPr>
          <w:rFonts w:ascii="Times New Roman" w:cs="Times New Roman" w:eastAsia="Times New Roman" w:hAnsi="Times New Roman"/>
          <w:rtl w:val="0"/>
        </w:rPr>
        <w:t xml:space="preserve">мінами до</w:t>
      </w:r>
      <w:r w:rsidDel="00000000" w:rsidR="00000000" w:rsidRPr="00000000">
        <w:rPr>
          <w:rFonts w:ascii="Times New Roman" w:cs="Times New Roman" w:eastAsia="Times New Roman" w:hAnsi="Times New Roman"/>
          <w:color w:val="000000"/>
          <w:rtl w:val="0"/>
        </w:rPr>
        <w:t xml:space="preserve"> постанов</w:t>
      </w:r>
      <w:r w:rsidDel="00000000" w:rsidR="00000000" w:rsidRPr="00000000">
        <w:rPr>
          <w:rFonts w:ascii="Times New Roman" w:cs="Times New Roman" w:eastAsia="Times New Roman" w:hAnsi="Times New Roman"/>
          <w:rtl w:val="0"/>
        </w:rPr>
        <w:t xml:space="preserve">и</w:t>
      </w:r>
      <w:r w:rsidDel="00000000" w:rsidR="00000000" w:rsidRPr="00000000">
        <w:rPr>
          <w:rFonts w:ascii="Times New Roman" w:cs="Times New Roman" w:eastAsia="Times New Roman" w:hAnsi="Times New Roman"/>
          <w:color w:val="000000"/>
          <w:rtl w:val="0"/>
        </w:rPr>
        <w:t xml:space="preserve"> Кабінету Міністрів України “Деякі питання державного фонду регіонального розвитку”.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ind w:firstLine="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keepNext w:val="1"/>
        <w:keepLines w:val="1"/>
        <w:spacing w:after="0" w:line="360" w:lineRule="auto"/>
        <w:ind w:firstLine="426"/>
        <w:jc w:val="both"/>
        <w:rPr>
          <w:rFonts w:ascii="Times New Roman" w:cs="Times New Roman" w:eastAsia="Times New Roman" w:hAnsi="Times New Roman"/>
          <w:b w:val="1"/>
        </w:rPr>
      </w:pPr>
      <w:bookmarkStart w:colFirst="0" w:colLast="0" w:name="_3znysh7" w:id="3"/>
      <w:bookmarkEnd w:id="3"/>
      <w:r w:rsidDel="00000000" w:rsidR="00000000" w:rsidRPr="00000000">
        <w:rPr>
          <w:rFonts w:ascii="Times New Roman" w:cs="Times New Roman" w:eastAsia="Times New Roman" w:hAnsi="Times New Roman"/>
          <w:b w:val="1"/>
          <w:rtl w:val="0"/>
        </w:rPr>
        <w:t xml:space="preserve">Необхідні зміни законодавства </w:t>
      </w:r>
    </w:p>
    <w:p w:rsidR="00000000" w:rsidDel="00000000" w:rsidP="00000000" w:rsidRDefault="00000000" w:rsidRPr="00000000" w14:paraId="0000005E">
      <w:pP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імплементації запропонованого механізму необхідні зміни до законодавства:</w:t>
      </w:r>
    </w:p>
    <w:p w:rsidR="00000000" w:rsidDel="00000000" w:rsidP="00000000" w:rsidRDefault="00000000" w:rsidRPr="00000000" w14:paraId="0000005F">
      <w:pPr>
        <w:numPr>
          <w:ilvl w:val="0"/>
          <w:numId w:val="5"/>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Бюджетний кодекс України </w:t>
      </w:r>
    </w:p>
    <w:p w:rsidR="00000000" w:rsidDel="00000000" w:rsidP="00000000" w:rsidRDefault="00000000" w:rsidRPr="00000000" w14:paraId="00000060">
      <w:pPr>
        <w:numPr>
          <w:ilvl w:val="0"/>
          <w:numId w:val="5"/>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Закон України “Про державний бюджет” </w:t>
      </w:r>
    </w:p>
    <w:p w:rsidR="00000000" w:rsidDel="00000000" w:rsidP="00000000" w:rsidRDefault="00000000" w:rsidRPr="00000000" w14:paraId="00000061">
      <w:pPr>
        <w:numPr>
          <w:ilvl w:val="0"/>
          <w:numId w:val="5"/>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Закон України “Про засади державної регіональної політики”.</w:t>
      </w:r>
    </w:p>
    <w:p w:rsidR="00000000" w:rsidDel="00000000" w:rsidP="00000000" w:rsidRDefault="00000000" w:rsidRPr="00000000" w14:paraId="00000062">
      <w:pPr>
        <w:numPr>
          <w:ilvl w:val="0"/>
          <w:numId w:val="5"/>
        </w:numP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Постанови КМУ “Деякі питання державного фонду регіонального розвитку”</w:t>
      </w:r>
    </w:p>
    <w:p w:rsidR="00000000" w:rsidDel="00000000" w:rsidP="00000000" w:rsidRDefault="00000000" w:rsidRPr="00000000" w14:paraId="00000063">
      <w:pP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Зміни до законодавства будуть охоплювати, серед іншого, такі питання:</w:t>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використання ДФРР як бюджетного механізму для надання компенсацій;</w:t>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чіткі критерії для подання та відбору проєктів; і</w:t>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pacing w:after="0" w:line="360"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уніфіковані критерії моніторингу виконання обраних проєктів.</w:t>
      </w:r>
    </w:p>
    <w:p w:rsidR="00000000" w:rsidDel="00000000" w:rsidP="00000000" w:rsidRDefault="00000000" w:rsidRPr="00000000" w14:paraId="00000067">
      <w:pPr>
        <w:spacing w:after="0" w:line="360"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Очікується, що необхідні законодавчі зміни, зокрема зміни до Бюджетного кодексу України та закону про бюджет на 2024 рік, будуть розроблені до початку літа 2024 року.</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360" w:lineRule="auto"/>
        <w:ind w:firstLine="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0" w:line="360" w:lineRule="auto"/>
        <w:ind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Етапи реалізації (орієнтовно)</w:t>
      </w:r>
      <w:r w:rsidDel="00000000" w:rsidR="00000000" w:rsidRPr="00000000">
        <w:rPr>
          <w:rtl w:val="0"/>
        </w:rPr>
      </w:r>
    </w:p>
    <w:p w:rsidR="00000000" w:rsidDel="00000000" w:rsidP="00000000" w:rsidRDefault="00000000" w:rsidRPr="00000000" w14:paraId="0000006A">
      <w:pPr>
        <w:numPr>
          <w:ilvl w:val="0"/>
          <w:numId w:val="3"/>
        </w:numPr>
        <w:spacing w:after="0" w:line="360" w:lineRule="auto"/>
        <w:ind w:left="0"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Публічне обговорення та фіналізація концепції - 2 квартал 2024</w:t>
      </w:r>
    </w:p>
    <w:p w:rsidR="00000000" w:rsidDel="00000000" w:rsidP="00000000" w:rsidRDefault="00000000" w:rsidRPr="00000000" w14:paraId="0000006B">
      <w:pPr>
        <w:numPr>
          <w:ilvl w:val="0"/>
          <w:numId w:val="3"/>
        </w:numPr>
        <w:spacing w:after="0" w:line="360" w:lineRule="auto"/>
        <w:ind w:left="0"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Розробка проектів змін до Бюджетного кодексу України та інших законодавчих актів - 2 квартал 2024</w:t>
      </w:r>
    </w:p>
    <w:p w:rsidR="00000000" w:rsidDel="00000000" w:rsidP="00000000" w:rsidRDefault="00000000" w:rsidRPr="00000000" w14:paraId="0000006C">
      <w:pPr>
        <w:numPr>
          <w:ilvl w:val="0"/>
          <w:numId w:val="3"/>
        </w:numPr>
        <w:spacing w:after="0" w:line="360" w:lineRule="auto"/>
        <w:ind w:left="0"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Розробка підзаконних нормативно-правових актів - 3-4 квартал 2024</w:t>
      </w:r>
    </w:p>
    <w:p w:rsidR="00000000" w:rsidDel="00000000" w:rsidP="00000000" w:rsidRDefault="00000000" w:rsidRPr="00000000" w14:paraId="0000006D">
      <w:pPr>
        <w:numPr>
          <w:ilvl w:val="0"/>
          <w:numId w:val="3"/>
        </w:numPr>
        <w:spacing w:after="0" w:line="360" w:lineRule="auto"/>
        <w:ind w:left="0"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Розробка ІТ рішень - 3 квартал 2024 - 4 квартал 2024 - 1 квартал 2025</w:t>
      </w:r>
    </w:p>
    <w:p w:rsidR="00000000" w:rsidDel="00000000" w:rsidP="00000000" w:rsidRDefault="00000000" w:rsidRPr="00000000" w14:paraId="0000006E">
      <w:pPr>
        <w:numPr>
          <w:ilvl w:val="0"/>
          <w:numId w:val="3"/>
        </w:numPr>
        <w:spacing w:after="0" w:line="360" w:lineRule="auto"/>
        <w:ind w:left="0"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Проведення комунікаційної кампанії - 1 квартал 2025</w:t>
      </w:r>
    </w:p>
    <w:p w:rsidR="00000000" w:rsidDel="00000000" w:rsidP="00000000" w:rsidRDefault="00000000" w:rsidRPr="00000000" w14:paraId="0000006F">
      <w:pPr>
        <w:numPr>
          <w:ilvl w:val="0"/>
          <w:numId w:val="3"/>
        </w:numPr>
        <w:spacing w:after="0" w:line="360" w:lineRule="auto"/>
        <w:ind w:left="0"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Проведення першого відбору проектів бюджет участі - 2 квартал 2025</w:t>
      </w:r>
    </w:p>
    <w:p w:rsidR="00000000" w:rsidDel="00000000" w:rsidP="00000000" w:rsidRDefault="00000000" w:rsidRPr="00000000" w14:paraId="00000070">
      <w:pPr>
        <w:numPr>
          <w:ilvl w:val="0"/>
          <w:numId w:val="3"/>
        </w:numPr>
        <w:spacing w:after="0" w:line="360" w:lineRule="auto"/>
        <w:ind w:left="0"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Початок виплат - 3 квартал 2025</w:t>
      </w:r>
    </w:p>
    <w:p w:rsidR="00000000" w:rsidDel="00000000" w:rsidP="00000000" w:rsidRDefault="00000000" w:rsidRPr="00000000" w14:paraId="00000071">
      <w:pPr>
        <w:tabs>
          <w:tab w:val="left" w:leader="none" w:pos="1733"/>
        </w:tabs>
        <w:rPr>
          <w:rFonts w:ascii="Times New Roman" w:cs="Times New Roman" w:eastAsia="Times New Roman" w:hAnsi="Times New Roman"/>
        </w:rPr>
      </w:pPr>
      <w:r w:rsidDel="00000000" w:rsidR="00000000" w:rsidRPr="00000000">
        <w:rPr>
          <w:rtl w:val="0"/>
        </w:rPr>
      </w:r>
    </w:p>
    <w:sectPr>
      <w:type w:val="nextPage"/>
      <w:pgSz w:h="16838" w:w="11906" w:orient="portrait"/>
      <w:pgMar w:bottom="1134" w:top="1134" w:left="170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360" w:lineRule="auto"/>
      <w:jc w:val="both"/>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image" Target="media/image10.png"/><Relationship Id="rId10" Type="http://schemas.openxmlformats.org/officeDocument/2006/relationships/footer" Target="footer1.xml"/><Relationship Id="rId21" Type="http://schemas.openxmlformats.org/officeDocument/2006/relationships/image" Target="media/image9.png"/><Relationship Id="rId13" Type="http://schemas.openxmlformats.org/officeDocument/2006/relationships/image" Target="media/image4.png"/><Relationship Id="rId12" Type="http://schemas.microsoft.com/office/2007/relationships/diagramDrawing" Target="diagrams/drawing1.xml"/><Relationship Id="rId1" Type="http://schemas.openxmlformats.org/officeDocument/2006/relationships/diagramColors" Target="diagrams/colors1.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9" Type="http://schemas.openxmlformats.org/officeDocument/2006/relationships/styles" Target="styles.xml"/><Relationship Id="rId15" Type="http://schemas.openxmlformats.org/officeDocument/2006/relationships/image" Target="media/image11.png"/><Relationship Id="rId14" Type="http://schemas.openxmlformats.org/officeDocument/2006/relationships/image" Target="media/image3.png"/><Relationship Id="rId17" Type="http://schemas.openxmlformats.org/officeDocument/2006/relationships/image" Target="media/image5.png"/><Relationship Id="rId16" Type="http://schemas.openxmlformats.org/officeDocument/2006/relationships/image" Target="media/image12.png"/><Relationship Id="rId5" Type="http://schemas.openxmlformats.org/officeDocument/2006/relationships/theme" Target="theme/theme1.xml"/><Relationship Id="rId19" Type="http://schemas.openxmlformats.org/officeDocument/2006/relationships/image" Target="media/image7.png"/><Relationship Id="rId6" Type="http://schemas.openxmlformats.org/officeDocument/2006/relationships/settings" Target="settings.xml"/><Relationship Id="rId18" Type="http://schemas.openxmlformats.org/officeDocument/2006/relationships/image" Target="media/image8.png"/><Relationship Id="rId7" Type="http://schemas.openxmlformats.org/officeDocument/2006/relationships/fontTable" Target="fontTable.xml"/><Relationship Id="rId8"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EFDEB-36D9-4734-8085-F75F451EB804}" type="doc">
      <dgm:prSet loTypeId="urn:microsoft.com/office/officeart/2005/8/layout/chevronAccent+Icon" loCatId="process" qsTypeId="urn:microsoft.com/office/officeart/2005/8/quickstyle/simple1" qsCatId="simple" csTypeId="urn:microsoft.com/office/officeart/2005/8/colors/accent1_2" csCatId="accent1" phldr="1"/>
      <dgm:spPr/>
      <dgm:t>
        <a:bodyPr/>
        <a:lstStyle/>
        <a:p>
          <a:endParaRPr lang="ru-RU"/>
        </a:p>
      </dgm:t>
    </dgm:pt>
    <dgm:pt modelId="{45DB4BC3-3D98-4878-8396-EB986C0A63F9}">
      <dgm:prSet phldrT="[Text]" custT="1"/>
      <dgm:spPr/>
      <dgm:t>
        <a:bodyPr/>
        <a:lstStyle/>
        <a:p>
          <a:pPr>
            <a:lnSpc>
              <a:spcPct val="150000"/>
            </a:lnSpc>
            <a:spcAft>
              <a:spcPts val="0"/>
            </a:spcAft>
          </a:pPr>
          <a:r>
            <a:rPr lang="ru-RU" sz="1100"/>
            <a:t>Міжнародний банк надає фінансові ресурси своєму дочірньому банку в Україні для надання кредитів ОМС</a:t>
          </a:r>
        </a:p>
      </dgm:t>
    </dgm:pt>
    <dgm:pt modelId="{B27DC291-4A72-44C8-8D5F-9B0578AB5B3E}" type="parTrans" cxnId="{D908FB23-34D3-42AD-B91F-E52C52FB8228}">
      <dgm:prSet/>
      <dgm:spPr/>
      <dgm:t>
        <a:bodyPr/>
        <a:lstStyle/>
        <a:p>
          <a:endParaRPr lang="ru-RU"/>
        </a:p>
      </dgm:t>
    </dgm:pt>
    <dgm:pt modelId="{D36DB018-F842-4CCD-B9EB-0BDC1E7E7592}" type="sibTrans" cxnId="{D908FB23-34D3-42AD-B91F-E52C52FB8228}">
      <dgm:prSet/>
      <dgm:spPr/>
      <dgm:t>
        <a:bodyPr/>
        <a:lstStyle/>
        <a:p>
          <a:endParaRPr lang="ru-RU"/>
        </a:p>
      </dgm:t>
    </dgm:pt>
    <dgm:pt modelId="{553E048C-341B-40C1-93F9-D2228BFA2209}">
      <dgm:prSet phldrT="[Text]" custT="1"/>
      <dgm:spPr/>
      <dgm:t>
        <a:bodyPr/>
        <a:lstStyle/>
        <a:p>
          <a:pPr>
            <a:lnSpc>
              <a:spcPct val="150000"/>
            </a:lnSpc>
            <a:spcAft>
              <a:spcPts val="0"/>
            </a:spcAft>
          </a:pPr>
          <a:r>
            <a:rPr lang="ru-RU" sz="1100"/>
            <a:t>Дочірній банк надає кредитні кошти ОМС </a:t>
          </a:r>
        </a:p>
      </dgm:t>
    </dgm:pt>
    <dgm:pt modelId="{2C0BA78E-C224-48EF-A885-1A4F165ECC5E}" type="parTrans" cxnId="{6417AC7C-7790-462C-8FD1-58B0DAB55784}">
      <dgm:prSet/>
      <dgm:spPr/>
      <dgm:t>
        <a:bodyPr/>
        <a:lstStyle/>
        <a:p>
          <a:endParaRPr lang="ru-RU"/>
        </a:p>
      </dgm:t>
    </dgm:pt>
    <dgm:pt modelId="{779B0761-4441-46B9-9C89-97F8A929D919}" type="sibTrans" cxnId="{6417AC7C-7790-462C-8FD1-58B0DAB55784}">
      <dgm:prSet/>
      <dgm:spPr/>
      <dgm:t>
        <a:bodyPr/>
        <a:lstStyle/>
        <a:p>
          <a:endParaRPr lang="ru-RU"/>
        </a:p>
      </dgm:t>
    </dgm:pt>
    <dgm:pt modelId="{D2EA9412-5CA9-4D58-B6CD-7554A21B7668}">
      <dgm:prSet phldrT="[Text]" custT="1"/>
      <dgm:spPr/>
      <dgm:t>
        <a:bodyPr/>
        <a:lstStyle/>
        <a:p>
          <a:pPr>
            <a:lnSpc>
              <a:spcPct val="150000"/>
            </a:lnSpc>
            <a:spcAft>
              <a:spcPts val="0"/>
            </a:spcAft>
          </a:pPr>
          <a:r>
            <a:rPr lang="ru-RU" sz="1100"/>
            <a:t>ОМС використовують кредитні кошти для фінансування інвестиційних проєктів ДСРР та звітують щодо реалізації проєктів</a:t>
          </a:r>
        </a:p>
      </dgm:t>
    </dgm:pt>
    <dgm:pt modelId="{1EE03EA6-7025-4AF3-9705-9720DEA59A9A}" type="parTrans" cxnId="{D58B81B8-9266-4A2E-87F2-AB9E0B2D3E44}">
      <dgm:prSet/>
      <dgm:spPr/>
      <dgm:t>
        <a:bodyPr/>
        <a:lstStyle/>
        <a:p>
          <a:endParaRPr lang="ru-RU"/>
        </a:p>
      </dgm:t>
    </dgm:pt>
    <dgm:pt modelId="{52B7474C-E55F-42FD-8164-92FC9E153072}" type="sibTrans" cxnId="{D58B81B8-9266-4A2E-87F2-AB9E0B2D3E44}">
      <dgm:prSet/>
      <dgm:spPr/>
      <dgm:t>
        <a:bodyPr/>
        <a:lstStyle/>
        <a:p>
          <a:endParaRPr lang="ru-RU"/>
        </a:p>
      </dgm:t>
    </dgm:pt>
    <dgm:pt modelId="{014A4130-08B0-48AF-9882-FF22D3D787DF}" type="pres">
      <dgm:prSet presAssocID="{A06EFDEB-36D9-4734-8085-F75F451EB804}" presName="Name0" presStyleCnt="0">
        <dgm:presLayoutVars>
          <dgm:dir/>
          <dgm:resizeHandles val="exact"/>
        </dgm:presLayoutVars>
      </dgm:prSet>
      <dgm:spPr/>
    </dgm:pt>
    <dgm:pt modelId="{DB30C60C-F3ED-4A35-B5F0-58D2A6517C0F}" type="pres">
      <dgm:prSet presAssocID="{45DB4BC3-3D98-4878-8396-EB986C0A63F9}" presName="composite" presStyleCnt="0"/>
      <dgm:spPr/>
    </dgm:pt>
    <dgm:pt modelId="{39368CB6-A670-48CB-AFCD-F81EBA8951CF}" type="pres">
      <dgm:prSet presAssocID="{45DB4BC3-3D98-4878-8396-EB986C0A63F9}" presName="bgChev" presStyleLbl="node1" presStyleIdx="0" presStyleCnt="3"/>
      <dgm:spPr/>
    </dgm:pt>
    <dgm:pt modelId="{AE1677E8-F7AA-4200-A7F6-8C47667326C6}" type="pres">
      <dgm:prSet presAssocID="{45DB4BC3-3D98-4878-8396-EB986C0A63F9}" presName="txNode" presStyleLbl="fgAcc1" presStyleIdx="0" presStyleCnt="3">
        <dgm:presLayoutVars>
          <dgm:bulletEnabled val="1"/>
        </dgm:presLayoutVars>
      </dgm:prSet>
      <dgm:spPr/>
    </dgm:pt>
    <dgm:pt modelId="{BE7C4E68-404C-43F8-A0B9-2005FD4844CB}" type="pres">
      <dgm:prSet presAssocID="{D36DB018-F842-4CCD-B9EB-0BDC1E7E7592}" presName="compositeSpace" presStyleCnt="0"/>
      <dgm:spPr/>
    </dgm:pt>
    <dgm:pt modelId="{0C9AAF08-3F0F-43F4-B4DD-09174F0C762D}" type="pres">
      <dgm:prSet presAssocID="{553E048C-341B-40C1-93F9-D2228BFA2209}" presName="composite" presStyleCnt="0"/>
      <dgm:spPr/>
    </dgm:pt>
    <dgm:pt modelId="{F86D4FEE-3088-4FA4-99C2-96CAA8B4ACAD}" type="pres">
      <dgm:prSet presAssocID="{553E048C-341B-40C1-93F9-D2228BFA2209}" presName="bgChev" presStyleLbl="node1" presStyleIdx="1" presStyleCnt="3"/>
      <dgm:spPr/>
    </dgm:pt>
    <dgm:pt modelId="{71D3DFEE-4D6C-4652-A501-B0E1E71E1ABA}" type="pres">
      <dgm:prSet presAssocID="{553E048C-341B-40C1-93F9-D2228BFA2209}" presName="txNode" presStyleLbl="fgAcc1" presStyleIdx="1" presStyleCnt="3">
        <dgm:presLayoutVars>
          <dgm:bulletEnabled val="1"/>
        </dgm:presLayoutVars>
      </dgm:prSet>
      <dgm:spPr/>
    </dgm:pt>
    <dgm:pt modelId="{74C80F2B-2186-4ECD-91E2-A7BB89CE6F61}" type="pres">
      <dgm:prSet presAssocID="{779B0761-4441-46B9-9C89-97F8A929D919}" presName="compositeSpace" presStyleCnt="0"/>
      <dgm:spPr/>
    </dgm:pt>
    <dgm:pt modelId="{CC56489F-9697-44FB-8C73-374A435C64F5}" type="pres">
      <dgm:prSet presAssocID="{D2EA9412-5CA9-4D58-B6CD-7554A21B7668}" presName="composite" presStyleCnt="0"/>
      <dgm:spPr/>
    </dgm:pt>
    <dgm:pt modelId="{AD38D7A8-5612-4921-8962-9CC361CE3B08}" type="pres">
      <dgm:prSet presAssocID="{D2EA9412-5CA9-4D58-B6CD-7554A21B7668}" presName="bgChev" presStyleLbl="node1" presStyleIdx="2" presStyleCnt="3"/>
      <dgm:spPr/>
    </dgm:pt>
    <dgm:pt modelId="{EF61A052-2E24-461F-80CE-C86F3D99C7D4}" type="pres">
      <dgm:prSet presAssocID="{D2EA9412-5CA9-4D58-B6CD-7554A21B7668}" presName="txNode" presStyleLbl="fgAcc1" presStyleIdx="2" presStyleCnt="3">
        <dgm:presLayoutVars>
          <dgm:bulletEnabled val="1"/>
        </dgm:presLayoutVars>
      </dgm:prSet>
      <dgm:spPr/>
    </dgm:pt>
  </dgm:ptLst>
  <dgm:cxnLst>
    <dgm:cxn modelId="{D908FB23-34D3-42AD-B91F-E52C52FB8228}" srcId="{A06EFDEB-36D9-4734-8085-F75F451EB804}" destId="{45DB4BC3-3D98-4878-8396-EB986C0A63F9}" srcOrd="0" destOrd="0" parTransId="{B27DC291-4A72-44C8-8D5F-9B0578AB5B3E}" sibTransId="{D36DB018-F842-4CCD-B9EB-0BDC1E7E7592}"/>
    <dgm:cxn modelId="{F2449726-D0F3-4F85-B028-D0F92AA0A60D}" type="presOf" srcId="{A06EFDEB-36D9-4734-8085-F75F451EB804}" destId="{014A4130-08B0-48AF-9882-FF22D3D787DF}" srcOrd="0" destOrd="0" presId="urn:microsoft.com/office/officeart/2005/8/layout/chevronAccent+Icon"/>
    <dgm:cxn modelId="{E856A437-1770-41E0-B4B1-43BD1BD123A6}" type="presOf" srcId="{45DB4BC3-3D98-4878-8396-EB986C0A63F9}" destId="{AE1677E8-F7AA-4200-A7F6-8C47667326C6}" srcOrd="0" destOrd="0" presId="urn:microsoft.com/office/officeart/2005/8/layout/chevronAccent+Icon"/>
    <dgm:cxn modelId="{6417AC7C-7790-462C-8FD1-58B0DAB55784}" srcId="{A06EFDEB-36D9-4734-8085-F75F451EB804}" destId="{553E048C-341B-40C1-93F9-D2228BFA2209}" srcOrd="1" destOrd="0" parTransId="{2C0BA78E-C224-48EF-A885-1A4F165ECC5E}" sibTransId="{779B0761-4441-46B9-9C89-97F8A929D919}"/>
    <dgm:cxn modelId="{D58B81B8-9266-4A2E-87F2-AB9E0B2D3E44}" srcId="{A06EFDEB-36D9-4734-8085-F75F451EB804}" destId="{D2EA9412-5CA9-4D58-B6CD-7554A21B7668}" srcOrd="2" destOrd="0" parTransId="{1EE03EA6-7025-4AF3-9705-9720DEA59A9A}" sibTransId="{52B7474C-E55F-42FD-8164-92FC9E153072}"/>
    <dgm:cxn modelId="{7A01E9C0-31F3-4749-838F-9DA1D26551F9}" type="presOf" srcId="{D2EA9412-5CA9-4D58-B6CD-7554A21B7668}" destId="{EF61A052-2E24-461F-80CE-C86F3D99C7D4}" srcOrd="0" destOrd="0" presId="urn:microsoft.com/office/officeart/2005/8/layout/chevronAccent+Icon"/>
    <dgm:cxn modelId="{C66E49CA-E602-495D-AF9F-E37C91C1CBEC}" type="presOf" srcId="{553E048C-341B-40C1-93F9-D2228BFA2209}" destId="{71D3DFEE-4D6C-4652-A501-B0E1E71E1ABA}" srcOrd="0" destOrd="0" presId="urn:microsoft.com/office/officeart/2005/8/layout/chevronAccent+Icon"/>
    <dgm:cxn modelId="{16A3789C-5C85-4BEB-85DE-C7F975E6ABB1}" type="presParOf" srcId="{014A4130-08B0-48AF-9882-FF22D3D787DF}" destId="{DB30C60C-F3ED-4A35-B5F0-58D2A6517C0F}" srcOrd="0" destOrd="0" presId="urn:microsoft.com/office/officeart/2005/8/layout/chevronAccent+Icon"/>
    <dgm:cxn modelId="{AA6D406C-5DF0-478F-8C50-E58F2498EC68}" type="presParOf" srcId="{DB30C60C-F3ED-4A35-B5F0-58D2A6517C0F}" destId="{39368CB6-A670-48CB-AFCD-F81EBA8951CF}" srcOrd="0" destOrd="0" presId="urn:microsoft.com/office/officeart/2005/8/layout/chevronAccent+Icon"/>
    <dgm:cxn modelId="{B39B74AC-A9E2-44DA-BE56-04CC96D5DD11}" type="presParOf" srcId="{DB30C60C-F3ED-4A35-B5F0-58D2A6517C0F}" destId="{AE1677E8-F7AA-4200-A7F6-8C47667326C6}" srcOrd="1" destOrd="0" presId="urn:microsoft.com/office/officeart/2005/8/layout/chevronAccent+Icon"/>
    <dgm:cxn modelId="{C4D74A96-A32D-499B-AB31-1F3654BC09DA}" type="presParOf" srcId="{014A4130-08B0-48AF-9882-FF22D3D787DF}" destId="{BE7C4E68-404C-43F8-A0B9-2005FD4844CB}" srcOrd="1" destOrd="0" presId="urn:microsoft.com/office/officeart/2005/8/layout/chevronAccent+Icon"/>
    <dgm:cxn modelId="{413073B2-5D47-4D4F-8816-6A83000729AC}" type="presParOf" srcId="{014A4130-08B0-48AF-9882-FF22D3D787DF}" destId="{0C9AAF08-3F0F-43F4-B4DD-09174F0C762D}" srcOrd="2" destOrd="0" presId="urn:microsoft.com/office/officeart/2005/8/layout/chevronAccent+Icon"/>
    <dgm:cxn modelId="{A33FE91B-4238-4BD2-BBAE-B5A77664EABC}" type="presParOf" srcId="{0C9AAF08-3F0F-43F4-B4DD-09174F0C762D}" destId="{F86D4FEE-3088-4FA4-99C2-96CAA8B4ACAD}" srcOrd="0" destOrd="0" presId="urn:microsoft.com/office/officeart/2005/8/layout/chevronAccent+Icon"/>
    <dgm:cxn modelId="{EA2E855E-7660-47B8-B7CF-E7AB88C2B558}" type="presParOf" srcId="{0C9AAF08-3F0F-43F4-B4DD-09174F0C762D}" destId="{71D3DFEE-4D6C-4652-A501-B0E1E71E1ABA}" srcOrd="1" destOrd="0" presId="urn:microsoft.com/office/officeart/2005/8/layout/chevronAccent+Icon"/>
    <dgm:cxn modelId="{91A9FC4D-1440-4CEC-BE78-5B3D983B112F}" type="presParOf" srcId="{014A4130-08B0-48AF-9882-FF22D3D787DF}" destId="{74C80F2B-2186-4ECD-91E2-A7BB89CE6F61}" srcOrd="3" destOrd="0" presId="urn:microsoft.com/office/officeart/2005/8/layout/chevronAccent+Icon"/>
    <dgm:cxn modelId="{AB4A7E32-3527-4CD4-8AF5-E4763CFC8C9C}" type="presParOf" srcId="{014A4130-08B0-48AF-9882-FF22D3D787DF}" destId="{CC56489F-9697-44FB-8C73-374A435C64F5}" srcOrd="4" destOrd="0" presId="urn:microsoft.com/office/officeart/2005/8/layout/chevronAccent+Icon"/>
    <dgm:cxn modelId="{D03631A6-05DE-4A25-8EA4-BD250A7F1A2D}" type="presParOf" srcId="{CC56489F-9697-44FB-8C73-374A435C64F5}" destId="{AD38D7A8-5612-4921-8962-9CC361CE3B08}" srcOrd="0" destOrd="0" presId="urn:microsoft.com/office/officeart/2005/8/layout/chevronAccent+Icon"/>
    <dgm:cxn modelId="{28D48356-5BAA-48E8-BC46-92888E0AA482}" type="presParOf" srcId="{CC56489F-9697-44FB-8C73-374A435C64F5}" destId="{EF61A052-2E24-461F-80CE-C86F3D99C7D4}" srcOrd="1" destOrd="0" presId="urn:microsoft.com/office/officeart/2005/8/layout/chevronAccent+Icon"/>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368CB6-A670-48CB-AFCD-F81EBA8951CF}">
      <dsp:nvSpPr>
        <dsp:cNvPr id="0" name=""/>
        <dsp:cNvSpPr/>
      </dsp:nvSpPr>
      <dsp:spPr>
        <a:xfrm>
          <a:off x="1086" y="996845"/>
          <a:ext cx="2729070" cy="1053421"/>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1677E8-F7AA-4200-A7F6-8C47667326C6}">
      <dsp:nvSpPr>
        <dsp:cNvPr id="0" name=""/>
        <dsp:cNvSpPr/>
      </dsp:nvSpPr>
      <dsp:spPr>
        <a:xfrm>
          <a:off x="728838" y="1260200"/>
          <a:ext cx="2304548" cy="10534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150000"/>
            </a:lnSpc>
            <a:spcBef>
              <a:spcPct val="0"/>
            </a:spcBef>
            <a:spcAft>
              <a:spcPts val="0"/>
            </a:spcAft>
            <a:buNone/>
          </a:pPr>
          <a:r>
            <a:rPr lang="ru-RU" sz="1100" kern="1200"/>
            <a:t>Міжнародний банк надає фінансові ресурси своєму дочірньому банку в Україні для надання кредитів ОМС</a:t>
          </a:r>
        </a:p>
      </dsp:txBody>
      <dsp:txXfrm>
        <a:off x="759692" y="1291054"/>
        <a:ext cx="2242840" cy="991713"/>
      </dsp:txXfrm>
    </dsp:sp>
    <dsp:sp modelId="{F86D4FEE-3088-4FA4-99C2-96CAA8B4ACAD}">
      <dsp:nvSpPr>
        <dsp:cNvPr id="0" name=""/>
        <dsp:cNvSpPr/>
      </dsp:nvSpPr>
      <dsp:spPr>
        <a:xfrm>
          <a:off x="3118291" y="996845"/>
          <a:ext cx="2729070" cy="1053421"/>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D3DFEE-4D6C-4652-A501-B0E1E71E1ABA}">
      <dsp:nvSpPr>
        <dsp:cNvPr id="0" name=""/>
        <dsp:cNvSpPr/>
      </dsp:nvSpPr>
      <dsp:spPr>
        <a:xfrm>
          <a:off x="3846043" y="1260200"/>
          <a:ext cx="2304548" cy="10534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150000"/>
            </a:lnSpc>
            <a:spcBef>
              <a:spcPct val="0"/>
            </a:spcBef>
            <a:spcAft>
              <a:spcPts val="0"/>
            </a:spcAft>
            <a:buNone/>
          </a:pPr>
          <a:r>
            <a:rPr lang="ru-RU" sz="1100" kern="1200"/>
            <a:t>Дочірній банк надає кредитні кошти ОМС </a:t>
          </a:r>
        </a:p>
      </dsp:txBody>
      <dsp:txXfrm>
        <a:off x="3876897" y="1291054"/>
        <a:ext cx="2242840" cy="991713"/>
      </dsp:txXfrm>
    </dsp:sp>
    <dsp:sp modelId="{AD38D7A8-5612-4921-8962-9CC361CE3B08}">
      <dsp:nvSpPr>
        <dsp:cNvPr id="0" name=""/>
        <dsp:cNvSpPr/>
      </dsp:nvSpPr>
      <dsp:spPr>
        <a:xfrm>
          <a:off x="6235496" y="996845"/>
          <a:ext cx="2729070" cy="1053421"/>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61A052-2E24-461F-80CE-C86F3D99C7D4}">
      <dsp:nvSpPr>
        <dsp:cNvPr id="0" name=""/>
        <dsp:cNvSpPr/>
      </dsp:nvSpPr>
      <dsp:spPr>
        <a:xfrm>
          <a:off x="6963248" y="1260200"/>
          <a:ext cx="2304548" cy="10534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150000"/>
            </a:lnSpc>
            <a:spcBef>
              <a:spcPct val="0"/>
            </a:spcBef>
            <a:spcAft>
              <a:spcPts val="0"/>
            </a:spcAft>
            <a:buNone/>
          </a:pPr>
          <a:r>
            <a:rPr lang="ru-RU" sz="1100" kern="1200"/>
            <a:t>ОМС використовують кредитні кошти для фінансування інвестиційних проєктів ДСРР та звітують щодо реалізації проєктів</a:t>
          </a:r>
        </a:p>
      </dsp:txBody>
      <dsp:txXfrm>
        <a:off x="6994102" y="1291054"/>
        <a:ext cx="2242840" cy="99171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