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D02" w:rsidRPr="0038726B" w:rsidRDefault="00CE7D02" w:rsidP="00DB0269">
      <w:pPr>
        <w:jc w:val="center"/>
        <w:rPr>
          <w:b/>
          <w:color w:val="000000"/>
          <w:sz w:val="26"/>
          <w:szCs w:val="26"/>
          <w:lang w:val="uk-UA"/>
        </w:rPr>
      </w:pPr>
      <w:proofErr w:type="spellStart"/>
      <w:proofErr w:type="gramStart"/>
      <w:r w:rsidRPr="0038726B">
        <w:rPr>
          <w:b/>
          <w:color w:val="000000"/>
          <w:sz w:val="26"/>
          <w:szCs w:val="26"/>
        </w:rPr>
        <w:t>Пояснювальна</w:t>
      </w:r>
      <w:proofErr w:type="spellEnd"/>
      <w:r w:rsidRPr="0038726B">
        <w:rPr>
          <w:b/>
          <w:color w:val="000000"/>
          <w:sz w:val="26"/>
          <w:szCs w:val="26"/>
        </w:rPr>
        <w:t xml:space="preserve">  записка</w:t>
      </w:r>
      <w:proofErr w:type="gramEnd"/>
    </w:p>
    <w:p w:rsidR="00726ACF" w:rsidRPr="0038726B" w:rsidRDefault="00CE7D02" w:rsidP="00726ACF">
      <w:pPr>
        <w:jc w:val="center"/>
        <w:rPr>
          <w:b/>
          <w:color w:val="000000"/>
          <w:sz w:val="26"/>
          <w:szCs w:val="26"/>
          <w:lang w:val="uk-UA"/>
        </w:rPr>
      </w:pPr>
      <w:r w:rsidRPr="0038726B">
        <w:rPr>
          <w:b/>
          <w:color w:val="000000"/>
          <w:sz w:val="26"/>
          <w:szCs w:val="26"/>
          <w:lang w:val="uk-UA"/>
        </w:rPr>
        <w:t xml:space="preserve">щодо </w:t>
      </w:r>
      <w:r w:rsidR="00726ACF" w:rsidRPr="0038726B">
        <w:rPr>
          <w:b/>
          <w:color w:val="000000"/>
          <w:sz w:val="26"/>
          <w:szCs w:val="26"/>
          <w:lang w:val="uk-UA"/>
        </w:rPr>
        <w:t xml:space="preserve">виконання показників фінансового плану </w:t>
      </w:r>
    </w:p>
    <w:p w:rsidR="00726ACF" w:rsidRPr="0038726B" w:rsidRDefault="00CE7D02" w:rsidP="00DB0269">
      <w:pPr>
        <w:jc w:val="center"/>
        <w:rPr>
          <w:b/>
          <w:color w:val="000000"/>
          <w:sz w:val="26"/>
          <w:szCs w:val="26"/>
          <w:lang w:val="uk-UA"/>
        </w:rPr>
      </w:pPr>
      <w:r w:rsidRPr="0038726B">
        <w:rPr>
          <w:b/>
          <w:color w:val="000000"/>
          <w:sz w:val="26"/>
          <w:szCs w:val="26"/>
          <w:lang w:val="uk-UA"/>
        </w:rPr>
        <w:t xml:space="preserve">казенного підприємства «Морська пошуково-рятувальна служба» </w:t>
      </w:r>
    </w:p>
    <w:p w:rsidR="00CE7D02" w:rsidRPr="0038726B" w:rsidRDefault="00CE7D02" w:rsidP="00DB0269">
      <w:pPr>
        <w:jc w:val="center"/>
        <w:rPr>
          <w:b/>
          <w:color w:val="000000"/>
          <w:sz w:val="26"/>
          <w:szCs w:val="26"/>
          <w:lang w:val="uk-UA"/>
        </w:rPr>
      </w:pPr>
      <w:r w:rsidRPr="0038726B">
        <w:rPr>
          <w:b/>
          <w:color w:val="000000"/>
          <w:sz w:val="26"/>
          <w:szCs w:val="26"/>
          <w:lang w:val="uk-UA"/>
        </w:rPr>
        <w:t>за 201</w:t>
      </w:r>
      <w:r w:rsidR="00C42A0E" w:rsidRPr="0038726B">
        <w:rPr>
          <w:b/>
          <w:color w:val="000000"/>
          <w:sz w:val="26"/>
          <w:szCs w:val="26"/>
          <w:lang w:val="uk-UA"/>
        </w:rPr>
        <w:t>7</w:t>
      </w:r>
      <w:r w:rsidRPr="0038726B">
        <w:rPr>
          <w:b/>
          <w:color w:val="000000"/>
          <w:sz w:val="26"/>
          <w:szCs w:val="26"/>
          <w:lang w:val="uk-UA"/>
        </w:rPr>
        <w:t xml:space="preserve"> р</w:t>
      </w:r>
      <w:r w:rsidR="002C1D39">
        <w:rPr>
          <w:b/>
          <w:color w:val="000000"/>
          <w:sz w:val="26"/>
          <w:szCs w:val="26"/>
          <w:lang w:val="uk-UA"/>
        </w:rPr>
        <w:t>і</w:t>
      </w:r>
      <w:r w:rsidRPr="0038726B">
        <w:rPr>
          <w:b/>
          <w:color w:val="000000"/>
          <w:sz w:val="26"/>
          <w:szCs w:val="26"/>
          <w:lang w:val="uk-UA"/>
        </w:rPr>
        <w:t>к</w:t>
      </w:r>
    </w:p>
    <w:p w:rsidR="00CE7D02" w:rsidRPr="0038726B" w:rsidRDefault="00CE7D02" w:rsidP="00666E28">
      <w:pPr>
        <w:rPr>
          <w:b/>
          <w:color w:val="000000"/>
          <w:sz w:val="26"/>
          <w:szCs w:val="26"/>
          <w:lang w:val="uk-UA"/>
        </w:rPr>
      </w:pPr>
      <w:r w:rsidRPr="0038726B">
        <w:rPr>
          <w:b/>
          <w:color w:val="000000"/>
          <w:sz w:val="26"/>
          <w:szCs w:val="26"/>
          <w:lang w:val="uk-UA"/>
        </w:rPr>
        <w:t xml:space="preserve">                      </w:t>
      </w:r>
    </w:p>
    <w:p w:rsidR="00CE7D02" w:rsidRPr="0038726B" w:rsidRDefault="00CE7D02" w:rsidP="001D7ED4">
      <w:pPr>
        <w:numPr>
          <w:ilvl w:val="0"/>
          <w:numId w:val="1"/>
        </w:numPr>
        <w:jc w:val="center"/>
        <w:rPr>
          <w:b/>
          <w:color w:val="000000"/>
          <w:lang w:val="uk-UA"/>
        </w:rPr>
      </w:pPr>
      <w:r w:rsidRPr="0038726B">
        <w:rPr>
          <w:b/>
          <w:color w:val="000000"/>
          <w:lang w:val="uk-UA"/>
        </w:rPr>
        <w:t>Загальні характеристики підприємства</w:t>
      </w:r>
    </w:p>
    <w:p w:rsidR="00CE7D02" w:rsidRPr="0038726B" w:rsidRDefault="00CE7D02" w:rsidP="001D7ED4">
      <w:pPr>
        <w:ind w:left="360"/>
        <w:rPr>
          <w:b/>
          <w:color w:val="000000"/>
          <w:lang w:val="uk-UA"/>
        </w:rPr>
      </w:pPr>
    </w:p>
    <w:p w:rsidR="002763F1" w:rsidRPr="0038726B" w:rsidRDefault="002763F1" w:rsidP="002763F1">
      <w:pPr>
        <w:spacing w:after="120"/>
        <w:ind w:firstLine="709"/>
        <w:jc w:val="both"/>
        <w:rPr>
          <w:lang w:val="uk-UA"/>
        </w:rPr>
      </w:pPr>
      <w:r w:rsidRPr="0038726B">
        <w:rPr>
          <w:lang w:val="uk-UA"/>
        </w:rPr>
        <w:t>Відповідно до Постанови Кабінету Міністрів України № 158 від 24.02.2016 року «Про відновлення єдиної системи пошуку та рятування на морі» та наказу Міністерства інфраструктури України № 119 від 25.03.2016 року «Про виконання заходів в відновленні єдиної системи пошуку та рятування на морі» відновлена діяльність казенного підприємства  «Морська пошуково-рятувальна служба» (далі КП «МПРС»).</w:t>
      </w:r>
    </w:p>
    <w:p w:rsidR="002763F1" w:rsidRPr="0038726B" w:rsidRDefault="002763F1" w:rsidP="002763F1">
      <w:pPr>
        <w:ind w:firstLine="709"/>
        <w:jc w:val="both"/>
        <w:rPr>
          <w:lang w:val="uk-UA"/>
        </w:rPr>
      </w:pPr>
      <w:r w:rsidRPr="0038726B">
        <w:rPr>
          <w:lang w:val="uk-UA"/>
        </w:rPr>
        <w:t>Діяльність КП «МПРС» відновлено з метою забезпечення сталого функціонування та подальшого розвитку національної системи пошуку і рятування у морському пошуково-рятувальному районі України на виконання публічно-правових функцій держави Україна щодо здійснення операцій з пошуку і рятування людського життя у відкритому морі у відповідності з міжнародними договорами, стороною яких є Україна, у тому числі:</w:t>
      </w:r>
    </w:p>
    <w:p w:rsidR="002763F1" w:rsidRPr="0038726B" w:rsidRDefault="002763F1" w:rsidP="002763F1">
      <w:pPr>
        <w:ind w:firstLine="709"/>
        <w:jc w:val="both"/>
        <w:rPr>
          <w:lang w:val="uk-UA"/>
        </w:rPr>
      </w:pPr>
      <w:r w:rsidRPr="0038726B">
        <w:rPr>
          <w:lang w:val="uk-UA"/>
        </w:rPr>
        <w:t>Міжнародна конвенція про пошук і рятування на морі 1979 року;</w:t>
      </w:r>
    </w:p>
    <w:p w:rsidR="002763F1" w:rsidRPr="0038726B" w:rsidRDefault="002763F1" w:rsidP="002763F1">
      <w:pPr>
        <w:ind w:firstLine="709"/>
        <w:jc w:val="both"/>
        <w:rPr>
          <w:lang w:val="uk-UA"/>
        </w:rPr>
      </w:pPr>
      <w:r w:rsidRPr="0038726B">
        <w:rPr>
          <w:lang w:val="uk-UA"/>
        </w:rPr>
        <w:t>Міжнародна конвенція з охорони людського життя на морі 1974 року;</w:t>
      </w:r>
    </w:p>
    <w:p w:rsidR="002763F1" w:rsidRPr="0038726B" w:rsidRDefault="002763F1" w:rsidP="002763F1">
      <w:pPr>
        <w:ind w:firstLine="709"/>
        <w:jc w:val="both"/>
        <w:rPr>
          <w:lang w:val="uk-UA"/>
        </w:rPr>
      </w:pPr>
      <w:r w:rsidRPr="0038726B">
        <w:rPr>
          <w:lang w:val="uk-UA"/>
        </w:rPr>
        <w:t>Керівництво з міжнародного авіаційного і морського пошуку і рятування, у редакції 2010 року;</w:t>
      </w:r>
    </w:p>
    <w:p w:rsidR="002763F1" w:rsidRPr="0038726B" w:rsidRDefault="002763F1" w:rsidP="002763F1">
      <w:pPr>
        <w:ind w:firstLine="709"/>
        <w:jc w:val="both"/>
        <w:rPr>
          <w:lang w:val="uk-UA"/>
        </w:rPr>
      </w:pPr>
      <w:r w:rsidRPr="0038726B">
        <w:rPr>
          <w:lang w:val="uk-UA"/>
        </w:rPr>
        <w:t>Угода про співробітництво причорноморських країн з пошуку і рятуванні на Чорному морі,</w:t>
      </w:r>
    </w:p>
    <w:p w:rsidR="002763F1" w:rsidRPr="0038726B" w:rsidRDefault="002763F1" w:rsidP="002763F1">
      <w:pPr>
        <w:ind w:firstLine="709"/>
        <w:jc w:val="both"/>
        <w:rPr>
          <w:lang w:val="uk-UA"/>
        </w:rPr>
      </w:pPr>
      <w:r w:rsidRPr="0038726B">
        <w:t xml:space="preserve">та </w:t>
      </w:r>
      <w:r w:rsidRPr="0038726B">
        <w:rPr>
          <w:lang w:val="uk-UA"/>
        </w:rPr>
        <w:t>інших міжнародних документів з питань морського пошуку і рятування.</w:t>
      </w:r>
    </w:p>
    <w:p w:rsidR="00CE7D02" w:rsidRPr="0038726B" w:rsidRDefault="00CE7D02" w:rsidP="009457EC">
      <w:pPr>
        <w:suppressAutoHyphens/>
        <w:ind w:firstLine="709"/>
        <w:jc w:val="both"/>
        <w:rPr>
          <w:lang w:val="uk-UA" w:eastAsia="ar-SA"/>
        </w:rPr>
      </w:pPr>
      <w:r w:rsidRPr="0038726B">
        <w:rPr>
          <w:lang w:val="uk-UA" w:eastAsia="ar-SA"/>
        </w:rPr>
        <w:t>Морський пошуково-рятувальний район України складає близько 137 тис. км</w:t>
      </w:r>
      <w:r w:rsidRPr="0038726B">
        <w:rPr>
          <w:vertAlign w:val="superscript"/>
          <w:lang w:val="uk-UA" w:eastAsia="ar-SA"/>
        </w:rPr>
        <w:t>2</w:t>
      </w:r>
      <w:r w:rsidRPr="0038726B">
        <w:rPr>
          <w:lang w:val="uk-UA" w:eastAsia="ar-SA"/>
        </w:rPr>
        <w:t>, що є, приблизно, чвертю сухопутної території держави. На даний час у морському пошуково-рятувальному районі України не забезпечується достатніх умов для збереження людського життя та забезпечення безпеки судноплавства.</w:t>
      </w:r>
    </w:p>
    <w:p w:rsidR="00CE7D02" w:rsidRPr="0038726B" w:rsidRDefault="00CE7D02" w:rsidP="009457EC">
      <w:pPr>
        <w:suppressAutoHyphens/>
        <w:ind w:firstLine="709"/>
        <w:jc w:val="both"/>
        <w:rPr>
          <w:lang w:val="uk-UA" w:eastAsia="ar-SA"/>
        </w:rPr>
      </w:pPr>
      <w:r w:rsidRPr="0038726B">
        <w:rPr>
          <w:lang w:val="uk-UA" w:eastAsia="ar-SA"/>
        </w:rPr>
        <w:t>Головне завдання - забезпечення несення постійної пошуково-рятувальн</w:t>
      </w:r>
      <w:r w:rsidR="00716269" w:rsidRPr="0038726B">
        <w:rPr>
          <w:lang w:val="uk-UA" w:eastAsia="ar-SA"/>
        </w:rPr>
        <w:t>ої</w:t>
      </w:r>
      <w:r w:rsidRPr="0038726B">
        <w:rPr>
          <w:lang w:val="uk-UA" w:eastAsia="ar-SA"/>
        </w:rPr>
        <w:t xml:space="preserve"> готовності для порятунку людей, надання їм невідкладної медичної допомоги та евакуаці</w:t>
      </w:r>
      <w:r w:rsidR="00716269" w:rsidRPr="0038726B">
        <w:rPr>
          <w:lang w:val="uk-UA" w:eastAsia="ar-SA"/>
        </w:rPr>
        <w:t>ю</w:t>
      </w:r>
      <w:r w:rsidRPr="0038726B">
        <w:rPr>
          <w:lang w:val="uk-UA" w:eastAsia="ar-SA"/>
        </w:rPr>
        <w:t xml:space="preserve"> у безпечне місце.</w:t>
      </w:r>
    </w:p>
    <w:p w:rsidR="005722F3" w:rsidRPr="0038726B" w:rsidRDefault="00990831" w:rsidP="00741368">
      <w:pPr>
        <w:jc w:val="both"/>
        <w:rPr>
          <w:color w:val="000000"/>
          <w:lang w:val="uk-UA"/>
        </w:rPr>
      </w:pPr>
      <w:r w:rsidRPr="0038726B">
        <w:rPr>
          <w:rFonts w:eastAsia="Calibri"/>
          <w:color w:val="000000" w:themeColor="text1"/>
          <w:lang w:val="uk-UA" w:eastAsia="en-US"/>
        </w:rPr>
        <w:tab/>
      </w:r>
    </w:p>
    <w:p w:rsidR="005722F3" w:rsidRPr="0038726B" w:rsidRDefault="005722F3" w:rsidP="001D7ED4">
      <w:pPr>
        <w:ind w:firstLine="709"/>
        <w:jc w:val="both"/>
        <w:rPr>
          <w:color w:val="000000"/>
          <w:lang w:val="uk-UA"/>
        </w:rPr>
      </w:pPr>
    </w:p>
    <w:p w:rsidR="00CE7D02" w:rsidRPr="0038726B" w:rsidRDefault="00CE7D02" w:rsidP="00F606DB">
      <w:pPr>
        <w:jc w:val="center"/>
        <w:rPr>
          <w:b/>
          <w:color w:val="000000"/>
          <w:lang w:val="uk-UA"/>
        </w:rPr>
      </w:pPr>
      <w:r w:rsidRPr="0038726B">
        <w:rPr>
          <w:b/>
          <w:color w:val="000000"/>
          <w:lang w:val="uk-UA"/>
        </w:rPr>
        <w:t>Напрями і види діяльності КП «МПРС»</w:t>
      </w:r>
    </w:p>
    <w:p w:rsidR="00CE7D02" w:rsidRPr="0038726B" w:rsidRDefault="00CE7D02" w:rsidP="001D7ED4">
      <w:pPr>
        <w:rPr>
          <w:b/>
          <w:color w:val="000000"/>
          <w:lang w:val="uk-UA"/>
        </w:rPr>
      </w:pPr>
    </w:p>
    <w:p w:rsidR="002763F1" w:rsidRPr="0038726B" w:rsidRDefault="002763F1" w:rsidP="002763F1">
      <w:pPr>
        <w:tabs>
          <w:tab w:val="left" w:pos="0"/>
        </w:tabs>
        <w:suppressAutoHyphens/>
        <w:rPr>
          <w:lang w:val="uk-UA"/>
        </w:rPr>
      </w:pPr>
      <w:r w:rsidRPr="0038726B">
        <w:tab/>
        <w:t xml:space="preserve">Предметом </w:t>
      </w:r>
      <w:r w:rsidRPr="0038726B">
        <w:rPr>
          <w:lang w:val="uk-UA"/>
        </w:rPr>
        <w:t>діяльності КП «МПРС»</w:t>
      </w:r>
      <w:r w:rsidRPr="0038726B">
        <w:t xml:space="preserve"> є:</w:t>
      </w:r>
    </w:p>
    <w:p w:rsidR="002763F1" w:rsidRPr="0038726B" w:rsidRDefault="002763F1" w:rsidP="002763F1">
      <w:pPr>
        <w:pStyle w:val="Default"/>
        <w:ind w:firstLine="709"/>
        <w:jc w:val="both"/>
        <w:rPr>
          <w:lang w:val="uk-UA"/>
        </w:rPr>
      </w:pPr>
      <w:r w:rsidRPr="0038726B">
        <w:rPr>
          <w:lang w:val="uk-UA"/>
        </w:rPr>
        <w:t xml:space="preserve">організація та проведення пошуково-рятувальних робіт; </w:t>
      </w:r>
    </w:p>
    <w:p w:rsidR="002763F1" w:rsidRPr="0038726B" w:rsidRDefault="002763F1" w:rsidP="002763F1">
      <w:pPr>
        <w:pStyle w:val="Default"/>
        <w:ind w:firstLine="709"/>
        <w:jc w:val="both"/>
        <w:rPr>
          <w:lang w:val="uk-UA"/>
        </w:rPr>
      </w:pPr>
      <w:r w:rsidRPr="0038726B">
        <w:rPr>
          <w:lang w:val="uk-UA"/>
        </w:rPr>
        <w:t xml:space="preserve">забезпечення сталого функціонування та подальшого розвитку національної системи пошуку і рятування у морському пошуково-рятувальному районі України, координація та проведення морських та авіаційних пошуково-рятувальних операцій; </w:t>
      </w:r>
    </w:p>
    <w:p w:rsidR="002763F1" w:rsidRPr="0038726B" w:rsidRDefault="002763F1" w:rsidP="002763F1">
      <w:pPr>
        <w:pStyle w:val="Default"/>
        <w:ind w:firstLine="709"/>
        <w:jc w:val="both"/>
        <w:rPr>
          <w:lang w:val="uk-UA"/>
        </w:rPr>
      </w:pPr>
      <w:r w:rsidRPr="0038726B">
        <w:rPr>
          <w:lang w:val="uk-UA"/>
        </w:rPr>
        <w:t>підтримання суднами, плавзасобами, авіаційними засобами</w:t>
      </w:r>
      <w:r w:rsidR="002C2624" w:rsidRPr="0038726B">
        <w:rPr>
          <w:lang w:val="uk-UA"/>
        </w:rPr>
        <w:t>,</w:t>
      </w:r>
      <w:r w:rsidRPr="0038726B">
        <w:rPr>
          <w:lang w:val="uk-UA"/>
        </w:rPr>
        <w:t xml:space="preserve"> технічними засобами та береговими підрозділами постійної пошуково-рятувальної готовності для здійснення пошуку та рятування в морському пошуково-рятувальному районі України; </w:t>
      </w:r>
    </w:p>
    <w:p w:rsidR="002763F1" w:rsidRPr="0038726B" w:rsidRDefault="002763F1" w:rsidP="002763F1">
      <w:pPr>
        <w:pStyle w:val="Default"/>
        <w:ind w:firstLine="709"/>
        <w:jc w:val="both"/>
        <w:rPr>
          <w:lang w:val="uk-UA"/>
        </w:rPr>
      </w:pPr>
      <w:r w:rsidRPr="0038726B">
        <w:rPr>
          <w:lang w:val="uk-UA"/>
        </w:rPr>
        <w:t xml:space="preserve">здійснення заходів щодо залучення повітряних суден для авіаційного пошуку в морському пошуково-рятувальному районі України; </w:t>
      </w:r>
    </w:p>
    <w:p w:rsidR="002763F1" w:rsidRPr="0038726B" w:rsidRDefault="002763F1" w:rsidP="002763F1">
      <w:pPr>
        <w:pStyle w:val="Default"/>
        <w:ind w:firstLine="708"/>
        <w:jc w:val="both"/>
        <w:rPr>
          <w:lang w:val="uk-UA"/>
        </w:rPr>
      </w:pPr>
      <w:r w:rsidRPr="0038726B">
        <w:rPr>
          <w:lang w:val="uk-UA"/>
        </w:rPr>
        <w:t xml:space="preserve">утримання, обслуговування суден, плавзасобів, авіаційних засобів, технічних засобів, засобів зв’язку у разі лиха, берегових підрозділів, у тому числі у період ремонту; </w:t>
      </w:r>
    </w:p>
    <w:p w:rsidR="002763F1" w:rsidRPr="0038726B" w:rsidRDefault="002763F1" w:rsidP="002763F1">
      <w:pPr>
        <w:pStyle w:val="Default"/>
        <w:ind w:firstLine="708"/>
        <w:jc w:val="both"/>
        <w:rPr>
          <w:color w:val="auto"/>
          <w:lang w:val="uk-UA"/>
        </w:rPr>
      </w:pPr>
      <w:r w:rsidRPr="0038726B">
        <w:rPr>
          <w:color w:val="auto"/>
          <w:lang w:val="uk-UA"/>
        </w:rPr>
        <w:t xml:space="preserve">реалізація, розвиток та використання систем морського рухомого зв’язку та впровадження комплексу Глобальної морської системи зв’язку у разі лиха та для забезпечення безпеки (далі - ГМЗЛБ); </w:t>
      </w:r>
    </w:p>
    <w:p w:rsidR="002763F1" w:rsidRPr="0038726B" w:rsidRDefault="002763F1" w:rsidP="002763F1">
      <w:pPr>
        <w:pStyle w:val="Default"/>
        <w:ind w:firstLine="708"/>
        <w:jc w:val="both"/>
        <w:rPr>
          <w:color w:val="auto"/>
          <w:lang w:val="uk-UA"/>
        </w:rPr>
      </w:pPr>
      <w:r w:rsidRPr="0038726B">
        <w:rPr>
          <w:color w:val="auto"/>
          <w:lang w:val="uk-UA"/>
        </w:rPr>
        <w:t xml:space="preserve">організація та підтримка Єдиної розподіленої бази даних суден під Державним прапором України; </w:t>
      </w:r>
    </w:p>
    <w:p w:rsidR="002763F1" w:rsidRPr="0038726B" w:rsidRDefault="002763F1" w:rsidP="002763F1">
      <w:pPr>
        <w:pStyle w:val="Default"/>
        <w:ind w:firstLine="708"/>
        <w:jc w:val="both"/>
        <w:rPr>
          <w:color w:val="auto"/>
          <w:lang w:val="uk-UA"/>
        </w:rPr>
      </w:pPr>
      <w:r w:rsidRPr="0038726B">
        <w:rPr>
          <w:color w:val="auto"/>
          <w:lang w:val="uk-UA"/>
        </w:rPr>
        <w:lastRenderedPageBreak/>
        <w:t xml:space="preserve">організаційне-технічне забезпечення участі України у міжнародній організації КОСПАС-САРСАТ; </w:t>
      </w:r>
    </w:p>
    <w:p w:rsidR="002763F1" w:rsidRPr="0038726B" w:rsidRDefault="002763F1" w:rsidP="002763F1">
      <w:pPr>
        <w:pStyle w:val="Default"/>
        <w:ind w:firstLine="708"/>
        <w:jc w:val="both"/>
        <w:rPr>
          <w:color w:val="auto"/>
          <w:lang w:val="uk-UA"/>
        </w:rPr>
      </w:pPr>
      <w:r w:rsidRPr="0038726B">
        <w:rPr>
          <w:color w:val="auto"/>
          <w:lang w:val="uk-UA"/>
        </w:rPr>
        <w:t xml:space="preserve">організація робіт із забезпечення та координації діяльності щодо розвитку та ефективного функціонування ГМЗЛБ, удосконалення національного берегового сегменту ГМЗЛБ; </w:t>
      </w:r>
    </w:p>
    <w:p w:rsidR="002763F1" w:rsidRPr="0038726B" w:rsidRDefault="002763F1" w:rsidP="002763F1">
      <w:pPr>
        <w:pStyle w:val="Default"/>
        <w:ind w:firstLine="708"/>
        <w:jc w:val="both"/>
        <w:rPr>
          <w:color w:val="auto"/>
          <w:lang w:val="uk-UA"/>
        </w:rPr>
      </w:pPr>
      <w:r w:rsidRPr="0038726B">
        <w:rPr>
          <w:color w:val="auto"/>
          <w:lang w:val="uk-UA"/>
        </w:rPr>
        <w:t xml:space="preserve">забезпечення функціонування державного морського </w:t>
      </w:r>
      <w:proofErr w:type="spellStart"/>
      <w:r w:rsidRPr="0038726B">
        <w:rPr>
          <w:color w:val="auto"/>
          <w:lang w:val="uk-UA"/>
        </w:rPr>
        <w:t>рятувально</w:t>
      </w:r>
      <w:proofErr w:type="spellEnd"/>
      <w:r w:rsidRPr="0038726B">
        <w:rPr>
          <w:color w:val="auto"/>
          <w:lang w:val="uk-UA"/>
        </w:rPr>
        <w:t xml:space="preserve">-координаційного центру (далі - ДРМКЦ), морських рятувальних </w:t>
      </w:r>
      <w:proofErr w:type="spellStart"/>
      <w:r w:rsidRPr="0038726B">
        <w:rPr>
          <w:color w:val="auto"/>
          <w:lang w:val="uk-UA"/>
        </w:rPr>
        <w:t>підцентрів</w:t>
      </w:r>
      <w:proofErr w:type="spellEnd"/>
      <w:r w:rsidRPr="0038726B">
        <w:rPr>
          <w:color w:val="auto"/>
          <w:lang w:val="uk-UA"/>
        </w:rPr>
        <w:t xml:space="preserve"> (далі - МРПЦ) та берегових радіоцентрів ГМЗЛБ; </w:t>
      </w:r>
    </w:p>
    <w:p w:rsidR="002763F1" w:rsidRPr="0038726B" w:rsidRDefault="002763F1" w:rsidP="002763F1">
      <w:pPr>
        <w:pStyle w:val="Default"/>
        <w:ind w:firstLine="708"/>
        <w:jc w:val="both"/>
        <w:rPr>
          <w:color w:val="auto"/>
          <w:lang w:val="uk-UA"/>
        </w:rPr>
      </w:pPr>
      <w:r w:rsidRPr="0038726B">
        <w:rPr>
          <w:color w:val="auto"/>
          <w:lang w:val="uk-UA"/>
        </w:rPr>
        <w:t xml:space="preserve">забезпечення єдиної організаційної та технічної політики щодо розвитку і використання засобів зв’язку і радіовизначення для морської рухомої служби в національних та міжнародних, традиційних та супутникових системах; </w:t>
      </w:r>
    </w:p>
    <w:p w:rsidR="002763F1" w:rsidRPr="0038726B" w:rsidRDefault="002763F1" w:rsidP="002763F1">
      <w:pPr>
        <w:pStyle w:val="Default"/>
        <w:ind w:firstLine="708"/>
        <w:jc w:val="both"/>
        <w:rPr>
          <w:color w:val="auto"/>
          <w:lang w:val="uk-UA"/>
        </w:rPr>
      </w:pPr>
      <w:r w:rsidRPr="0038726B">
        <w:rPr>
          <w:color w:val="auto"/>
          <w:lang w:val="uk-UA"/>
        </w:rPr>
        <w:t xml:space="preserve">забезпечення функціонування Національного центру даних системи дальньої ідентифікації та контролю місцезнаходження суден та системи суднового охоронного сповіщення; </w:t>
      </w:r>
    </w:p>
    <w:p w:rsidR="002763F1" w:rsidRPr="0038726B" w:rsidRDefault="002763F1" w:rsidP="002763F1">
      <w:pPr>
        <w:pStyle w:val="Default"/>
        <w:ind w:firstLine="708"/>
        <w:jc w:val="both"/>
        <w:rPr>
          <w:color w:val="auto"/>
          <w:lang w:val="uk-UA"/>
        </w:rPr>
      </w:pPr>
      <w:r w:rsidRPr="0038726B">
        <w:rPr>
          <w:color w:val="auto"/>
          <w:lang w:val="uk-UA"/>
        </w:rPr>
        <w:t xml:space="preserve">здійснення водолазних робіт; </w:t>
      </w:r>
    </w:p>
    <w:p w:rsidR="002763F1" w:rsidRPr="0038726B" w:rsidRDefault="002763F1" w:rsidP="002763F1">
      <w:pPr>
        <w:pStyle w:val="Default"/>
        <w:ind w:firstLine="708"/>
        <w:jc w:val="both"/>
        <w:rPr>
          <w:color w:val="auto"/>
          <w:lang w:val="uk-UA"/>
        </w:rPr>
      </w:pPr>
      <w:r w:rsidRPr="0038726B">
        <w:rPr>
          <w:color w:val="auto"/>
          <w:lang w:val="uk-UA"/>
        </w:rPr>
        <w:t>здійснення зовнішньоекономічної діяльності відповідно до вимог чинного законодавства.</w:t>
      </w:r>
    </w:p>
    <w:p w:rsidR="00CE7D02" w:rsidRPr="0038726B" w:rsidRDefault="00CE7D02" w:rsidP="001D7ED4">
      <w:pPr>
        <w:pStyle w:val="3"/>
        <w:ind w:left="0" w:firstLine="0"/>
        <w:jc w:val="center"/>
        <w:rPr>
          <w:b/>
          <w:color w:val="000000"/>
          <w:sz w:val="24"/>
          <w:szCs w:val="24"/>
          <w:lang w:val="uk-UA"/>
        </w:rPr>
      </w:pPr>
    </w:p>
    <w:p w:rsidR="002763F1" w:rsidRPr="0038726B" w:rsidRDefault="002763F1" w:rsidP="005722F3">
      <w:pPr>
        <w:pStyle w:val="ab"/>
        <w:numPr>
          <w:ilvl w:val="0"/>
          <w:numId w:val="1"/>
        </w:numPr>
        <w:tabs>
          <w:tab w:val="left" w:pos="0"/>
        </w:tabs>
        <w:suppressAutoHyphens/>
        <w:spacing w:after="120"/>
        <w:contextualSpacing w:val="0"/>
        <w:jc w:val="center"/>
        <w:rPr>
          <w:b/>
          <w:lang w:val="uk-UA"/>
        </w:rPr>
      </w:pPr>
      <w:r w:rsidRPr="0038726B">
        <w:rPr>
          <w:b/>
          <w:lang w:val="uk-UA"/>
        </w:rPr>
        <w:t>Основні підрозділи та виробничі потужності КП «МПРС»</w:t>
      </w:r>
    </w:p>
    <w:p w:rsidR="002763F1" w:rsidRPr="0038726B" w:rsidRDefault="002763F1" w:rsidP="002763F1">
      <w:pPr>
        <w:tabs>
          <w:tab w:val="left" w:pos="0"/>
        </w:tabs>
        <w:spacing w:after="120"/>
        <w:ind w:firstLine="720"/>
        <w:jc w:val="both"/>
        <w:rPr>
          <w:shd w:val="clear" w:color="auto" w:fill="FFFFFF"/>
          <w:lang w:val="uk-UA"/>
        </w:rPr>
      </w:pPr>
      <w:r w:rsidRPr="0038726B">
        <w:rPr>
          <w:shd w:val="clear" w:color="auto" w:fill="FFFFFF"/>
          <w:lang w:val="uk-UA"/>
        </w:rPr>
        <w:t>Основні засоби КП «МПРС» складають спеціалізовані судна, а саме</w:t>
      </w:r>
      <w:r w:rsidRPr="0038726B">
        <w:rPr>
          <w:lang w:val="uk-UA"/>
        </w:rPr>
        <w:br/>
      </w:r>
      <w:r w:rsidRPr="0038726B">
        <w:rPr>
          <w:shd w:val="clear" w:color="auto" w:fill="FFFFFF"/>
          <w:lang w:val="uk-UA"/>
        </w:rPr>
        <w:t xml:space="preserve">- п’ять пошуково-рятувальних катерів: типу </w:t>
      </w:r>
      <w:proofErr w:type="spellStart"/>
      <w:r w:rsidRPr="0038726B">
        <w:rPr>
          <w:shd w:val="clear" w:color="auto" w:fill="FFFFFF"/>
          <w:lang w:val="uk-UA"/>
        </w:rPr>
        <w:t>Patrol</w:t>
      </w:r>
      <w:proofErr w:type="spellEnd"/>
      <w:r w:rsidRPr="0038726B">
        <w:rPr>
          <w:shd w:val="clear" w:color="auto" w:fill="FFFFFF"/>
          <w:lang w:val="uk-UA"/>
        </w:rPr>
        <w:t xml:space="preserve"> 150 (дві одиниці) і типу BOOMERANGER C-1100 (три одиниці).</w:t>
      </w:r>
    </w:p>
    <w:p w:rsidR="002763F1" w:rsidRPr="0038726B" w:rsidRDefault="002763F1" w:rsidP="002763F1">
      <w:pPr>
        <w:ind w:firstLine="709"/>
        <w:jc w:val="both"/>
        <w:rPr>
          <w:lang w:val="uk-UA"/>
        </w:rPr>
      </w:pPr>
      <w:r w:rsidRPr="0038726B">
        <w:rPr>
          <w:lang w:val="uk-UA"/>
        </w:rPr>
        <w:t xml:space="preserve">З метою реалізації заходів щодо подальшого розвитку національної системи пошуку і рятування, координації та проведення пошуково-рятувальних операцій у морському пошуково-рятувальному районі України у серпні 2016 року згідно до наказу МІУ № 263 від 04.08.2016 року «Про безоплатну передачу майна ДП «МАРС» КП «МПРС» на баланс КП «МПРС» було передано три плавзасоби ДП «МАРС»: </w:t>
      </w:r>
    </w:p>
    <w:p w:rsidR="002763F1" w:rsidRPr="0038726B" w:rsidRDefault="002763F1" w:rsidP="002763F1">
      <w:pPr>
        <w:numPr>
          <w:ilvl w:val="0"/>
          <w:numId w:val="12"/>
        </w:numPr>
        <w:suppressAutoHyphens/>
        <w:ind w:left="0" w:firstLine="709"/>
        <w:jc w:val="both"/>
        <w:rPr>
          <w:lang w:val="uk-UA"/>
        </w:rPr>
      </w:pPr>
      <w:r w:rsidRPr="0038726B">
        <w:rPr>
          <w:lang w:val="uk-UA"/>
        </w:rPr>
        <w:t>багатоцільове судно забезпечення (б/с) «Сапфір». С</w:t>
      </w:r>
      <w:r w:rsidRPr="0038726B">
        <w:rPr>
          <w:rFonts w:eastAsia="Arial Unicode MS"/>
          <w:lang w:val="uk-UA"/>
        </w:rPr>
        <w:t xml:space="preserve">удно має </w:t>
      </w:r>
      <w:r w:rsidRPr="0038726B">
        <w:rPr>
          <w:lang w:val="uk-UA"/>
        </w:rPr>
        <w:t>необмежений район плавання, обладнане потужною судновою електростанцією, медичним блоком, водолазною станцією, буксирним пристроєм, сучасним радіонавігаційним устаткуванням, потужними пожежними насосами з приводом від головних двигунів та устаткуванням для ліквідації аварійн</w:t>
      </w:r>
      <w:r w:rsidR="00A64D34" w:rsidRPr="0038726B">
        <w:rPr>
          <w:lang w:val="uk-UA"/>
        </w:rPr>
        <w:t xml:space="preserve">их розливів нафтопродуктів тощо. </w:t>
      </w:r>
      <w:r w:rsidR="00A2377E" w:rsidRPr="0038726B">
        <w:rPr>
          <w:lang w:val="uk-UA"/>
        </w:rPr>
        <w:t>У 2 кварталі</w:t>
      </w:r>
      <w:r w:rsidR="00FA2089" w:rsidRPr="0038726B">
        <w:rPr>
          <w:lang w:val="uk-UA"/>
        </w:rPr>
        <w:t xml:space="preserve"> 2017 року судно </w:t>
      </w:r>
      <w:r w:rsidR="00A2377E" w:rsidRPr="0038726B">
        <w:rPr>
          <w:lang w:val="uk-UA"/>
        </w:rPr>
        <w:t>пройшло ходові іспити після проведення класифікаційному ремонту</w:t>
      </w:r>
      <w:r w:rsidR="00FA2089" w:rsidRPr="0038726B">
        <w:rPr>
          <w:lang w:val="uk-UA"/>
        </w:rPr>
        <w:t>.</w:t>
      </w:r>
    </w:p>
    <w:p w:rsidR="002763F1" w:rsidRPr="0038726B" w:rsidRDefault="002763F1" w:rsidP="002763F1">
      <w:pPr>
        <w:numPr>
          <w:ilvl w:val="0"/>
          <w:numId w:val="12"/>
        </w:numPr>
        <w:suppressAutoHyphens/>
        <w:ind w:left="0" w:firstLine="709"/>
        <w:jc w:val="both"/>
        <w:rPr>
          <w:lang w:val="uk-UA"/>
        </w:rPr>
      </w:pPr>
      <w:r w:rsidRPr="0038726B">
        <w:rPr>
          <w:lang w:val="uk-UA"/>
        </w:rPr>
        <w:t>морський водолазний бот «Водолаз-16 («</w:t>
      </w:r>
      <w:proofErr w:type="spellStart"/>
      <w:r w:rsidRPr="0038726B">
        <w:rPr>
          <w:lang w:val="uk-UA"/>
        </w:rPr>
        <w:t>Леснічий</w:t>
      </w:r>
      <w:proofErr w:type="spellEnd"/>
      <w:r w:rsidRPr="0038726B">
        <w:rPr>
          <w:lang w:val="uk-UA"/>
        </w:rPr>
        <w:t>») (дали ПРК-06)</w:t>
      </w:r>
      <w:r w:rsidRPr="0038726B">
        <w:rPr>
          <w:b/>
          <w:lang w:val="uk-UA"/>
        </w:rPr>
        <w:t xml:space="preserve"> </w:t>
      </w:r>
      <w:r w:rsidRPr="0038726B">
        <w:rPr>
          <w:lang w:val="uk-UA"/>
        </w:rPr>
        <w:t>відповідно до технічних даних здатний виконувати пошуково-рятувальні операції як на Чорному, так й в акваторії Азовського морів у зоні відповідальності КП «МПРС». На борту бота розташована водолазна станція з барокамеро</w:t>
      </w:r>
      <w:r w:rsidR="00FA2089" w:rsidRPr="0038726B">
        <w:rPr>
          <w:lang w:val="uk-UA"/>
        </w:rPr>
        <w:t>ю.</w:t>
      </w:r>
    </w:p>
    <w:p w:rsidR="002763F1" w:rsidRPr="0038726B" w:rsidRDefault="002763F1" w:rsidP="002763F1">
      <w:pPr>
        <w:numPr>
          <w:ilvl w:val="0"/>
          <w:numId w:val="12"/>
        </w:numPr>
        <w:suppressAutoHyphens/>
        <w:ind w:left="0" w:firstLine="709"/>
        <w:jc w:val="both"/>
        <w:rPr>
          <w:lang w:val="uk-UA"/>
        </w:rPr>
      </w:pPr>
      <w:r w:rsidRPr="0038726B">
        <w:rPr>
          <w:lang w:val="uk-UA"/>
        </w:rPr>
        <w:t>плавуча майстерня «ПМ-607» планується використ</w:t>
      </w:r>
      <w:r w:rsidR="00716269" w:rsidRPr="0038726B">
        <w:rPr>
          <w:lang w:val="uk-UA"/>
        </w:rPr>
        <w:t xml:space="preserve">овуватися </w:t>
      </w:r>
      <w:r w:rsidRPr="0038726B">
        <w:rPr>
          <w:lang w:val="uk-UA"/>
        </w:rPr>
        <w:t xml:space="preserve">за прямим </w:t>
      </w:r>
      <w:r w:rsidR="00716269" w:rsidRPr="0038726B">
        <w:rPr>
          <w:lang w:val="uk-UA"/>
        </w:rPr>
        <w:t xml:space="preserve">призначенням </w:t>
      </w:r>
      <w:r w:rsidRPr="0038726B">
        <w:rPr>
          <w:lang w:val="uk-UA"/>
        </w:rPr>
        <w:t>та також як база розташування пошуково-рятувального катеру в сухому стані та розміщення екіпажу.</w:t>
      </w:r>
      <w:r w:rsidR="00FA2089" w:rsidRPr="0038726B">
        <w:rPr>
          <w:lang w:val="uk-UA"/>
        </w:rPr>
        <w:t xml:space="preserve"> </w:t>
      </w:r>
    </w:p>
    <w:p w:rsidR="002763F1" w:rsidRPr="0038726B" w:rsidRDefault="002763F1" w:rsidP="002763F1">
      <w:pPr>
        <w:tabs>
          <w:tab w:val="left" w:pos="0"/>
        </w:tabs>
        <w:ind w:firstLine="720"/>
        <w:jc w:val="both"/>
        <w:rPr>
          <w:shd w:val="clear" w:color="auto" w:fill="FFFFFF"/>
          <w:lang w:val="uk-UA"/>
        </w:rPr>
      </w:pPr>
      <w:r w:rsidRPr="0038726B">
        <w:rPr>
          <w:shd w:val="clear" w:color="auto" w:fill="FFFFFF"/>
          <w:lang w:val="uk-UA"/>
        </w:rPr>
        <w:t xml:space="preserve">Іншим сегментом функціонування національної системи пошуку і рятування на морі є: державний морський </w:t>
      </w:r>
      <w:proofErr w:type="spellStart"/>
      <w:r w:rsidRPr="0038726B">
        <w:rPr>
          <w:shd w:val="clear" w:color="auto" w:fill="FFFFFF"/>
          <w:lang w:val="uk-UA"/>
        </w:rPr>
        <w:t>рятувально</w:t>
      </w:r>
      <w:proofErr w:type="spellEnd"/>
      <w:r w:rsidRPr="0038726B">
        <w:rPr>
          <w:shd w:val="clear" w:color="auto" w:fill="FFFFFF"/>
          <w:lang w:val="uk-UA"/>
        </w:rPr>
        <w:t>-координаційний центр у м.</w:t>
      </w:r>
      <w:r w:rsidR="002C2624" w:rsidRPr="0038726B">
        <w:rPr>
          <w:shd w:val="clear" w:color="auto" w:fill="FFFFFF"/>
          <w:lang w:val="uk-UA"/>
        </w:rPr>
        <w:t xml:space="preserve"> </w:t>
      </w:r>
      <w:r w:rsidRPr="0038726B">
        <w:rPr>
          <w:shd w:val="clear" w:color="auto" w:fill="FFFFFF"/>
          <w:lang w:val="uk-UA"/>
        </w:rPr>
        <w:t xml:space="preserve">Одеса, морський </w:t>
      </w:r>
      <w:proofErr w:type="spellStart"/>
      <w:r w:rsidRPr="0038726B">
        <w:rPr>
          <w:shd w:val="clear" w:color="auto" w:fill="FFFFFF"/>
          <w:lang w:val="uk-UA"/>
        </w:rPr>
        <w:t>рятувально</w:t>
      </w:r>
      <w:proofErr w:type="spellEnd"/>
      <w:r w:rsidRPr="0038726B">
        <w:rPr>
          <w:shd w:val="clear" w:color="auto" w:fill="FFFFFF"/>
          <w:lang w:val="uk-UA"/>
        </w:rPr>
        <w:t xml:space="preserve">-координаційний </w:t>
      </w:r>
      <w:proofErr w:type="spellStart"/>
      <w:r w:rsidRPr="0038726B">
        <w:rPr>
          <w:shd w:val="clear" w:color="auto" w:fill="FFFFFF"/>
          <w:lang w:val="uk-UA"/>
        </w:rPr>
        <w:t>підцентр</w:t>
      </w:r>
      <w:proofErr w:type="spellEnd"/>
      <w:r w:rsidRPr="0038726B">
        <w:rPr>
          <w:shd w:val="clear" w:color="auto" w:fill="FFFFFF"/>
          <w:lang w:val="uk-UA"/>
        </w:rPr>
        <w:t xml:space="preserve"> у м.</w:t>
      </w:r>
      <w:r w:rsidR="002C2624" w:rsidRPr="0038726B">
        <w:rPr>
          <w:shd w:val="clear" w:color="auto" w:fill="FFFFFF"/>
          <w:lang w:val="uk-UA"/>
        </w:rPr>
        <w:t xml:space="preserve"> </w:t>
      </w:r>
      <w:r w:rsidR="00A52748" w:rsidRPr="0038726B">
        <w:rPr>
          <w:shd w:val="clear" w:color="auto" w:fill="FFFFFF"/>
          <w:lang w:val="uk-UA"/>
        </w:rPr>
        <w:t xml:space="preserve">Бердянськ </w:t>
      </w:r>
      <w:r w:rsidRPr="0038726B">
        <w:rPr>
          <w:shd w:val="clear" w:color="auto" w:fill="FFFFFF"/>
          <w:lang w:val="uk-UA"/>
        </w:rPr>
        <w:t>та берегові радіоцентри морських районів А1, А2 Глобальної морської системи зв’язку у разі лиха (далі - ГМЗЛБ) у м.</w:t>
      </w:r>
      <w:r w:rsidR="002C2624" w:rsidRPr="0038726B">
        <w:rPr>
          <w:shd w:val="clear" w:color="auto" w:fill="FFFFFF"/>
          <w:lang w:val="uk-UA"/>
        </w:rPr>
        <w:t xml:space="preserve"> </w:t>
      </w:r>
      <w:r w:rsidRPr="0038726B">
        <w:rPr>
          <w:shd w:val="clear" w:color="auto" w:fill="FFFFFF"/>
          <w:lang w:val="uk-UA"/>
        </w:rPr>
        <w:t xml:space="preserve">Одеса, в м. </w:t>
      </w:r>
      <w:r w:rsidR="005853CC" w:rsidRPr="0038726B">
        <w:rPr>
          <w:shd w:val="clear" w:color="auto" w:fill="FFFFFF"/>
          <w:lang w:val="uk-UA"/>
        </w:rPr>
        <w:t>Бердянськ</w:t>
      </w:r>
      <w:r w:rsidRPr="0038726B">
        <w:rPr>
          <w:shd w:val="clear" w:color="auto" w:fill="FFFFFF"/>
          <w:lang w:val="uk-UA"/>
        </w:rPr>
        <w:t xml:space="preserve">, пост аварійного сповіщення в м. Бердянськ, центр інформаційного забезпечення у м. Київ. </w:t>
      </w:r>
    </w:p>
    <w:p w:rsidR="002763F1" w:rsidRPr="0038726B" w:rsidRDefault="002763F1" w:rsidP="002763F1">
      <w:pPr>
        <w:tabs>
          <w:tab w:val="left" w:pos="0"/>
        </w:tabs>
        <w:ind w:firstLine="720"/>
        <w:jc w:val="both"/>
        <w:rPr>
          <w:shd w:val="clear" w:color="auto" w:fill="FFFFFF"/>
          <w:lang w:val="uk-UA"/>
        </w:rPr>
      </w:pPr>
      <w:r w:rsidRPr="0038726B">
        <w:rPr>
          <w:shd w:val="clear" w:color="auto" w:fill="FFFFFF"/>
          <w:lang w:val="uk-UA"/>
        </w:rPr>
        <w:t xml:space="preserve">ДМРКЦ - Державний морський </w:t>
      </w:r>
      <w:proofErr w:type="spellStart"/>
      <w:r w:rsidRPr="0038726B">
        <w:rPr>
          <w:shd w:val="clear" w:color="auto" w:fill="FFFFFF"/>
          <w:lang w:val="uk-UA"/>
        </w:rPr>
        <w:t>рятувально</w:t>
      </w:r>
      <w:proofErr w:type="spellEnd"/>
      <w:r w:rsidRPr="0038726B">
        <w:rPr>
          <w:shd w:val="clear" w:color="auto" w:fill="FFFFFF"/>
          <w:lang w:val="uk-UA"/>
        </w:rPr>
        <w:t>-координаційний центр у м. Одес</w:t>
      </w:r>
      <w:r w:rsidR="00716269" w:rsidRPr="0038726B">
        <w:rPr>
          <w:shd w:val="clear" w:color="auto" w:fill="FFFFFF"/>
          <w:lang w:val="uk-UA"/>
        </w:rPr>
        <w:t>а</w:t>
      </w:r>
      <w:r w:rsidRPr="0038726B">
        <w:rPr>
          <w:shd w:val="clear" w:color="auto" w:fill="FFFFFF"/>
          <w:lang w:val="uk-UA"/>
        </w:rPr>
        <w:t>, створений відповідно до вимог Міжнародних конвенцій SOLAS-74 і SAR-79, входить до структури КП «МПРС».</w:t>
      </w:r>
    </w:p>
    <w:p w:rsidR="002763F1" w:rsidRPr="0038726B" w:rsidRDefault="002763F1" w:rsidP="002763F1">
      <w:pPr>
        <w:tabs>
          <w:tab w:val="left" w:pos="0"/>
        </w:tabs>
        <w:ind w:firstLine="720"/>
        <w:jc w:val="both"/>
        <w:rPr>
          <w:shd w:val="clear" w:color="auto" w:fill="FFFFFF"/>
          <w:lang w:val="uk-UA"/>
        </w:rPr>
      </w:pPr>
      <w:r w:rsidRPr="0038726B">
        <w:rPr>
          <w:shd w:val="clear" w:color="auto" w:fill="FFFFFF"/>
          <w:lang w:val="uk-UA"/>
        </w:rPr>
        <w:t xml:space="preserve">Основні функції ДМРКЦ: </w:t>
      </w:r>
    </w:p>
    <w:p w:rsidR="002763F1" w:rsidRPr="0038726B" w:rsidRDefault="002763F1" w:rsidP="002763F1">
      <w:pPr>
        <w:tabs>
          <w:tab w:val="left" w:pos="0"/>
        </w:tabs>
        <w:ind w:firstLine="720"/>
        <w:jc w:val="both"/>
        <w:rPr>
          <w:shd w:val="clear" w:color="auto" w:fill="FFFFFF"/>
          <w:lang w:val="uk-UA"/>
        </w:rPr>
      </w:pPr>
      <w:r w:rsidRPr="0038726B">
        <w:rPr>
          <w:shd w:val="clear" w:color="auto" w:fill="FFFFFF"/>
          <w:lang w:val="uk-UA"/>
        </w:rPr>
        <w:t>- прийом, підтвердження прийому і ретрансляція повідомлень про лихо;</w:t>
      </w:r>
    </w:p>
    <w:p w:rsidR="002763F1" w:rsidRPr="0038726B" w:rsidRDefault="002763F1" w:rsidP="002763F1">
      <w:pPr>
        <w:tabs>
          <w:tab w:val="left" w:pos="0"/>
        </w:tabs>
        <w:ind w:firstLine="720"/>
        <w:jc w:val="both"/>
        <w:rPr>
          <w:shd w:val="clear" w:color="auto" w:fill="FFFFFF"/>
          <w:lang w:val="uk-UA"/>
        </w:rPr>
      </w:pPr>
      <w:r w:rsidRPr="0038726B">
        <w:rPr>
          <w:shd w:val="clear" w:color="auto" w:fill="FFFFFF"/>
          <w:lang w:val="uk-UA"/>
        </w:rPr>
        <w:t>- координація заходів реагування пошуку і рятування (SAR);</w:t>
      </w:r>
    </w:p>
    <w:p w:rsidR="002763F1" w:rsidRPr="0038726B" w:rsidRDefault="002763F1" w:rsidP="002763F1">
      <w:pPr>
        <w:tabs>
          <w:tab w:val="left" w:pos="0"/>
        </w:tabs>
        <w:ind w:firstLine="720"/>
        <w:jc w:val="both"/>
        <w:rPr>
          <w:shd w:val="clear" w:color="auto" w:fill="FFFFFF"/>
          <w:lang w:val="uk-UA"/>
        </w:rPr>
      </w:pPr>
      <w:r w:rsidRPr="0038726B">
        <w:rPr>
          <w:shd w:val="clear" w:color="auto" w:fill="FFFFFF"/>
          <w:lang w:val="uk-UA"/>
        </w:rPr>
        <w:t>- проведення операцій з пошуку і рятування (SAR).</w:t>
      </w:r>
    </w:p>
    <w:p w:rsidR="002763F1" w:rsidRPr="0038726B" w:rsidRDefault="002763F1" w:rsidP="002763F1">
      <w:pPr>
        <w:tabs>
          <w:tab w:val="left" w:pos="0"/>
        </w:tabs>
        <w:ind w:firstLine="720"/>
        <w:jc w:val="both"/>
        <w:rPr>
          <w:shd w:val="clear" w:color="auto" w:fill="FFFFFF"/>
          <w:lang w:val="uk-UA"/>
        </w:rPr>
      </w:pPr>
      <w:r w:rsidRPr="0038726B">
        <w:rPr>
          <w:shd w:val="clear" w:color="auto" w:fill="FFFFFF"/>
          <w:lang w:val="uk-UA"/>
        </w:rPr>
        <w:lastRenderedPageBreak/>
        <w:t xml:space="preserve">Також, для максимального покриття морського пошуково-рятувального району відповідальності України, функціонують морські </w:t>
      </w:r>
      <w:proofErr w:type="spellStart"/>
      <w:r w:rsidRPr="0038726B">
        <w:rPr>
          <w:shd w:val="clear" w:color="auto" w:fill="FFFFFF"/>
          <w:lang w:val="uk-UA"/>
        </w:rPr>
        <w:t>рятувально</w:t>
      </w:r>
      <w:proofErr w:type="spellEnd"/>
      <w:r w:rsidRPr="0038726B">
        <w:rPr>
          <w:shd w:val="clear" w:color="auto" w:fill="FFFFFF"/>
          <w:lang w:val="uk-UA"/>
        </w:rPr>
        <w:t xml:space="preserve">-координаційні </w:t>
      </w:r>
      <w:proofErr w:type="spellStart"/>
      <w:r w:rsidRPr="0038726B">
        <w:rPr>
          <w:shd w:val="clear" w:color="auto" w:fill="FFFFFF"/>
          <w:lang w:val="uk-UA"/>
        </w:rPr>
        <w:t>підцентри</w:t>
      </w:r>
      <w:proofErr w:type="spellEnd"/>
      <w:r w:rsidRPr="0038726B">
        <w:rPr>
          <w:shd w:val="clear" w:color="auto" w:fill="FFFFFF"/>
          <w:lang w:val="uk-UA"/>
        </w:rPr>
        <w:t xml:space="preserve"> (МРКПЦ), які  підпорядковуються ДМРКЦ. </w:t>
      </w:r>
    </w:p>
    <w:p w:rsidR="002763F1" w:rsidRPr="0038726B" w:rsidRDefault="002763F1" w:rsidP="002763F1">
      <w:pPr>
        <w:tabs>
          <w:tab w:val="left" w:pos="0"/>
        </w:tabs>
        <w:ind w:firstLine="720"/>
        <w:jc w:val="both"/>
        <w:rPr>
          <w:shd w:val="clear" w:color="auto" w:fill="FFFFFF"/>
          <w:lang w:val="uk-UA"/>
        </w:rPr>
      </w:pPr>
      <w:r w:rsidRPr="0038726B">
        <w:rPr>
          <w:shd w:val="clear" w:color="auto" w:fill="FFFFFF"/>
          <w:lang w:val="uk-UA"/>
        </w:rPr>
        <w:t>Для інформаційної підтримки функціонування ДМРКЦ підприємство має елементи інтегрованої системи ідентифікації суден (далі – АІС) та систему дальньої ідентифікації та контролю місцезнаходження суден.</w:t>
      </w:r>
    </w:p>
    <w:p w:rsidR="00134D33" w:rsidRPr="0038726B" w:rsidRDefault="00134D33" w:rsidP="007744CB">
      <w:pPr>
        <w:tabs>
          <w:tab w:val="left" w:pos="0"/>
        </w:tabs>
        <w:suppressAutoHyphens/>
        <w:jc w:val="both"/>
        <w:rPr>
          <w:rFonts w:eastAsia="Calibri"/>
          <w:color w:val="000000" w:themeColor="text1"/>
          <w:lang w:val="uk-UA"/>
        </w:rPr>
      </w:pPr>
    </w:p>
    <w:p w:rsidR="004F3757" w:rsidRPr="0038726B" w:rsidRDefault="004F3757" w:rsidP="0056168D">
      <w:pPr>
        <w:ind w:firstLine="709"/>
        <w:jc w:val="both"/>
        <w:rPr>
          <w:color w:val="000000"/>
          <w:lang w:val="uk-UA"/>
        </w:rPr>
      </w:pPr>
      <w:r w:rsidRPr="0038726B">
        <w:rPr>
          <w:rFonts w:eastAsia="Calibri"/>
          <w:color w:val="000000" w:themeColor="text1"/>
          <w:lang w:val="uk-UA"/>
        </w:rPr>
        <w:tab/>
      </w:r>
    </w:p>
    <w:p w:rsidR="00CE7D02" w:rsidRPr="0038726B" w:rsidRDefault="00CE7D02" w:rsidP="001D7ED4">
      <w:pPr>
        <w:numPr>
          <w:ilvl w:val="0"/>
          <w:numId w:val="1"/>
        </w:numPr>
        <w:jc w:val="center"/>
        <w:rPr>
          <w:b/>
          <w:color w:val="000000"/>
          <w:lang w:val="uk-UA"/>
        </w:rPr>
      </w:pPr>
      <w:r w:rsidRPr="0038726B">
        <w:rPr>
          <w:b/>
          <w:iCs/>
          <w:color w:val="000000"/>
          <w:lang w:val="uk-UA"/>
        </w:rPr>
        <w:t xml:space="preserve">Фінансові показники КП </w:t>
      </w:r>
      <w:r w:rsidRPr="0038726B">
        <w:rPr>
          <w:b/>
          <w:color w:val="000000"/>
          <w:lang w:val="uk-UA"/>
        </w:rPr>
        <w:t>«Морська пошуково-рятувальна служба»</w:t>
      </w:r>
    </w:p>
    <w:p w:rsidR="00CE7D02" w:rsidRPr="0038726B" w:rsidRDefault="00CE7D02" w:rsidP="00E51107">
      <w:pPr>
        <w:jc w:val="both"/>
        <w:rPr>
          <w:color w:val="000000"/>
          <w:lang w:val="uk-UA"/>
        </w:rPr>
      </w:pPr>
    </w:p>
    <w:p w:rsidR="00A2377E" w:rsidRPr="0038726B" w:rsidRDefault="00A2377E" w:rsidP="00A2377E">
      <w:pPr>
        <w:spacing w:line="240" w:lineRule="atLeast"/>
        <w:ind w:firstLine="709"/>
        <w:jc w:val="both"/>
        <w:rPr>
          <w:lang w:val="uk-UA"/>
        </w:rPr>
      </w:pPr>
      <w:r w:rsidRPr="0038726B">
        <w:rPr>
          <w:lang w:val="uk-UA"/>
        </w:rPr>
        <w:t xml:space="preserve">Відповідно до Постанови КМУ № 158 від 24.02.2016 року «Про відновлення єдиної системи пошуку та рятування на морі» КП «МПРС» виконує публічно-правові функцій держави щодо здійснення операцій з пошуку і рятування людського життя у відкритому морі у відповідності з міжнародними договорами, стороною яких є Україна. Фінансування заходів здійснює ДП «АМПУ» відповідно до вищезгаданої Постанови Кабінету Міністрів та Наказу Міністерства інфраструктури України № 119 від 25.03.2016 року «Про виконання заходів щодо відновлення єдиної системи пошуку та рятування на морі». </w:t>
      </w:r>
    </w:p>
    <w:p w:rsidR="00A2377E" w:rsidRPr="0038726B" w:rsidRDefault="00A2377E" w:rsidP="00A2377E">
      <w:pPr>
        <w:spacing w:line="240" w:lineRule="atLeast"/>
        <w:ind w:firstLine="709"/>
        <w:jc w:val="both"/>
        <w:rPr>
          <w:lang w:val="uk-UA"/>
        </w:rPr>
      </w:pPr>
      <w:r w:rsidRPr="0038726B">
        <w:rPr>
          <w:lang w:val="uk-UA"/>
        </w:rPr>
        <w:t>З 2 кварталу 2017 року КП «МПРС» здійснює облік коштів цільового фінансування, відповідно до змін до облікової політики, введених в дію наказом КП «МПРС» № 41—Н від 13.03.2017 року «Про затвердження облікової політики КП МПРС у новій редакції» та погоджених Міністерством інфраструктури України 21.04.2017 року.</w:t>
      </w:r>
    </w:p>
    <w:p w:rsidR="0055062F" w:rsidRPr="0038726B" w:rsidRDefault="00A2377E" w:rsidP="0038726B">
      <w:pPr>
        <w:spacing w:line="240" w:lineRule="atLeast"/>
        <w:ind w:firstLine="709"/>
        <w:jc w:val="both"/>
        <w:rPr>
          <w:lang w:val="uk-UA"/>
        </w:rPr>
      </w:pPr>
      <w:r w:rsidRPr="0038726B">
        <w:rPr>
          <w:lang w:val="uk-UA"/>
        </w:rPr>
        <w:t xml:space="preserve">Діяльність підприємства також складається із власної діяльності відповідно до п.2 Постанови Кабінету Міністрів України від 14.05.2008 р. N 459 «Деякі питання дальньої ідентифікації  та контролю місцезнаходження суден» (далі – Постанова № 459), де КП «МПРС» призначено відповідальним  за  організаційно-технічне супроводження, взаємодію з міжнародними центрами  системи  ідентифікації  з технічних питань та за обробку даних  і забезпечення взаємодії, в тому числі міжнародної, під час обміну інформацією за результатами роботи системи ідентифікації. Національний центр дальньої ідентифікації та контролю місцезнаходження суден (далі – НЦД ДІКМС) КП «МПРС», надає послуги розрахункового центру та обслуговування аварійного супутникового </w:t>
      </w:r>
    </w:p>
    <w:p w:rsidR="00BB7D09" w:rsidRPr="0038726B" w:rsidRDefault="00BB7D09" w:rsidP="00A2377E">
      <w:pPr>
        <w:spacing w:line="240" w:lineRule="atLeast"/>
        <w:ind w:firstLine="709"/>
        <w:jc w:val="both"/>
        <w:rPr>
          <w:lang w:val="uk-UA"/>
        </w:rPr>
      </w:pPr>
    </w:p>
    <w:p w:rsidR="00981502" w:rsidRPr="0038726B" w:rsidRDefault="00BB7D09" w:rsidP="00A2377E">
      <w:pPr>
        <w:spacing w:line="240" w:lineRule="atLeast"/>
        <w:ind w:firstLine="709"/>
        <w:jc w:val="both"/>
        <w:rPr>
          <w:lang w:val="uk-UA"/>
        </w:rPr>
      </w:pPr>
      <w:r w:rsidRPr="0038726B">
        <w:rPr>
          <w:lang w:val="uk-UA"/>
        </w:rPr>
        <w:t xml:space="preserve">Звертаємо увагу, що </w:t>
      </w:r>
      <w:r w:rsidR="00981502" w:rsidRPr="0038726B">
        <w:rPr>
          <w:lang w:val="uk-UA"/>
        </w:rPr>
        <w:t xml:space="preserve">у зв’язку зі зміною облікової політики та проведенням обліку коштів цільового фінансування, отриманих </w:t>
      </w:r>
      <w:r w:rsidR="00D22FD2" w:rsidRPr="0038726B">
        <w:rPr>
          <w:lang w:val="uk-UA"/>
        </w:rPr>
        <w:t>в</w:t>
      </w:r>
      <w:r w:rsidR="00981502" w:rsidRPr="0038726B">
        <w:rPr>
          <w:lang w:val="uk-UA"/>
        </w:rPr>
        <w:t xml:space="preserve">ідповідно до ПКМУ № 158 від 24.02.2016 року, проведення співставленні результатів діяльності підприємства за 2016 </w:t>
      </w:r>
      <w:r w:rsidR="00167B62">
        <w:rPr>
          <w:lang w:val="uk-UA"/>
        </w:rPr>
        <w:t xml:space="preserve">р. </w:t>
      </w:r>
      <w:r w:rsidR="00981502" w:rsidRPr="0038726B">
        <w:rPr>
          <w:lang w:val="uk-UA"/>
        </w:rPr>
        <w:t>т</w:t>
      </w:r>
      <w:r w:rsidR="002250BA" w:rsidRPr="0038726B">
        <w:rPr>
          <w:lang w:val="uk-UA"/>
        </w:rPr>
        <w:t>а</w:t>
      </w:r>
      <w:r w:rsidR="00981502" w:rsidRPr="0038726B">
        <w:rPr>
          <w:lang w:val="uk-UA"/>
        </w:rPr>
        <w:t xml:space="preserve"> 2017 р не є коректним. </w:t>
      </w:r>
    </w:p>
    <w:p w:rsidR="00981502" w:rsidRPr="0038726B" w:rsidRDefault="00981502" w:rsidP="00A2377E">
      <w:pPr>
        <w:spacing w:line="240" w:lineRule="atLeast"/>
        <w:ind w:firstLine="709"/>
        <w:jc w:val="both"/>
        <w:rPr>
          <w:lang w:val="uk-UA"/>
        </w:rPr>
      </w:pPr>
    </w:p>
    <w:p w:rsidR="00A2377E" w:rsidRPr="000B1657" w:rsidRDefault="00A2377E" w:rsidP="00A2377E">
      <w:pPr>
        <w:spacing w:line="240" w:lineRule="atLeast"/>
        <w:ind w:firstLine="709"/>
        <w:jc w:val="both"/>
        <w:rPr>
          <w:lang w:val="uk-UA"/>
        </w:rPr>
      </w:pPr>
      <w:r w:rsidRPr="000B1657">
        <w:rPr>
          <w:lang w:val="uk-UA"/>
        </w:rPr>
        <w:t>Фінансовий результат діяльності казенного підприємства за 2017 р</w:t>
      </w:r>
      <w:r w:rsidR="002C1D39">
        <w:rPr>
          <w:lang w:val="uk-UA"/>
        </w:rPr>
        <w:t>і</w:t>
      </w:r>
      <w:r w:rsidRPr="000B1657">
        <w:rPr>
          <w:lang w:val="uk-UA"/>
        </w:rPr>
        <w:t>к по видам діяльності наданий у таблиці</w:t>
      </w:r>
      <w:r w:rsidR="00AD3C16" w:rsidRPr="000B1657">
        <w:rPr>
          <w:lang w:val="uk-UA"/>
        </w:rPr>
        <w:t xml:space="preserve"> 1</w:t>
      </w:r>
      <w:r w:rsidRPr="000B1657">
        <w:rPr>
          <w:lang w:val="uk-UA"/>
        </w:rPr>
        <w:t xml:space="preserve">. </w:t>
      </w:r>
    </w:p>
    <w:p w:rsidR="00A2377E" w:rsidRPr="000B1657" w:rsidRDefault="00A2377E" w:rsidP="00A2377E">
      <w:pPr>
        <w:spacing w:line="240" w:lineRule="atLeast"/>
        <w:ind w:left="5663" w:firstLine="709"/>
        <w:jc w:val="center"/>
        <w:rPr>
          <w:lang w:val="uk-UA"/>
        </w:rPr>
      </w:pPr>
      <w:r w:rsidRPr="000B1657">
        <w:rPr>
          <w:lang w:val="uk-UA"/>
        </w:rPr>
        <w:t xml:space="preserve">Таблиця </w:t>
      </w:r>
      <w:r w:rsidR="00AD3C16" w:rsidRPr="000B1657">
        <w:rPr>
          <w:lang w:val="uk-UA"/>
        </w:rPr>
        <w:t>1</w:t>
      </w:r>
      <w:r w:rsidRPr="000B1657">
        <w:rPr>
          <w:lang w:val="uk-UA"/>
        </w:rPr>
        <w:t xml:space="preserve"> (тис. грн.)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438"/>
        <w:gridCol w:w="1070"/>
        <w:gridCol w:w="2236"/>
        <w:gridCol w:w="2081"/>
      </w:tblGrid>
      <w:tr w:rsidR="00C332E8" w:rsidRPr="000B1657" w:rsidTr="005853CC">
        <w:trPr>
          <w:trHeight w:val="1736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2E8" w:rsidRPr="000B1657" w:rsidRDefault="00C332E8" w:rsidP="005853CC">
            <w:pPr>
              <w:jc w:val="center"/>
              <w:rPr>
                <w:color w:val="000000"/>
                <w:lang w:val="uk-UA"/>
              </w:rPr>
            </w:pPr>
            <w:r w:rsidRPr="000B1657">
              <w:rPr>
                <w:color w:val="000000"/>
                <w:lang w:val="uk-UA"/>
              </w:rPr>
              <w:t>Найменування показника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2E8" w:rsidRPr="000B1657" w:rsidRDefault="00C332E8" w:rsidP="005853CC">
            <w:pPr>
              <w:jc w:val="center"/>
              <w:rPr>
                <w:color w:val="000000"/>
                <w:lang w:val="uk-UA"/>
              </w:rPr>
            </w:pPr>
            <w:r w:rsidRPr="000B1657">
              <w:rPr>
                <w:color w:val="000000"/>
                <w:lang w:val="uk-UA"/>
              </w:rPr>
              <w:t>код рядка ФП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2E8" w:rsidRPr="000B1657" w:rsidRDefault="00C332E8" w:rsidP="005853CC">
            <w:pPr>
              <w:jc w:val="center"/>
              <w:rPr>
                <w:color w:val="000000"/>
                <w:lang w:val="uk-UA"/>
              </w:rPr>
            </w:pPr>
            <w:r w:rsidRPr="000B1657">
              <w:rPr>
                <w:iCs/>
                <w:color w:val="000000"/>
                <w:spacing w:val="1"/>
                <w:lang w:val="uk-UA"/>
              </w:rPr>
              <w:t>Діяльність з пошуку та рятування (облік коштів цільового фінансування)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2E8" w:rsidRPr="000B1657" w:rsidRDefault="00C332E8" w:rsidP="005853CC">
            <w:pPr>
              <w:jc w:val="center"/>
              <w:rPr>
                <w:color w:val="000000"/>
              </w:rPr>
            </w:pPr>
            <w:r w:rsidRPr="000B1657">
              <w:rPr>
                <w:lang w:val="uk-UA"/>
              </w:rPr>
              <w:t>Діяльність розрахункового центру та від обслуговування аварійного супутникового обладнання (оподаткована діяльність)</w:t>
            </w:r>
          </w:p>
        </w:tc>
      </w:tr>
      <w:tr w:rsidR="00C332E8" w:rsidRPr="000B1657" w:rsidTr="005853CC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1000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-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CE40EE" w:rsidP="00585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762</w:t>
            </w:r>
          </w:p>
        </w:tc>
      </w:tr>
      <w:tr w:rsidR="00C332E8" w:rsidRPr="000B1657" w:rsidTr="005853CC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1010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lang w:val="uk-UA"/>
              </w:rPr>
            </w:pPr>
            <w:r w:rsidRPr="000B1657">
              <w:t>(</w:t>
            </w:r>
            <w:r w:rsidR="00D848E7">
              <w:rPr>
                <w:lang w:val="uk-UA"/>
              </w:rPr>
              <w:t>93</w:t>
            </w:r>
            <w:r w:rsidRPr="000B1657">
              <w:rPr>
                <w:lang w:val="uk-UA"/>
              </w:rPr>
              <w:t xml:space="preserve"> </w:t>
            </w:r>
            <w:r w:rsidR="00D848E7">
              <w:rPr>
                <w:lang w:val="uk-UA"/>
              </w:rPr>
              <w:t>508</w:t>
            </w:r>
            <w:r w:rsidRPr="000B1657">
              <w:rPr>
                <w:lang w:val="uk-UA"/>
              </w:rPr>
              <w:t>)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(</w:t>
            </w:r>
            <w:r w:rsidR="002D453C">
              <w:rPr>
                <w:lang w:val="uk-UA"/>
              </w:rPr>
              <w:t>42 722</w:t>
            </w:r>
            <w:r w:rsidRPr="000B1657">
              <w:t>)</w:t>
            </w:r>
          </w:p>
        </w:tc>
      </w:tr>
      <w:tr w:rsidR="00C332E8" w:rsidRPr="000B1657" w:rsidTr="005853CC">
        <w:trPr>
          <w:trHeight w:val="31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rPr>
                <w:b/>
                <w:bCs/>
                <w:lang w:val="uk-UA"/>
              </w:rPr>
            </w:pPr>
            <w:r w:rsidRPr="000B1657">
              <w:rPr>
                <w:b/>
                <w:bCs/>
                <w:lang w:val="uk-UA"/>
              </w:rPr>
              <w:t>Валовий прибуток (збиток)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b/>
                <w:bCs/>
              </w:rPr>
            </w:pPr>
            <w:r w:rsidRPr="000B1657">
              <w:rPr>
                <w:b/>
                <w:bCs/>
              </w:rPr>
              <w:t>1020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b/>
                <w:bCs/>
                <w:lang w:val="uk-UA"/>
              </w:rPr>
            </w:pPr>
            <w:r w:rsidRPr="000B1657">
              <w:rPr>
                <w:b/>
                <w:bCs/>
                <w:lang w:val="uk-UA"/>
              </w:rPr>
              <w:t>(</w:t>
            </w:r>
            <w:r w:rsidR="00D848E7">
              <w:rPr>
                <w:b/>
                <w:bCs/>
                <w:lang w:val="uk-UA"/>
              </w:rPr>
              <w:t>93 508</w:t>
            </w:r>
            <w:r w:rsidRPr="000B1657">
              <w:rPr>
                <w:b/>
                <w:bCs/>
                <w:lang w:val="uk-UA"/>
              </w:rPr>
              <w:t>)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2D453C" w:rsidP="005853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(41 960)</w:t>
            </w:r>
          </w:p>
        </w:tc>
      </w:tr>
      <w:tr w:rsidR="00C332E8" w:rsidRPr="000B1657" w:rsidTr="005853CC">
        <w:trPr>
          <w:trHeight w:val="31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lastRenderedPageBreak/>
              <w:t>Адміністративні витрати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1030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lang w:val="en-US"/>
              </w:rPr>
            </w:pPr>
            <w:r w:rsidRPr="000B1657">
              <w:t>(</w:t>
            </w:r>
            <w:r w:rsidR="00D848E7">
              <w:rPr>
                <w:lang w:val="uk-UA"/>
              </w:rPr>
              <w:t>29</w:t>
            </w:r>
            <w:r w:rsidR="000969F1">
              <w:rPr>
                <w:lang w:val="uk-UA"/>
              </w:rPr>
              <w:t xml:space="preserve"> </w:t>
            </w:r>
            <w:r w:rsidR="00D848E7">
              <w:rPr>
                <w:lang w:val="uk-UA"/>
              </w:rPr>
              <w:t>477</w:t>
            </w:r>
            <w:r w:rsidRPr="000B1657">
              <w:t>)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C54BBC" w:rsidP="005853CC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(</w:t>
            </w:r>
            <w:r w:rsidR="002D453C">
              <w:rPr>
                <w:lang w:val="uk-UA"/>
              </w:rPr>
              <w:t>9 051</w:t>
            </w:r>
            <w:r w:rsidRPr="000B1657">
              <w:rPr>
                <w:lang w:val="uk-UA"/>
              </w:rPr>
              <w:t>)</w:t>
            </w:r>
          </w:p>
        </w:tc>
      </w:tr>
      <w:tr w:rsidR="00C332E8" w:rsidRPr="000B1657" w:rsidTr="0038726B">
        <w:trPr>
          <w:trHeight w:val="315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>Інші операційні доходи, усього, у тому числі: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1070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2E8" w:rsidRPr="000B1657" w:rsidRDefault="002C1D39" w:rsidP="00585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126 166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2D453C" w:rsidP="00585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68 635</w:t>
            </w:r>
          </w:p>
        </w:tc>
      </w:tr>
      <w:tr w:rsidR="00C332E8" w:rsidRPr="000B1657" w:rsidTr="00C54BBC">
        <w:trPr>
          <w:trHeight w:val="31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 xml:space="preserve"> -курсові різниці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1071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-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2C1D39" w:rsidP="00585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</w:t>
            </w:r>
          </w:p>
        </w:tc>
      </w:tr>
      <w:tr w:rsidR="00C332E8" w:rsidRPr="000B1657" w:rsidTr="00453557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 xml:space="preserve"> - доходи від безоплатно одержаних оборотних активів, у тому числі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lang w:val="uk-UA"/>
              </w:rPr>
            </w:pPr>
            <w:r w:rsidRPr="000B1657">
              <w:t>1073/</w:t>
            </w:r>
            <w:r w:rsidRPr="000B1657">
              <w:rPr>
                <w:lang w:val="uk-UA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332E8" w:rsidRPr="000B1657" w:rsidRDefault="002C1D39" w:rsidP="00585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126 166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2D453C" w:rsidP="00585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63 144</w:t>
            </w:r>
          </w:p>
        </w:tc>
      </w:tr>
      <w:tr w:rsidR="00C332E8" w:rsidRPr="000B1657" w:rsidTr="00C54BBC">
        <w:trPr>
          <w:trHeight w:val="822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2E8" w:rsidRPr="000B1657" w:rsidRDefault="00C332E8" w:rsidP="00A660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Lines="40" w:before="96" w:afterLines="40" w:after="96" w:line="240" w:lineRule="atLeast"/>
              <w:jc w:val="both"/>
              <w:rPr>
                <w:color w:val="000000"/>
                <w:lang w:val="uk-UA"/>
              </w:rPr>
            </w:pPr>
            <w:r w:rsidRPr="000B1657">
              <w:rPr>
                <w:iCs/>
                <w:color w:val="000000"/>
                <w:spacing w:val="1"/>
                <w:lang w:val="uk-UA"/>
              </w:rPr>
              <w:t>кошт</w:t>
            </w:r>
            <w:r w:rsidR="00A6605A">
              <w:rPr>
                <w:iCs/>
                <w:color w:val="000000"/>
                <w:spacing w:val="1"/>
                <w:lang w:val="uk-UA"/>
              </w:rPr>
              <w:t>и</w:t>
            </w:r>
            <w:r w:rsidRPr="000B1657">
              <w:rPr>
                <w:iCs/>
                <w:color w:val="000000"/>
                <w:spacing w:val="1"/>
                <w:lang w:val="uk-UA"/>
              </w:rPr>
              <w:t xml:space="preserve"> цільового фінансування на функціонування діяльності підприємства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2E8" w:rsidRPr="000B1657" w:rsidRDefault="00C332E8" w:rsidP="005853CC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1073/3/1</w:t>
            </w:r>
          </w:p>
          <w:p w:rsidR="00C332E8" w:rsidRPr="000B1657" w:rsidRDefault="00C332E8" w:rsidP="005853CC">
            <w:pPr>
              <w:jc w:val="center"/>
              <w:rPr>
                <w:lang w:val="uk-U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332E8" w:rsidRPr="000B1657" w:rsidRDefault="002C1D39" w:rsidP="00585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126 166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E8" w:rsidRPr="000B1657" w:rsidRDefault="00C332E8" w:rsidP="005853CC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-</w:t>
            </w:r>
          </w:p>
        </w:tc>
      </w:tr>
      <w:tr w:rsidR="00C332E8" w:rsidRPr="000B1657" w:rsidTr="00C54BBC">
        <w:trPr>
          <w:trHeight w:val="63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 xml:space="preserve"> - проценти банку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2E8" w:rsidRPr="000B1657" w:rsidRDefault="00C332E8" w:rsidP="005853CC">
            <w:pPr>
              <w:jc w:val="center"/>
            </w:pPr>
            <w:r w:rsidRPr="000B1657">
              <w:t>1073/2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2E8" w:rsidRPr="000B1657" w:rsidRDefault="00C332E8" w:rsidP="005853CC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E8" w:rsidRPr="000B1657" w:rsidRDefault="002D453C" w:rsidP="00585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4243</w:t>
            </w:r>
          </w:p>
        </w:tc>
      </w:tr>
      <w:tr w:rsidR="00C332E8" w:rsidRPr="000B1657" w:rsidTr="00C54BBC">
        <w:trPr>
          <w:trHeight w:val="35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>.- інші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2E8" w:rsidRPr="000B1657" w:rsidRDefault="00C332E8" w:rsidP="005853CC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2E8" w:rsidRPr="000B1657" w:rsidRDefault="00C332E8" w:rsidP="005853CC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E8" w:rsidRPr="000B1657" w:rsidRDefault="002C1D39" w:rsidP="00585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1 05</w:t>
            </w:r>
            <w:r w:rsidR="002D453C">
              <w:rPr>
                <w:lang w:val="uk-UA"/>
              </w:rPr>
              <w:t>2</w:t>
            </w:r>
          </w:p>
        </w:tc>
      </w:tr>
      <w:tr w:rsidR="00C332E8" w:rsidRPr="000B1657" w:rsidTr="00C54BBC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>Інші операційні витрати, усього, у тому числі: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1080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(</w:t>
            </w:r>
            <w:r w:rsidR="00D848E7">
              <w:rPr>
                <w:lang w:val="uk-UA"/>
              </w:rPr>
              <w:t>11</w:t>
            </w:r>
            <w:r w:rsidRPr="000B1657">
              <w:rPr>
                <w:lang w:val="uk-UA"/>
              </w:rPr>
              <w:t xml:space="preserve"> </w:t>
            </w:r>
            <w:r w:rsidR="000969F1">
              <w:rPr>
                <w:lang w:val="uk-UA"/>
              </w:rPr>
              <w:t>0</w:t>
            </w:r>
            <w:r w:rsidR="00D848E7">
              <w:rPr>
                <w:lang w:val="uk-UA"/>
              </w:rPr>
              <w:t>40</w:t>
            </w:r>
            <w:r w:rsidRPr="000B1657">
              <w:t>)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(</w:t>
            </w:r>
            <w:r w:rsidR="00C54BBC" w:rsidRPr="000B1657">
              <w:rPr>
                <w:lang w:val="uk-UA"/>
              </w:rPr>
              <w:t>2</w:t>
            </w:r>
            <w:r w:rsidR="002D453C">
              <w:rPr>
                <w:lang w:val="uk-UA"/>
              </w:rPr>
              <w:t xml:space="preserve"> 260</w:t>
            </w:r>
            <w:r w:rsidRPr="000B1657">
              <w:t>)</w:t>
            </w:r>
          </w:p>
        </w:tc>
      </w:tr>
      <w:tr w:rsidR="00C332E8" w:rsidRPr="000B1657" w:rsidTr="00C54BBC">
        <w:trPr>
          <w:trHeight w:val="31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 xml:space="preserve"> -курсові різниці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1081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-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(</w:t>
            </w:r>
            <w:r w:rsidR="002D453C">
              <w:rPr>
                <w:lang w:val="uk-UA"/>
              </w:rPr>
              <w:t>160</w:t>
            </w:r>
            <w:r w:rsidRPr="000B1657">
              <w:t>)</w:t>
            </w:r>
          </w:p>
        </w:tc>
      </w:tr>
      <w:tr w:rsidR="00C332E8" w:rsidRPr="000B1657" w:rsidTr="00C54BBC">
        <w:trPr>
          <w:trHeight w:val="302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 xml:space="preserve"> -інші операційні витрати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1086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32E8" w:rsidRPr="000B1657" w:rsidRDefault="00C332E8" w:rsidP="005853CC">
            <w:pPr>
              <w:jc w:val="center"/>
            </w:pPr>
            <w:r w:rsidRPr="000B1657">
              <w:rPr>
                <w:lang w:val="uk-UA"/>
              </w:rPr>
              <w:t>(</w:t>
            </w:r>
            <w:r w:rsidR="00D848E7">
              <w:rPr>
                <w:lang w:val="uk-UA"/>
              </w:rPr>
              <w:t>11</w:t>
            </w:r>
            <w:r w:rsidRPr="000B1657">
              <w:t xml:space="preserve"> </w:t>
            </w:r>
            <w:r w:rsidR="00D848E7">
              <w:rPr>
                <w:lang w:val="uk-UA"/>
              </w:rPr>
              <w:t>040</w:t>
            </w:r>
            <w:r w:rsidRPr="000B1657">
              <w:t>)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(</w:t>
            </w:r>
            <w:r w:rsidR="002D453C">
              <w:rPr>
                <w:lang w:val="uk-UA"/>
              </w:rPr>
              <w:t xml:space="preserve">2 </w:t>
            </w:r>
            <w:r w:rsidR="00C54BBC" w:rsidRPr="000B1657">
              <w:rPr>
                <w:lang w:val="uk-UA"/>
              </w:rPr>
              <w:t>1</w:t>
            </w:r>
            <w:r w:rsidR="002D453C">
              <w:rPr>
                <w:lang w:val="uk-UA"/>
              </w:rPr>
              <w:t>0</w:t>
            </w:r>
            <w:r w:rsidR="00C54BBC" w:rsidRPr="000B1657">
              <w:rPr>
                <w:lang w:val="uk-UA"/>
              </w:rPr>
              <w:t>0</w:t>
            </w:r>
            <w:r w:rsidRPr="000B1657">
              <w:rPr>
                <w:lang w:val="uk-UA"/>
              </w:rPr>
              <w:t>)</w:t>
            </w:r>
          </w:p>
        </w:tc>
      </w:tr>
      <w:tr w:rsidR="00C332E8" w:rsidRPr="000B1657" w:rsidTr="00C54BBC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rPr>
                <w:b/>
                <w:bCs/>
                <w:lang w:val="uk-UA"/>
              </w:rPr>
            </w:pPr>
            <w:r w:rsidRPr="000B1657">
              <w:rPr>
                <w:b/>
                <w:bCs/>
                <w:lang w:val="uk-UA"/>
              </w:rPr>
              <w:t>Фінансовий результат від операційної діяльності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b/>
                <w:bCs/>
              </w:rPr>
            </w:pPr>
            <w:r w:rsidRPr="000B1657">
              <w:rPr>
                <w:b/>
                <w:bCs/>
              </w:rPr>
              <w:t>1100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AB5BC1" w:rsidP="005853CC">
            <w:pPr>
              <w:jc w:val="center"/>
              <w:rPr>
                <w:b/>
                <w:bCs/>
                <w:lang w:val="uk-UA"/>
              </w:rPr>
            </w:pPr>
            <w:r w:rsidRPr="000B1657">
              <w:rPr>
                <w:b/>
                <w:bCs/>
                <w:lang w:val="uk-UA"/>
              </w:rPr>
              <w:t>(</w:t>
            </w:r>
            <w:r w:rsidR="00FE25CC">
              <w:rPr>
                <w:b/>
                <w:bCs/>
                <w:lang w:val="uk-UA"/>
              </w:rPr>
              <w:t>7</w:t>
            </w:r>
            <w:r w:rsidRPr="000B1657">
              <w:rPr>
                <w:b/>
                <w:bCs/>
                <w:lang w:val="uk-UA"/>
              </w:rPr>
              <w:t xml:space="preserve"> </w:t>
            </w:r>
            <w:r w:rsidR="00FE25CC">
              <w:rPr>
                <w:b/>
                <w:bCs/>
                <w:lang w:val="uk-UA"/>
              </w:rPr>
              <w:t>859</w:t>
            </w:r>
            <w:r w:rsidR="00C332E8" w:rsidRPr="000B1657">
              <w:rPr>
                <w:b/>
                <w:bCs/>
                <w:lang w:val="uk-UA"/>
              </w:rPr>
              <w:t>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E8" w:rsidRPr="000B1657" w:rsidRDefault="002D453C" w:rsidP="005853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15364</w:t>
            </w:r>
          </w:p>
        </w:tc>
      </w:tr>
      <w:tr w:rsidR="00C332E8" w:rsidRPr="000B1657" w:rsidTr="00C54BBC">
        <w:trPr>
          <w:trHeight w:val="315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>Інші доходи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1150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2E8" w:rsidRPr="000B1657" w:rsidRDefault="00FE25CC" w:rsidP="00585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7 859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2E8" w:rsidRPr="000B1657" w:rsidRDefault="002D453C" w:rsidP="00585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1 502</w:t>
            </w:r>
          </w:p>
        </w:tc>
      </w:tr>
      <w:tr w:rsidR="00C332E8" w:rsidRPr="000B1657" w:rsidTr="005853CC">
        <w:trPr>
          <w:trHeight w:val="315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>Інші витрати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1160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lang w:val="uk-UA"/>
              </w:rPr>
            </w:pPr>
            <w:r w:rsidRPr="000B1657">
              <w:rPr>
                <w:lang w:val="uk-UA"/>
              </w:rPr>
              <w:t>-</w:t>
            </w:r>
          </w:p>
        </w:tc>
      </w:tr>
      <w:tr w:rsidR="00C332E8" w:rsidRPr="000B1657" w:rsidTr="005853CC">
        <w:trPr>
          <w:trHeight w:val="31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rPr>
                <w:b/>
                <w:bCs/>
                <w:lang w:val="uk-UA"/>
              </w:rPr>
            </w:pPr>
            <w:r w:rsidRPr="000B1657">
              <w:rPr>
                <w:b/>
                <w:bCs/>
                <w:lang w:val="uk-UA"/>
              </w:rPr>
              <w:t>Фінансовий результат до оподаткування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b/>
                <w:bCs/>
              </w:rPr>
            </w:pPr>
            <w:r w:rsidRPr="000B1657">
              <w:rPr>
                <w:b/>
                <w:bCs/>
              </w:rPr>
              <w:t>1170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2E8" w:rsidRPr="000B1657" w:rsidRDefault="002D453C" w:rsidP="005853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16 866</w:t>
            </w:r>
          </w:p>
        </w:tc>
      </w:tr>
      <w:tr w:rsidR="00C332E8" w:rsidRPr="000B1657" w:rsidTr="005853CC">
        <w:trPr>
          <w:trHeight w:val="31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>Витрати з податку на прибуток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1180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(</w:t>
            </w:r>
            <w:r w:rsidR="002D453C">
              <w:rPr>
                <w:lang w:val="uk-UA"/>
              </w:rPr>
              <w:t>3 326</w:t>
            </w:r>
            <w:r w:rsidRPr="000B1657">
              <w:t>)</w:t>
            </w:r>
          </w:p>
        </w:tc>
      </w:tr>
      <w:tr w:rsidR="00C332E8" w:rsidRPr="000B1657" w:rsidTr="00C00E58">
        <w:trPr>
          <w:trHeight w:val="63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rPr>
                <w:b/>
                <w:bCs/>
                <w:lang w:val="uk-UA"/>
              </w:rPr>
            </w:pPr>
            <w:r w:rsidRPr="000B1657">
              <w:rPr>
                <w:b/>
                <w:bCs/>
                <w:lang w:val="uk-UA"/>
              </w:rPr>
              <w:t>Чистий фінансовий результат, у тому числі: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  <w:rPr>
                <w:b/>
                <w:bCs/>
              </w:rPr>
            </w:pPr>
            <w:r w:rsidRPr="000B1657">
              <w:rPr>
                <w:b/>
                <w:bCs/>
              </w:rPr>
              <w:t>1200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2E8" w:rsidRPr="00D827C2" w:rsidRDefault="002D453C" w:rsidP="005853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13 540</w:t>
            </w:r>
          </w:p>
        </w:tc>
      </w:tr>
      <w:tr w:rsidR="00C332E8" w:rsidRPr="00644171" w:rsidTr="005853CC">
        <w:trPr>
          <w:trHeight w:val="31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0B1657" w:rsidRDefault="00C332E8" w:rsidP="005853CC">
            <w:pPr>
              <w:rPr>
                <w:lang w:val="uk-UA"/>
              </w:rPr>
            </w:pPr>
            <w:r w:rsidRPr="000B1657">
              <w:rPr>
                <w:lang w:val="uk-UA"/>
              </w:rPr>
              <w:t>прибуток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8" w:rsidRPr="000B1657" w:rsidRDefault="00C332E8" w:rsidP="005853CC">
            <w:pPr>
              <w:jc w:val="center"/>
            </w:pPr>
            <w:r w:rsidRPr="000B1657">
              <w:t>1201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2E8" w:rsidRPr="00644171" w:rsidRDefault="002D453C" w:rsidP="005853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13 540</w:t>
            </w:r>
          </w:p>
        </w:tc>
      </w:tr>
      <w:tr w:rsidR="00C332E8" w:rsidRPr="0038726B" w:rsidTr="005853CC">
        <w:trPr>
          <w:trHeight w:val="31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2E8" w:rsidRPr="00644171" w:rsidRDefault="00C332E8" w:rsidP="005853CC">
            <w:pPr>
              <w:rPr>
                <w:lang w:val="uk-UA"/>
              </w:rPr>
            </w:pPr>
            <w:r w:rsidRPr="00644171">
              <w:rPr>
                <w:lang w:val="uk-UA"/>
              </w:rPr>
              <w:t>збиток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8" w:rsidRPr="00644171" w:rsidRDefault="00C332E8" w:rsidP="005853CC">
            <w:pPr>
              <w:jc w:val="center"/>
            </w:pPr>
            <w:r w:rsidRPr="00644171">
              <w:t>1202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2E8" w:rsidRPr="0038726B" w:rsidRDefault="00C332E8" w:rsidP="005853CC">
            <w:pPr>
              <w:jc w:val="center"/>
              <w:rPr>
                <w:lang w:val="uk-UA"/>
              </w:rPr>
            </w:pPr>
            <w:r w:rsidRPr="00644171">
              <w:t> </w:t>
            </w:r>
            <w:r w:rsidRPr="00644171">
              <w:rPr>
                <w:lang w:val="uk-UA"/>
              </w:rPr>
              <w:t>-</w:t>
            </w:r>
          </w:p>
        </w:tc>
      </w:tr>
    </w:tbl>
    <w:p w:rsidR="00C332E8" w:rsidRDefault="00C332E8" w:rsidP="00C332E8">
      <w:pPr>
        <w:spacing w:line="240" w:lineRule="atLeast"/>
        <w:rPr>
          <w:lang w:val="uk-UA"/>
        </w:rPr>
      </w:pPr>
    </w:p>
    <w:p w:rsidR="00233C2D" w:rsidRPr="0038726B" w:rsidRDefault="00233C2D" w:rsidP="00C332E8">
      <w:pPr>
        <w:spacing w:line="240" w:lineRule="atLeast"/>
        <w:rPr>
          <w:lang w:val="uk-UA"/>
        </w:rPr>
      </w:pPr>
    </w:p>
    <w:p w:rsidR="00A300F8" w:rsidRPr="0038726B" w:rsidRDefault="002E501E" w:rsidP="001564E1">
      <w:pPr>
        <w:ind w:firstLine="708"/>
        <w:jc w:val="both"/>
        <w:rPr>
          <w:b/>
          <w:color w:val="000000"/>
          <w:lang w:val="uk-UA"/>
        </w:rPr>
      </w:pPr>
      <w:r w:rsidRPr="0038726B">
        <w:rPr>
          <w:b/>
          <w:color w:val="000000"/>
          <w:lang w:val="uk-UA"/>
        </w:rPr>
        <w:t xml:space="preserve"> </w:t>
      </w:r>
      <w:r w:rsidR="00A61C10" w:rsidRPr="0038726B">
        <w:rPr>
          <w:b/>
          <w:color w:val="000000"/>
          <w:lang w:val="uk-UA"/>
        </w:rPr>
        <w:t xml:space="preserve">Оподаткована діяльність </w:t>
      </w:r>
      <w:r w:rsidR="00A300F8" w:rsidRPr="0038726B">
        <w:rPr>
          <w:b/>
          <w:color w:val="000000"/>
          <w:lang w:val="uk-UA"/>
        </w:rPr>
        <w:t>2017 ро</w:t>
      </w:r>
      <w:r w:rsidR="002C1D39">
        <w:rPr>
          <w:b/>
          <w:color w:val="000000"/>
          <w:lang w:val="uk-UA"/>
        </w:rPr>
        <w:t>ці</w:t>
      </w:r>
    </w:p>
    <w:p w:rsidR="00A300F8" w:rsidRPr="0038726B" w:rsidRDefault="00A300F8" w:rsidP="001564E1">
      <w:pPr>
        <w:ind w:firstLine="708"/>
        <w:jc w:val="both"/>
        <w:rPr>
          <w:b/>
          <w:color w:val="000000"/>
          <w:lang w:val="uk-UA"/>
        </w:rPr>
      </w:pPr>
    </w:p>
    <w:p w:rsidR="00934214" w:rsidRPr="00C54BBC" w:rsidRDefault="00CE7D02" w:rsidP="001564E1">
      <w:pPr>
        <w:ind w:firstLine="708"/>
        <w:jc w:val="both"/>
        <w:rPr>
          <w:color w:val="000000"/>
          <w:lang w:val="uk-UA"/>
        </w:rPr>
      </w:pPr>
      <w:r w:rsidRPr="00C54BBC">
        <w:rPr>
          <w:color w:val="000000"/>
          <w:lang w:val="uk-UA"/>
        </w:rPr>
        <w:t>За</w:t>
      </w:r>
      <w:r w:rsidR="00934214" w:rsidRPr="00C54BBC">
        <w:rPr>
          <w:color w:val="000000"/>
          <w:lang w:val="uk-UA"/>
        </w:rPr>
        <w:t xml:space="preserve"> </w:t>
      </w:r>
      <w:r w:rsidR="005853CC" w:rsidRPr="00C54BBC">
        <w:rPr>
          <w:color w:val="000000"/>
          <w:lang w:val="uk-UA"/>
        </w:rPr>
        <w:t xml:space="preserve">результатами діяльності у </w:t>
      </w:r>
      <w:r w:rsidRPr="00C54BBC">
        <w:rPr>
          <w:color w:val="000000"/>
          <w:lang w:val="uk-UA"/>
        </w:rPr>
        <w:t>201</w:t>
      </w:r>
      <w:r w:rsidR="00934214" w:rsidRPr="00C54BBC">
        <w:rPr>
          <w:color w:val="000000"/>
          <w:lang w:val="uk-UA"/>
        </w:rPr>
        <w:t>7</w:t>
      </w:r>
      <w:r w:rsidRPr="00C54BBC">
        <w:rPr>
          <w:color w:val="000000"/>
          <w:lang w:val="uk-UA"/>
        </w:rPr>
        <w:t xml:space="preserve"> р</w:t>
      </w:r>
      <w:r w:rsidR="00934214" w:rsidRPr="00C54BBC">
        <w:rPr>
          <w:color w:val="000000"/>
          <w:lang w:val="uk-UA"/>
        </w:rPr>
        <w:t>о</w:t>
      </w:r>
      <w:r w:rsidR="002C1D39">
        <w:rPr>
          <w:color w:val="000000"/>
          <w:lang w:val="uk-UA"/>
        </w:rPr>
        <w:t>ці</w:t>
      </w:r>
      <w:r w:rsidRPr="00C54BBC">
        <w:rPr>
          <w:color w:val="000000"/>
          <w:lang w:val="uk-UA"/>
        </w:rPr>
        <w:t xml:space="preserve"> доходи від </w:t>
      </w:r>
      <w:r w:rsidR="00F838C6" w:rsidRPr="00C54BBC">
        <w:rPr>
          <w:color w:val="000000"/>
          <w:lang w:val="uk-UA"/>
        </w:rPr>
        <w:t>надання послуг з обслуговування аварійного супутникового обладнання</w:t>
      </w:r>
      <w:r w:rsidRPr="00C54BBC">
        <w:rPr>
          <w:color w:val="000000"/>
          <w:lang w:val="uk-UA"/>
        </w:rPr>
        <w:t xml:space="preserve"> </w:t>
      </w:r>
      <w:r w:rsidR="00F838C6" w:rsidRPr="00C54BBC">
        <w:rPr>
          <w:color w:val="000000"/>
          <w:lang w:val="uk-UA"/>
        </w:rPr>
        <w:t xml:space="preserve">та розрахункового центру </w:t>
      </w:r>
      <w:r w:rsidRPr="00C54BBC">
        <w:rPr>
          <w:color w:val="000000"/>
          <w:lang w:val="uk-UA"/>
        </w:rPr>
        <w:t xml:space="preserve">склали </w:t>
      </w:r>
      <w:r w:rsidR="002C1D39">
        <w:rPr>
          <w:color w:val="000000"/>
          <w:lang w:val="uk-UA"/>
        </w:rPr>
        <w:t>762</w:t>
      </w:r>
      <w:r w:rsidRPr="00C54BBC">
        <w:rPr>
          <w:color w:val="000000"/>
          <w:lang w:val="uk-UA"/>
        </w:rPr>
        <w:t xml:space="preserve"> тис.</w:t>
      </w:r>
      <w:r w:rsidR="00B81F27" w:rsidRPr="00C54BBC">
        <w:rPr>
          <w:color w:val="000000"/>
          <w:lang w:val="uk-UA"/>
        </w:rPr>
        <w:t xml:space="preserve"> </w:t>
      </w:r>
      <w:r w:rsidRPr="00C54BBC">
        <w:rPr>
          <w:color w:val="000000"/>
          <w:lang w:val="uk-UA"/>
        </w:rPr>
        <w:t>грн.</w:t>
      </w:r>
      <w:r w:rsidR="00A61C10" w:rsidRPr="00C54BBC">
        <w:rPr>
          <w:color w:val="000000"/>
          <w:lang w:val="uk-UA"/>
        </w:rPr>
        <w:t xml:space="preserve">, що </w:t>
      </w:r>
      <w:r w:rsidR="00BD6BDD" w:rsidRPr="00C54BBC">
        <w:rPr>
          <w:color w:val="000000"/>
          <w:lang w:val="uk-UA"/>
        </w:rPr>
        <w:t>є</w:t>
      </w:r>
      <w:r w:rsidR="00A61C10" w:rsidRPr="00C54BBC">
        <w:rPr>
          <w:color w:val="000000"/>
          <w:lang w:val="uk-UA"/>
        </w:rPr>
        <w:t xml:space="preserve"> </w:t>
      </w:r>
      <w:r w:rsidR="002C1D39">
        <w:rPr>
          <w:color w:val="000000"/>
          <w:lang w:val="uk-UA"/>
        </w:rPr>
        <w:t>101</w:t>
      </w:r>
      <w:r w:rsidR="00BD6BDD" w:rsidRPr="00C54BBC">
        <w:rPr>
          <w:color w:val="000000"/>
          <w:lang w:val="uk-UA"/>
        </w:rPr>
        <w:t>,</w:t>
      </w:r>
      <w:r w:rsidR="00742C3C" w:rsidRPr="00C54BBC">
        <w:rPr>
          <w:color w:val="000000"/>
          <w:lang w:val="uk-UA"/>
        </w:rPr>
        <w:t>1</w:t>
      </w:r>
      <w:r w:rsidR="00A61C10" w:rsidRPr="00C54BBC">
        <w:rPr>
          <w:color w:val="000000"/>
          <w:lang w:val="uk-UA"/>
        </w:rPr>
        <w:t xml:space="preserve">% </w:t>
      </w:r>
      <w:r w:rsidR="00BD6BDD" w:rsidRPr="00C54BBC">
        <w:rPr>
          <w:color w:val="000000"/>
          <w:lang w:val="uk-UA"/>
        </w:rPr>
        <w:t>від планового</w:t>
      </w:r>
      <w:r w:rsidR="00A61C10" w:rsidRPr="00C54BBC">
        <w:rPr>
          <w:color w:val="000000"/>
          <w:lang w:val="uk-UA"/>
        </w:rPr>
        <w:t xml:space="preserve"> показник</w:t>
      </w:r>
      <w:r w:rsidR="00BD6BDD" w:rsidRPr="00C54BBC">
        <w:rPr>
          <w:color w:val="000000"/>
          <w:lang w:val="uk-UA"/>
        </w:rPr>
        <w:t>а</w:t>
      </w:r>
      <w:r w:rsidR="00A61C10" w:rsidRPr="00C54BBC">
        <w:rPr>
          <w:color w:val="000000"/>
          <w:lang w:val="uk-UA"/>
        </w:rPr>
        <w:t xml:space="preserve">. </w:t>
      </w:r>
      <w:r w:rsidR="00F838C6" w:rsidRPr="00C54BBC">
        <w:rPr>
          <w:color w:val="000000"/>
          <w:lang w:val="uk-UA"/>
        </w:rPr>
        <w:t xml:space="preserve"> </w:t>
      </w:r>
    </w:p>
    <w:p w:rsidR="00272C69" w:rsidRPr="00C54BBC" w:rsidRDefault="00272C69" w:rsidP="001564E1">
      <w:pPr>
        <w:ind w:firstLine="708"/>
        <w:jc w:val="both"/>
        <w:rPr>
          <w:color w:val="000000"/>
          <w:lang w:val="uk-UA"/>
        </w:rPr>
      </w:pPr>
      <w:r w:rsidRPr="00C54BBC">
        <w:rPr>
          <w:color w:val="000000"/>
          <w:lang w:val="uk-UA"/>
        </w:rPr>
        <w:t xml:space="preserve">Також доходами оподаткованої діяльності </w:t>
      </w:r>
      <w:r w:rsidR="002C1D39">
        <w:rPr>
          <w:color w:val="000000"/>
          <w:lang w:val="uk-UA"/>
        </w:rPr>
        <w:t>за</w:t>
      </w:r>
      <w:r w:rsidR="002C1D39" w:rsidRPr="002C1D39">
        <w:rPr>
          <w:color w:val="000000"/>
        </w:rPr>
        <w:t xml:space="preserve"> 2017 </w:t>
      </w:r>
      <w:r w:rsidR="002C1D39">
        <w:rPr>
          <w:color w:val="000000"/>
          <w:lang w:val="uk-UA"/>
        </w:rPr>
        <w:t>рік є</w:t>
      </w:r>
      <w:r w:rsidRPr="00C54BBC">
        <w:rPr>
          <w:color w:val="000000"/>
          <w:lang w:val="uk-UA"/>
        </w:rPr>
        <w:t>:</w:t>
      </w:r>
    </w:p>
    <w:p w:rsidR="00272C69" w:rsidRPr="00C54BBC" w:rsidRDefault="00272C69" w:rsidP="00272C69">
      <w:pPr>
        <w:pStyle w:val="ab"/>
        <w:numPr>
          <w:ilvl w:val="0"/>
          <w:numId w:val="12"/>
        </w:numPr>
        <w:jc w:val="both"/>
        <w:rPr>
          <w:color w:val="000000"/>
          <w:lang w:val="uk-UA"/>
        </w:rPr>
      </w:pPr>
      <w:r w:rsidRPr="00C54BBC">
        <w:rPr>
          <w:color w:val="000000"/>
          <w:lang w:val="uk-UA"/>
        </w:rPr>
        <w:t>Інші операційні доходи (</w:t>
      </w:r>
      <w:r w:rsidR="002C1D39">
        <w:rPr>
          <w:color w:val="000000"/>
          <w:lang w:val="uk-UA"/>
        </w:rPr>
        <w:t>68 636</w:t>
      </w:r>
      <w:r w:rsidRPr="00C54BBC">
        <w:rPr>
          <w:color w:val="000000"/>
          <w:lang w:val="uk-UA"/>
        </w:rPr>
        <w:t xml:space="preserve"> тис.</w:t>
      </w:r>
      <w:r w:rsidR="00B81F27" w:rsidRPr="00C54BBC">
        <w:rPr>
          <w:color w:val="000000"/>
          <w:lang w:val="uk-UA"/>
        </w:rPr>
        <w:t xml:space="preserve"> </w:t>
      </w:r>
      <w:r w:rsidRPr="00C54BBC">
        <w:rPr>
          <w:color w:val="000000"/>
          <w:lang w:val="uk-UA"/>
        </w:rPr>
        <w:t>грн), що складаються з доходу від курсових різниць та реалізації валюти (</w:t>
      </w:r>
      <w:r w:rsidR="002C1D39">
        <w:rPr>
          <w:color w:val="000000"/>
          <w:lang w:val="uk-UA"/>
        </w:rPr>
        <w:t>196</w:t>
      </w:r>
      <w:r w:rsidR="00290299" w:rsidRPr="00C54BBC">
        <w:rPr>
          <w:color w:val="000000"/>
          <w:lang w:val="uk-UA"/>
        </w:rPr>
        <w:t xml:space="preserve"> </w:t>
      </w:r>
      <w:r w:rsidRPr="00C54BBC">
        <w:rPr>
          <w:color w:val="000000"/>
          <w:lang w:val="uk-UA"/>
        </w:rPr>
        <w:t xml:space="preserve">тис грн.), </w:t>
      </w:r>
      <w:r w:rsidR="00C86C58" w:rsidRPr="00C54BBC">
        <w:rPr>
          <w:color w:val="000000"/>
          <w:lang w:val="uk-UA"/>
        </w:rPr>
        <w:t xml:space="preserve">отриманих </w:t>
      </w:r>
      <w:r w:rsidRPr="00C54BBC">
        <w:rPr>
          <w:color w:val="000000"/>
          <w:lang w:val="uk-UA"/>
        </w:rPr>
        <w:t>процентів банку (</w:t>
      </w:r>
      <w:r w:rsidR="00F449FD">
        <w:rPr>
          <w:color w:val="000000"/>
          <w:lang w:val="uk-UA"/>
        </w:rPr>
        <w:t>4243</w:t>
      </w:r>
      <w:r w:rsidRPr="00C54BBC">
        <w:rPr>
          <w:color w:val="000000"/>
          <w:lang w:val="uk-UA"/>
        </w:rPr>
        <w:t xml:space="preserve"> тис. грн), </w:t>
      </w:r>
      <w:r w:rsidR="00290299" w:rsidRPr="00C54BBC">
        <w:rPr>
          <w:color w:val="000000"/>
          <w:lang w:val="uk-UA"/>
        </w:rPr>
        <w:t>штрафів за невиконання умов договорів</w:t>
      </w:r>
      <w:r w:rsidRPr="00C54BBC">
        <w:rPr>
          <w:color w:val="000000"/>
          <w:lang w:val="uk-UA"/>
        </w:rPr>
        <w:t xml:space="preserve"> (</w:t>
      </w:r>
      <w:r w:rsidR="002C1D39">
        <w:rPr>
          <w:color w:val="000000"/>
          <w:lang w:val="uk-UA"/>
        </w:rPr>
        <w:t>946</w:t>
      </w:r>
      <w:r w:rsidR="00A450BB" w:rsidRPr="00C54BBC">
        <w:rPr>
          <w:color w:val="000000"/>
          <w:lang w:val="uk-UA"/>
        </w:rPr>
        <w:t xml:space="preserve"> тис. грн.);</w:t>
      </w:r>
      <w:r w:rsidRPr="00C54BBC">
        <w:rPr>
          <w:color w:val="000000"/>
          <w:lang w:val="uk-UA"/>
        </w:rPr>
        <w:t xml:space="preserve"> </w:t>
      </w:r>
      <w:r w:rsidR="00F449FD">
        <w:rPr>
          <w:color w:val="000000"/>
          <w:lang w:val="uk-UA"/>
        </w:rPr>
        <w:t>63144 тис грн – доходи від безоплатно одержаних оборотних активів;</w:t>
      </w:r>
    </w:p>
    <w:p w:rsidR="00C86C58" w:rsidRPr="00C54BBC" w:rsidRDefault="00A450BB" w:rsidP="00272C69">
      <w:pPr>
        <w:pStyle w:val="ab"/>
        <w:numPr>
          <w:ilvl w:val="0"/>
          <w:numId w:val="12"/>
        </w:numPr>
        <w:jc w:val="both"/>
        <w:rPr>
          <w:color w:val="000000"/>
          <w:lang w:val="uk-UA"/>
        </w:rPr>
      </w:pPr>
      <w:r w:rsidRPr="00C54BBC">
        <w:rPr>
          <w:color w:val="000000"/>
          <w:lang w:val="uk-UA"/>
        </w:rPr>
        <w:t>Інші доходи (</w:t>
      </w:r>
      <w:r w:rsidR="00F449FD">
        <w:rPr>
          <w:color w:val="000000"/>
          <w:lang w:val="uk-UA"/>
        </w:rPr>
        <w:t>1502</w:t>
      </w:r>
      <w:r w:rsidR="00C86C58" w:rsidRPr="00C54BBC">
        <w:rPr>
          <w:color w:val="000000"/>
          <w:lang w:val="uk-UA"/>
        </w:rPr>
        <w:t xml:space="preserve"> тис. грн)</w:t>
      </w:r>
      <w:r w:rsidR="00024D03">
        <w:rPr>
          <w:color w:val="000000"/>
          <w:lang w:val="uk-UA"/>
        </w:rPr>
        <w:t xml:space="preserve">, що складаються з </w:t>
      </w:r>
      <w:r w:rsidRPr="00C54BBC">
        <w:rPr>
          <w:color w:val="000000"/>
          <w:lang w:val="uk-UA"/>
        </w:rPr>
        <w:t>доход</w:t>
      </w:r>
      <w:r w:rsidR="00024D03">
        <w:rPr>
          <w:color w:val="000000"/>
          <w:lang w:val="uk-UA"/>
        </w:rPr>
        <w:t>ів</w:t>
      </w:r>
      <w:r w:rsidRPr="00C54BBC">
        <w:rPr>
          <w:color w:val="000000"/>
          <w:lang w:val="uk-UA"/>
        </w:rPr>
        <w:t xml:space="preserve"> від реалізації металобрухту</w:t>
      </w:r>
      <w:r w:rsidR="00F449FD">
        <w:rPr>
          <w:color w:val="000000"/>
          <w:lang w:val="uk-UA"/>
        </w:rPr>
        <w:t xml:space="preserve"> (147,</w:t>
      </w:r>
      <w:r w:rsidR="00024D03">
        <w:rPr>
          <w:color w:val="000000"/>
          <w:lang w:val="uk-UA"/>
        </w:rPr>
        <w:t>8</w:t>
      </w:r>
      <w:r w:rsidR="00F449FD">
        <w:rPr>
          <w:color w:val="000000"/>
          <w:lang w:val="uk-UA"/>
        </w:rPr>
        <w:t xml:space="preserve"> тис грн.)</w:t>
      </w:r>
      <w:r w:rsidR="00024D03">
        <w:rPr>
          <w:color w:val="000000"/>
          <w:lang w:val="uk-UA"/>
        </w:rPr>
        <w:t>; доходу від безоплатно отриманих активів (1354,2 тис грн).</w:t>
      </w:r>
      <w:r w:rsidR="00C86C58" w:rsidRPr="00C54BBC">
        <w:rPr>
          <w:color w:val="000000"/>
          <w:lang w:val="uk-UA"/>
        </w:rPr>
        <w:t xml:space="preserve"> </w:t>
      </w:r>
    </w:p>
    <w:p w:rsidR="00C92079" w:rsidRPr="00576F79" w:rsidRDefault="006E6CA7" w:rsidP="00024D03">
      <w:pPr>
        <w:ind w:firstLine="708"/>
        <w:jc w:val="both"/>
        <w:rPr>
          <w:color w:val="000000"/>
          <w:lang w:val="uk-UA"/>
        </w:rPr>
      </w:pPr>
      <w:r w:rsidRPr="00576F79">
        <w:rPr>
          <w:color w:val="000000"/>
          <w:lang w:val="uk-UA"/>
        </w:rPr>
        <w:t xml:space="preserve">Витрати оподаткованої діяльності </w:t>
      </w:r>
      <w:r w:rsidR="002C1D39" w:rsidRPr="00576F79">
        <w:rPr>
          <w:color w:val="000000"/>
          <w:lang w:val="uk-UA"/>
        </w:rPr>
        <w:t xml:space="preserve">за 2017 рік </w:t>
      </w:r>
      <w:r w:rsidRPr="00576F79">
        <w:rPr>
          <w:color w:val="000000"/>
          <w:lang w:val="uk-UA"/>
        </w:rPr>
        <w:t xml:space="preserve">складають </w:t>
      </w:r>
      <w:r w:rsidR="00024D03" w:rsidRPr="00576F79">
        <w:rPr>
          <w:color w:val="000000"/>
          <w:lang w:val="uk-UA"/>
        </w:rPr>
        <w:t>54033</w:t>
      </w:r>
      <w:r w:rsidRPr="00576F79">
        <w:rPr>
          <w:color w:val="000000"/>
          <w:lang w:val="uk-UA"/>
        </w:rPr>
        <w:t xml:space="preserve"> тис грн., та складаються з</w:t>
      </w:r>
      <w:r w:rsidR="00C92079" w:rsidRPr="00576F79">
        <w:rPr>
          <w:color w:val="000000"/>
          <w:lang w:val="uk-UA"/>
        </w:rPr>
        <w:t>:</w:t>
      </w:r>
    </w:p>
    <w:p w:rsidR="00625E35" w:rsidRPr="00576F79" w:rsidRDefault="00C92079" w:rsidP="001564E1">
      <w:pPr>
        <w:ind w:firstLine="708"/>
        <w:jc w:val="both"/>
        <w:rPr>
          <w:color w:val="000000"/>
          <w:lang w:val="uk-UA"/>
        </w:rPr>
      </w:pPr>
      <w:r w:rsidRPr="00576F79">
        <w:rPr>
          <w:color w:val="000000"/>
          <w:lang w:val="uk-UA"/>
        </w:rPr>
        <w:t>-</w:t>
      </w:r>
      <w:r w:rsidR="00311864" w:rsidRPr="00576F79">
        <w:rPr>
          <w:color w:val="000000"/>
          <w:lang w:val="uk-UA"/>
        </w:rPr>
        <w:t xml:space="preserve"> витрат на курсові різниці та продаж валюти при здійсненні д</w:t>
      </w:r>
      <w:r w:rsidR="002E501E" w:rsidRPr="00576F79">
        <w:rPr>
          <w:color w:val="000000"/>
          <w:lang w:val="uk-UA"/>
        </w:rPr>
        <w:t>іяльності розрахункового центру</w:t>
      </w:r>
      <w:r w:rsidR="00AC526A" w:rsidRPr="00576F79">
        <w:rPr>
          <w:color w:val="000000"/>
          <w:lang w:val="uk-UA"/>
        </w:rPr>
        <w:t xml:space="preserve"> </w:t>
      </w:r>
      <w:r w:rsidRPr="00576F79">
        <w:rPr>
          <w:color w:val="000000"/>
          <w:lang w:val="uk-UA"/>
        </w:rPr>
        <w:t>(</w:t>
      </w:r>
      <w:r w:rsidR="002B68D0" w:rsidRPr="00576F79">
        <w:rPr>
          <w:color w:val="000000"/>
          <w:lang w:val="uk-UA"/>
        </w:rPr>
        <w:t>1</w:t>
      </w:r>
      <w:r w:rsidR="00350CD7" w:rsidRPr="00576F79">
        <w:rPr>
          <w:color w:val="000000"/>
          <w:lang w:val="uk-UA"/>
        </w:rPr>
        <w:t>60</w:t>
      </w:r>
      <w:r w:rsidRPr="00576F79">
        <w:rPr>
          <w:color w:val="000000"/>
          <w:lang w:val="uk-UA"/>
        </w:rPr>
        <w:t xml:space="preserve"> тис. грн.)</w:t>
      </w:r>
    </w:p>
    <w:p w:rsidR="00F838C6" w:rsidRPr="00576F79" w:rsidRDefault="00C92079" w:rsidP="002205BA">
      <w:pPr>
        <w:ind w:firstLine="708"/>
        <w:jc w:val="both"/>
        <w:rPr>
          <w:color w:val="000000"/>
          <w:lang w:val="uk-UA"/>
        </w:rPr>
      </w:pPr>
      <w:r w:rsidRPr="00576F79">
        <w:rPr>
          <w:color w:val="000000"/>
          <w:lang w:val="uk-UA"/>
        </w:rPr>
        <w:t>- РКО операцій, пов’язаних з наданням послуг розрахункового центру</w:t>
      </w:r>
      <w:r w:rsidR="000F618E" w:rsidRPr="00576F79">
        <w:rPr>
          <w:color w:val="000000"/>
          <w:lang w:val="uk-UA"/>
        </w:rPr>
        <w:t xml:space="preserve"> (</w:t>
      </w:r>
      <w:r w:rsidR="00024D03" w:rsidRPr="00576F79">
        <w:rPr>
          <w:color w:val="000000"/>
          <w:lang w:val="uk-UA"/>
        </w:rPr>
        <w:t>37</w:t>
      </w:r>
      <w:r w:rsidR="00471D1F" w:rsidRPr="00576F79">
        <w:rPr>
          <w:color w:val="000000"/>
          <w:lang w:val="uk-UA"/>
        </w:rPr>
        <w:t>,0</w:t>
      </w:r>
      <w:r w:rsidR="000F618E" w:rsidRPr="00576F79">
        <w:rPr>
          <w:color w:val="000000"/>
          <w:lang w:val="uk-UA"/>
        </w:rPr>
        <w:t xml:space="preserve"> тис. грн);</w:t>
      </w:r>
    </w:p>
    <w:p w:rsidR="002B68D0" w:rsidRPr="00576F79" w:rsidRDefault="000F618E" w:rsidP="002205BA">
      <w:pPr>
        <w:ind w:firstLine="708"/>
        <w:jc w:val="both"/>
        <w:rPr>
          <w:color w:val="000000"/>
          <w:lang w:val="uk-UA"/>
        </w:rPr>
      </w:pPr>
      <w:r w:rsidRPr="00576F79">
        <w:rPr>
          <w:color w:val="000000"/>
          <w:lang w:val="uk-UA"/>
        </w:rPr>
        <w:t xml:space="preserve">- витрат на  </w:t>
      </w:r>
      <w:r w:rsidR="00655F2B" w:rsidRPr="00576F79">
        <w:rPr>
          <w:color w:val="000000"/>
          <w:lang w:val="uk-UA"/>
        </w:rPr>
        <w:t>реалізацію виробничих запасів (</w:t>
      </w:r>
      <w:r w:rsidR="00F341C1" w:rsidRPr="00576F79">
        <w:rPr>
          <w:color w:val="000000"/>
          <w:lang w:val="uk-UA"/>
        </w:rPr>
        <w:t>133,6</w:t>
      </w:r>
      <w:r w:rsidR="00272C69" w:rsidRPr="00576F79">
        <w:rPr>
          <w:color w:val="000000"/>
          <w:lang w:val="uk-UA"/>
        </w:rPr>
        <w:t xml:space="preserve"> тис. грн</w:t>
      </w:r>
      <w:r w:rsidR="00655F2B" w:rsidRPr="00576F79">
        <w:rPr>
          <w:color w:val="000000"/>
          <w:lang w:val="uk-UA"/>
        </w:rPr>
        <w:t>)</w:t>
      </w:r>
    </w:p>
    <w:p w:rsidR="00024D03" w:rsidRPr="00576F79" w:rsidRDefault="002B68D0" w:rsidP="002205BA">
      <w:pPr>
        <w:ind w:firstLine="708"/>
        <w:jc w:val="both"/>
        <w:rPr>
          <w:color w:val="000000"/>
          <w:lang w:val="uk-UA"/>
        </w:rPr>
      </w:pPr>
      <w:r w:rsidRPr="00576F79">
        <w:rPr>
          <w:color w:val="000000"/>
          <w:lang w:val="uk-UA"/>
        </w:rPr>
        <w:t xml:space="preserve">- відшкодування витрат на виплату та доставку пільгових пенсій за зобов’язаннями </w:t>
      </w:r>
      <w:r w:rsidR="00A47B90" w:rsidRPr="00576F79">
        <w:rPr>
          <w:color w:val="000000"/>
          <w:lang w:val="uk-UA"/>
        </w:rPr>
        <w:t xml:space="preserve">ДП «МАРС» </w:t>
      </w:r>
      <w:r w:rsidRPr="00576F79">
        <w:rPr>
          <w:color w:val="000000"/>
          <w:lang w:val="uk-UA"/>
        </w:rPr>
        <w:t>за листопад та грудень 2017 року</w:t>
      </w:r>
      <w:r w:rsidR="00A47B90" w:rsidRPr="00576F79">
        <w:rPr>
          <w:color w:val="000000"/>
          <w:lang w:val="uk-UA"/>
        </w:rPr>
        <w:t xml:space="preserve"> (148,6 тис грн)</w:t>
      </w:r>
      <w:r w:rsidR="00024D03" w:rsidRPr="00576F79">
        <w:rPr>
          <w:color w:val="000000"/>
          <w:lang w:val="uk-UA"/>
        </w:rPr>
        <w:t>;</w:t>
      </w:r>
    </w:p>
    <w:p w:rsidR="00471D1F" w:rsidRPr="00576F79" w:rsidRDefault="00024D03" w:rsidP="002205BA">
      <w:pPr>
        <w:ind w:firstLine="708"/>
        <w:jc w:val="both"/>
        <w:rPr>
          <w:color w:val="000000"/>
          <w:lang w:val="uk-UA"/>
        </w:rPr>
      </w:pPr>
      <w:r w:rsidRPr="00576F79">
        <w:rPr>
          <w:color w:val="000000"/>
          <w:lang w:val="uk-UA"/>
        </w:rPr>
        <w:lastRenderedPageBreak/>
        <w:t xml:space="preserve">- витрат на охорону </w:t>
      </w:r>
      <w:r w:rsidR="00471D1F" w:rsidRPr="00576F79">
        <w:rPr>
          <w:color w:val="000000"/>
          <w:lang w:val="uk-UA"/>
        </w:rPr>
        <w:t>будинку управління Є/О АСПТР (м. Одеса, вул. Приморська, 3а) (54,8 тис грн);</w:t>
      </w:r>
    </w:p>
    <w:p w:rsidR="000F618E" w:rsidRPr="00576F79" w:rsidRDefault="00471D1F" w:rsidP="002205BA">
      <w:pPr>
        <w:ind w:firstLine="708"/>
        <w:jc w:val="both"/>
        <w:rPr>
          <w:color w:val="000000"/>
          <w:lang w:val="uk-UA"/>
        </w:rPr>
      </w:pPr>
      <w:r w:rsidRPr="00576F79">
        <w:rPr>
          <w:color w:val="000000"/>
          <w:lang w:val="uk-UA"/>
        </w:rPr>
        <w:t>- адміністративні витрати та собівартість за</w:t>
      </w:r>
      <w:bookmarkStart w:id="0" w:name="_GoBack"/>
      <w:bookmarkEnd w:id="0"/>
      <w:r w:rsidRPr="00576F79">
        <w:rPr>
          <w:color w:val="000000"/>
          <w:lang w:val="uk-UA"/>
        </w:rPr>
        <w:t xml:space="preserve"> 1 квартал 2017 року (</w:t>
      </w:r>
      <w:r w:rsidR="007C5F09" w:rsidRPr="00576F79">
        <w:rPr>
          <w:color w:val="000000"/>
          <w:lang w:val="uk-UA"/>
        </w:rPr>
        <w:t>53499,0 тис грн</w:t>
      </w:r>
      <w:r w:rsidRPr="00576F79">
        <w:rPr>
          <w:color w:val="000000"/>
          <w:lang w:val="uk-UA"/>
        </w:rPr>
        <w:t>)</w:t>
      </w:r>
      <w:r w:rsidR="00655F2B" w:rsidRPr="00576F79">
        <w:rPr>
          <w:color w:val="000000"/>
          <w:lang w:val="uk-UA"/>
        </w:rPr>
        <w:t>.</w:t>
      </w:r>
    </w:p>
    <w:p w:rsidR="0055062F" w:rsidRPr="0038726B" w:rsidRDefault="0055062F" w:rsidP="00F45FF8">
      <w:pPr>
        <w:ind w:firstLine="708"/>
        <w:jc w:val="both"/>
        <w:rPr>
          <w:color w:val="000000"/>
          <w:lang w:val="uk-UA"/>
        </w:rPr>
      </w:pPr>
      <w:r w:rsidRPr="00576F79">
        <w:rPr>
          <w:color w:val="000000"/>
          <w:lang w:val="uk-UA"/>
        </w:rPr>
        <w:t>Чистий фінансовий результат за 2017 р</w:t>
      </w:r>
      <w:r w:rsidR="002C1D39" w:rsidRPr="00576F79">
        <w:rPr>
          <w:color w:val="000000"/>
          <w:lang w:val="uk-UA"/>
        </w:rPr>
        <w:t>і</w:t>
      </w:r>
      <w:r w:rsidRPr="00576F79">
        <w:rPr>
          <w:color w:val="000000"/>
          <w:lang w:val="uk-UA"/>
        </w:rPr>
        <w:t xml:space="preserve">к – </w:t>
      </w:r>
      <w:r w:rsidR="002C1D39" w:rsidRPr="00576F79">
        <w:rPr>
          <w:color w:val="000000"/>
          <w:lang w:val="uk-UA"/>
        </w:rPr>
        <w:t>13540</w:t>
      </w:r>
      <w:r w:rsidRPr="00576F79">
        <w:rPr>
          <w:color w:val="000000"/>
          <w:lang w:val="uk-UA"/>
        </w:rPr>
        <w:t xml:space="preserve"> тис грн</w:t>
      </w:r>
      <w:r w:rsidR="00F45FF8" w:rsidRPr="00576F79">
        <w:rPr>
          <w:color w:val="000000"/>
          <w:lang w:val="uk-UA"/>
        </w:rPr>
        <w:t xml:space="preserve">., що на </w:t>
      </w:r>
      <w:r w:rsidR="002C1D39" w:rsidRPr="00576F79">
        <w:rPr>
          <w:color w:val="000000"/>
          <w:lang w:val="uk-UA"/>
        </w:rPr>
        <w:t>7%</w:t>
      </w:r>
      <w:r w:rsidR="00F45FF8" w:rsidRPr="00576F79">
        <w:rPr>
          <w:color w:val="000000"/>
          <w:lang w:val="uk-UA"/>
        </w:rPr>
        <w:t xml:space="preserve"> перевищує плановий показник.</w:t>
      </w:r>
    </w:p>
    <w:p w:rsidR="00AD58FD" w:rsidRDefault="0074682F" w:rsidP="00AD58F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9C06A5">
        <w:rPr>
          <w:color w:val="000000"/>
          <w:lang w:val="uk-UA"/>
        </w:rPr>
        <w:t xml:space="preserve">На виконання наказу Міністерства інфраструктури України від 25.03.2016 № 119 річна фінансова звітність КП «МПРС» відкоригована на </w:t>
      </w:r>
      <w:r w:rsidR="002519CC">
        <w:rPr>
          <w:color w:val="000000"/>
          <w:lang w:val="uk-UA"/>
        </w:rPr>
        <w:t xml:space="preserve">суму збитку </w:t>
      </w:r>
      <w:r w:rsidR="0009518E">
        <w:rPr>
          <w:color w:val="000000"/>
          <w:lang w:val="uk-UA"/>
        </w:rPr>
        <w:t>реорганізованого ДП «МАРС»</w:t>
      </w:r>
      <w:r w:rsidR="00E5118B">
        <w:rPr>
          <w:color w:val="000000"/>
          <w:lang w:val="uk-UA"/>
        </w:rPr>
        <w:t xml:space="preserve">. </w:t>
      </w:r>
      <w:r w:rsidR="002519CC">
        <w:rPr>
          <w:color w:val="000000"/>
          <w:lang w:val="uk-UA"/>
        </w:rPr>
        <w:t xml:space="preserve"> </w:t>
      </w:r>
      <w:r w:rsidR="00E5118B">
        <w:rPr>
          <w:color w:val="000000"/>
          <w:lang w:val="uk-UA"/>
        </w:rPr>
        <w:t xml:space="preserve">Відповідно </w:t>
      </w:r>
      <w:r w:rsidR="0009518E">
        <w:rPr>
          <w:color w:val="000000"/>
          <w:lang w:val="uk-UA"/>
        </w:rPr>
        <w:t xml:space="preserve">до </w:t>
      </w:r>
      <w:r w:rsidR="00A17526">
        <w:rPr>
          <w:color w:val="000000"/>
          <w:lang w:val="uk-UA"/>
        </w:rPr>
        <w:t>Передавального акту від</w:t>
      </w:r>
      <w:r w:rsidR="00E5118B">
        <w:rPr>
          <w:color w:val="000000"/>
          <w:lang w:val="uk-UA"/>
        </w:rPr>
        <w:t xml:space="preserve"> </w:t>
      </w:r>
      <w:r w:rsidR="00DF503C">
        <w:rPr>
          <w:color w:val="000000"/>
          <w:lang w:val="uk-UA"/>
        </w:rPr>
        <w:t>0</w:t>
      </w:r>
      <w:r w:rsidR="00E5118B">
        <w:rPr>
          <w:color w:val="000000"/>
          <w:lang w:val="uk-UA"/>
        </w:rPr>
        <w:t>4.1</w:t>
      </w:r>
      <w:r w:rsidR="00DF503C">
        <w:rPr>
          <w:color w:val="000000"/>
          <w:lang w:val="uk-UA"/>
        </w:rPr>
        <w:t>2</w:t>
      </w:r>
      <w:r w:rsidR="00E5118B">
        <w:rPr>
          <w:color w:val="000000"/>
          <w:lang w:val="uk-UA"/>
        </w:rPr>
        <w:t xml:space="preserve">.2017р. </w:t>
      </w:r>
      <w:r w:rsidR="00A17526">
        <w:rPr>
          <w:color w:val="000000"/>
          <w:lang w:val="uk-UA"/>
        </w:rPr>
        <w:t xml:space="preserve">та балансу </w:t>
      </w:r>
      <w:r w:rsidR="00E5118B">
        <w:rPr>
          <w:color w:val="000000"/>
          <w:lang w:val="uk-UA"/>
        </w:rPr>
        <w:t>н</w:t>
      </w:r>
      <w:r w:rsidR="002519CC">
        <w:rPr>
          <w:color w:val="000000"/>
          <w:lang w:val="uk-UA"/>
        </w:rPr>
        <w:t xml:space="preserve">епокритий </w:t>
      </w:r>
      <w:r w:rsidR="0009518E">
        <w:rPr>
          <w:color w:val="000000"/>
          <w:lang w:val="uk-UA"/>
        </w:rPr>
        <w:t xml:space="preserve">збиток ДП «МАРС» складає 16109 тис грн. </w:t>
      </w:r>
      <w:r w:rsidR="002519CC">
        <w:rPr>
          <w:color w:val="000000"/>
          <w:lang w:val="uk-UA"/>
        </w:rPr>
        <w:t xml:space="preserve">Непокритий збиток </w:t>
      </w:r>
      <w:r w:rsidR="0009518E">
        <w:rPr>
          <w:color w:val="000000"/>
          <w:lang w:val="uk-UA"/>
        </w:rPr>
        <w:t xml:space="preserve">у </w:t>
      </w:r>
      <w:r w:rsidR="002519CC">
        <w:rPr>
          <w:color w:val="000000"/>
          <w:lang w:val="uk-UA"/>
        </w:rPr>
        <w:t xml:space="preserve">балансі </w:t>
      </w:r>
      <w:r w:rsidR="00F341C1">
        <w:rPr>
          <w:color w:val="000000"/>
          <w:lang w:val="uk-UA"/>
        </w:rPr>
        <w:t xml:space="preserve">КП «МПРС» </w:t>
      </w:r>
      <w:r w:rsidR="0009518E">
        <w:rPr>
          <w:color w:val="000000"/>
          <w:lang w:val="uk-UA"/>
        </w:rPr>
        <w:t>2017 ро</w:t>
      </w:r>
      <w:r w:rsidR="00FC523C">
        <w:rPr>
          <w:color w:val="000000"/>
          <w:lang w:val="uk-UA"/>
        </w:rPr>
        <w:t>ку</w:t>
      </w:r>
      <w:r w:rsidR="0009518E">
        <w:rPr>
          <w:color w:val="000000"/>
          <w:lang w:val="uk-UA"/>
        </w:rPr>
        <w:t xml:space="preserve"> </w:t>
      </w:r>
      <w:r w:rsidR="002519CC">
        <w:rPr>
          <w:color w:val="000000"/>
          <w:lang w:val="uk-UA"/>
        </w:rPr>
        <w:t>складає 13445 тис грн.</w:t>
      </w:r>
      <w:r w:rsidR="0009518E">
        <w:rPr>
          <w:color w:val="000000"/>
          <w:lang w:val="uk-UA"/>
        </w:rPr>
        <w:t xml:space="preserve"> </w:t>
      </w:r>
    </w:p>
    <w:p w:rsidR="0009518E" w:rsidRDefault="0009518E" w:rsidP="00AD58FD">
      <w:pPr>
        <w:jc w:val="both"/>
        <w:rPr>
          <w:color w:val="000000"/>
          <w:lang w:val="uk-UA"/>
        </w:rPr>
      </w:pPr>
    </w:p>
    <w:p w:rsidR="00233C2D" w:rsidRPr="0038726B" w:rsidRDefault="00233C2D" w:rsidP="00AD58FD">
      <w:pPr>
        <w:jc w:val="both"/>
        <w:rPr>
          <w:color w:val="000000"/>
          <w:lang w:val="uk-UA"/>
        </w:rPr>
      </w:pPr>
    </w:p>
    <w:p w:rsidR="00AD58FD" w:rsidRPr="0038726B" w:rsidRDefault="00A300F8" w:rsidP="00AD58FD">
      <w:pPr>
        <w:jc w:val="both"/>
        <w:rPr>
          <w:b/>
          <w:color w:val="000000"/>
          <w:lang w:val="uk-UA"/>
        </w:rPr>
      </w:pPr>
      <w:r w:rsidRPr="0038726B">
        <w:rPr>
          <w:b/>
          <w:color w:val="000000"/>
          <w:lang w:val="uk-UA"/>
        </w:rPr>
        <w:tab/>
      </w:r>
      <w:r w:rsidR="002E501E" w:rsidRPr="0038726B">
        <w:rPr>
          <w:b/>
          <w:color w:val="000000"/>
          <w:lang w:val="uk-UA"/>
        </w:rPr>
        <w:t xml:space="preserve"> </w:t>
      </w:r>
      <w:r w:rsidR="00F606DB" w:rsidRPr="0038726B">
        <w:rPr>
          <w:b/>
          <w:color w:val="000000"/>
          <w:lang w:val="uk-UA"/>
        </w:rPr>
        <w:t>Облік коштів ц</w:t>
      </w:r>
      <w:r w:rsidRPr="0038726B">
        <w:rPr>
          <w:b/>
          <w:color w:val="000000"/>
          <w:lang w:val="uk-UA"/>
        </w:rPr>
        <w:t>ільов</w:t>
      </w:r>
      <w:r w:rsidR="00F606DB" w:rsidRPr="0038726B">
        <w:rPr>
          <w:b/>
          <w:color w:val="000000"/>
          <w:lang w:val="uk-UA"/>
        </w:rPr>
        <w:t>ого</w:t>
      </w:r>
      <w:r w:rsidRPr="0038726B">
        <w:rPr>
          <w:b/>
          <w:color w:val="000000"/>
          <w:lang w:val="uk-UA"/>
        </w:rPr>
        <w:t xml:space="preserve"> фінансування </w:t>
      </w:r>
      <w:r w:rsidR="002C1D39">
        <w:rPr>
          <w:b/>
          <w:color w:val="000000"/>
          <w:lang w:val="uk-UA"/>
        </w:rPr>
        <w:t xml:space="preserve">за </w:t>
      </w:r>
      <w:r w:rsidR="00D87743" w:rsidRPr="0038726B">
        <w:rPr>
          <w:b/>
          <w:color w:val="000000"/>
          <w:lang w:val="uk-UA"/>
        </w:rPr>
        <w:t>2017 р</w:t>
      </w:r>
      <w:r w:rsidR="002C1D39">
        <w:rPr>
          <w:b/>
          <w:color w:val="000000"/>
          <w:lang w:val="uk-UA"/>
        </w:rPr>
        <w:t>і</w:t>
      </w:r>
      <w:r w:rsidR="00D87743" w:rsidRPr="0038726B">
        <w:rPr>
          <w:b/>
          <w:color w:val="000000"/>
          <w:lang w:val="uk-UA"/>
        </w:rPr>
        <w:t>к</w:t>
      </w:r>
    </w:p>
    <w:p w:rsidR="00C92079" w:rsidRPr="0038726B" w:rsidRDefault="00C92079" w:rsidP="002205BA">
      <w:pPr>
        <w:ind w:firstLine="708"/>
        <w:jc w:val="both"/>
        <w:rPr>
          <w:color w:val="000000"/>
          <w:lang w:val="uk-UA"/>
        </w:rPr>
      </w:pPr>
    </w:p>
    <w:p w:rsidR="002C6617" w:rsidRPr="0038726B" w:rsidRDefault="00992B9A" w:rsidP="002205BA">
      <w:pPr>
        <w:ind w:firstLine="708"/>
        <w:jc w:val="both"/>
        <w:rPr>
          <w:color w:val="000000"/>
          <w:lang w:val="uk-UA"/>
        </w:rPr>
      </w:pPr>
      <w:r w:rsidRPr="0038726B">
        <w:rPr>
          <w:color w:val="000000"/>
          <w:lang w:val="uk-UA"/>
        </w:rPr>
        <w:t xml:space="preserve">У </w:t>
      </w:r>
      <w:r w:rsidR="002C6617" w:rsidRPr="0038726B">
        <w:rPr>
          <w:color w:val="000000"/>
          <w:lang w:val="uk-UA"/>
        </w:rPr>
        <w:t>2017 ро</w:t>
      </w:r>
      <w:r w:rsidR="0013424D">
        <w:rPr>
          <w:color w:val="000000"/>
          <w:lang w:val="uk-UA"/>
        </w:rPr>
        <w:t>ці</w:t>
      </w:r>
      <w:r w:rsidR="002C6617" w:rsidRPr="0038726B">
        <w:rPr>
          <w:color w:val="000000"/>
          <w:lang w:val="uk-UA"/>
        </w:rPr>
        <w:t xml:space="preserve"> підприє</w:t>
      </w:r>
      <w:r w:rsidR="003361E9" w:rsidRPr="0038726B">
        <w:rPr>
          <w:color w:val="000000"/>
          <w:lang w:val="uk-UA"/>
        </w:rPr>
        <w:t>мство отримало від ДП «АМПУ»</w:t>
      </w:r>
      <w:r w:rsidR="00D00178" w:rsidRPr="0038726B">
        <w:rPr>
          <w:color w:val="000000"/>
          <w:lang w:val="uk-UA"/>
        </w:rPr>
        <w:t xml:space="preserve"> згідно до Постанови КМУ № 158 від 26.02.2017</w:t>
      </w:r>
      <w:r w:rsidR="00D22FD2" w:rsidRPr="0038726B">
        <w:rPr>
          <w:color w:val="000000"/>
          <w:lang w:val="uk-UA"/>
        </w:rPr>
        <w:t xml:space="preserve"> </w:t>
      </w:r>
      <w:r w:rsidR="00D00178" w:rsidRPr="0038726B">
        <w:rPr>
          <w:color w:val="000000"/>
          <w:lang w:val="uk-UA"/>
        </w:rPr>
        <w:t>року</w:t>
      </w:r>
      <w:r w:rsidR="003361E9" w:rsidRPr="0038726B">
        <w:rPr>
          <w:color w:val="000000"/>
          <w:lang w:val="uk-UA"/>
        </w:rPr>
        <w:t xml:space="preserve"> </w:t>
      </w:r>
      <w:r w:rsidR="0013424D">
        <w:rPr>
          <w:color w:val="000000"/>
          <w:lang w:val="uk-UA"/>
        </w:rPr>
        <w:t>262300</w:t>
      </w:r>
      <w:r w:rsidR="002C6617" w:rsidRPr="0038726B">
        <w:rPr>
          <w:color w:val="000000"/>
          <w:lang w:val="uk-UA"/>
        </w:rPr>
        <w:t xml:space="preserve"> тис. грн.</w:t>
      </w:r>
      <w:r w:rsidR="00225EFF" w:rsidRPr="0038726B">
        <w:rPr>
          <w:color w:val="000000"/>
          <w:lang w:val="uk-UA"/>
        </w:rPr>
        <w:t xml:space="preserve">, що на </w:t>
      </w:r>
      <w:r w:rsidR="0013424D">
        <w:rPr>
          <w:color w:val="000000"/>
          <w:lang w:val="uk-UA"/>
        </w:rPr>
        <w:t>11227</w:t>
      </w:r>
      <w:r w:rsidR="00225EFF" w:rsidRPr="0038726B">
        <w:rPr>
          <w:color w:val="000000"/>
          <w:lang w:val="uk-UA"/>
        </w:rPr>
        <w:t xml:space="preserve"> тис. грн. </w:t>
      </w:r>
      <w:r w:rsidR="00D00178" w:rsidRPr="0038726B">
        <w:rPr>
          <w:color w:val="000000"/>
          <w:lang w:val="uk-UA"/>
        </w:rPr>
        <w:t>менше ніж заплановано</w:t>
      </w:r>
      <w:r w:rsidR="00225EFF" w:rsidRPr="0038726B">
        <w:rPr>
          <w:color w:val="000000"/>
          <w:lang w:val="uk-UA"/>
        </w:rPr>
        <w:t>.</w:t>
      </w:r>
    </w:p>
    <w:p w:rsidR="002C6617" w:rsidRPr="0038726B" w:rsidRDefault="00FD7750" w:rsidP="002205BA">
      <w:pPr>
        <w:ind w:firstLine="708"/>
        <w:jc w:val="both"/>
        <w:rPr>
          <w:color w:val="000000"/>
          <w:lang w:val="uk-UA"/>
        </w:rPr>
      </w:pPr>
      <w:r w:rsidRPr="0038726B">
        <w:rPr>
          <w:color w:val="000000"/>
          <w:lang w:val="uk-UA"/>
        </w:rPr>
        <w:t>Розподіл коштів цільового фінансування</w:t>
      </w:r>
      <w:r w:rsidR="00265E97" w:rsidRPr="0038726B">
        <w:rPr>
          <w:color w:val="000000"/>
          <w:lang w:val="uk-UA"/>
        </w:rPr>
        <w:t xml:space="preserve"> </w:t>
      </w:r>
      <w:r w:rsidR="00FC538A">
        <w:rPr>
          <w:color w:val="000000"/>
          <w:lang w:val="uk-UA"/>
        </w:rPr>
        <w:t xml:space="preserve">за </w:t>
      </w:r>
      <w:r w:rsidR="00265E97" w:rsidRPr="0038726B">
        <w:rPr>
          <w:color w:val="000000"/>
          <w:lang w:val="uk-UA"/>
        </w:rPr>
        <w:t>2017 р</w:t>
      </w:r>
      <w:r w:rsidR="00FC538A">
        <w:rPr>
          <w:color w:val="000000"/>
          <w:lang w:val="uk-UA"/>
        </w:rPr>
        <w:t>і</w:t>
      </w:r>
      <w:r w:rsidR="00265E97" w:rsidRPr="0038726B">
        <w:rPr>
          <w:color w:val="000000"/>
          <w:lang w:val="uk-UA"/>
        </w:rPr>
        <w:t>к,</w:t>
      </w:r>
      <w:r w:rsidRPr="0038726B">
        <w:rPr>
          <w:color w:val="000000"/>
          <w:lang w:val="uk-UA"/>
        </w:rPr>
        <w:t xml:space="preserve"> </w:t>
      </w:r>
      <w:r w:rsidR="000306F9" w:rsidRPr="0038726B">
        <w:rPr>
          <w:color w:val="000000"/>
          <w:lang w:val="uk-UA"/>
        </w:rPr>
        <w:t xml:space="preserve">відповідно до п.9.4 облікової політики КП МПРС, затвердженої наказом № 41-Н від 13.03.2017 року </w:t>
      </w:r>
      <w:r w:rsidR="008276FD" w:rsidRPr="0038726B">
        <w:rPr>
          <w:color w:val="000000"/>
          <w:lang w:val="uk-UA"/>
        </w:rPr>
        <w:t xml:space="preserve">наданий </w:t>
      </w:r>
      <w:r w:rsidR="002A7A92" w:rsidRPr="0038726B">
        <w:rPr>
          <w:color w:val="000000"/>
          <w:lang w:val="uk-UA"/>
        </w:rPr>
        <w:t>у таблиці 2.</w:t>
      </w:r>
    </w:p>
    <w:p w:rsidR="003C73E4" w:rsidRPr="0038726B" w:rsidRDefault="003C73E4" w:rsidP="003C73E4">
      <w:pPr>
        <w:ind w:left="7080" w:firstLine="708"/>
        <w:jc w:val="both"/>
        <w:rPr>
          <w:color w:val="000000"/>
          <w:lang w:val="uk-UA"/>
        </w:rPr>
      </w:pPr>
    </w:p>
    <w:p w:rsidR="00401DAC" w:rsidRPr="0038726B" w:rsidRDefault="003C73E4" w:rsidP="003C73E4">
      <w:pPr>
        <w:ind w:left="7080" w:firstLine="708"/>
        <w:jc w:val="both"/>
        <w:rPr>
          <w:color w:val="000000"/>
          <w:lang w:val="uk-UA"/>
        </w:rPr>
      </w:pPr>
      <w:r w:rsidRPr="0038726B">
        <w:rPr>
          <w:color w:val="000000"/>
          <w:lang w:val="uk-UA"/>
        </w:rPr>
        <w:t>Таблиця 2 (тис. грн.)</w:t>
      </w:r>
    </w:p>
    <w:tbl>
      <w:tblPr>
        <w:tblStyle w:val="a6"/>
        <w:tblW w:w="1068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92"/>
        <w:gridCol w:w="1616"/>
        <w:gridCol w:w="1445"/>
        <w:gridCol w:w="996"/>
        <w:gridCol w:w="1325"/>
        <w:gridCol w:w="1364"/>
        <w:gridCol w:w="1618"/>
      </w:tblGrid>
      <w:tr w:rsidR="00401DAC" w:rsidRPr="0038726B" w:rsidTr="00570814">
        <w:trPr>
          <w:jc w:val="center"/>
        </w:trPr>
        <w:tc>
          <w:tcPr>
            <w:tcW w:w="5382" w:type="dxa"/>
            <w:gridSpan w:val="4"/>
          </w:tcPr>
          <w:p w:rsidR="00401DAC" w:rsidRPr="0038726B" w:rsidRDefault="00401DAC" w:rsidP="00401DAC">
            <w:pPr>
              <w:jc w:val="center"/>
              <w:rPr>
                <w:color w:val="000000"/>
                <w:lang w:val="uk-UA"/>
              </w:rPr>
            </w:pPr>
            <w:r w:rsidRPr="0038726B">
              <w:rPr>
                <w:color w:val="000000"/>
                <w:lang w:val="uk-UA"/>
              </w:rPr>
              <w:t xml:space="preserve">Кошти цільового фінансування </w:t>
            </w:r>
            <w:r w:rsidR="00B23FEC" w:rsidRPr="0038726B">
              <w:rPr>
                <w:lang w:val="uk-UA"/>
              </w:rPr>
              <w:t>на фінансування заходів з функціонування</w:t>
            </w:r>
          </w:p>
        </w:tc>
        <w:tc>
          <w:tcPr>
            <w:tcW w:w="5303" w:type="dxa"/>
            <w:gridSpan w:val="4"/>
          </w:tcPr>
          <w:p w:rsidR="00401DAC" w:rsidRPr="0038726B" w:rsidRDefault="00401DAC" w:rsidP="00401DAC">
            <w:pPr>
              <w:jc w:val="center"/>
              <w:rPr>
                <w:color w:val="000000"/>
                <w:lang w:val="uk-UA"/>
              </w:rPr>
            </w:pPr>
            <w:r w:rsidRPr="0038726B">
              <w:rPr>
                <w:color w:val="000000"/>
                <w:lang w:val="uk-UA"/>
              </w:rPr>
              <w:t xml:space="preserve">Кошти </w:t>
            </w:r>
            <w:r w:rsidR="00B23FEC" w:rsidRPr="0038726B">
              <w:rPr>
                <w:color w:val="000000"/>
                <w:lang w:val="uk-UA"/>
              </w:rPr>
              <w:t>цільового фінансування</w:t>
            </w:r>
            <w:r w:rsidRPr="0038726B">
              <w:rPr>
                <w:color w:val="000000"/>
                <w:lang w:val="uk-UA"/>
              </w:rPr>
              <w:t xml:space="preserve"> </w:t>
            </w:r>
            <w:r w:rsidR="00D13E45" w:rsidRPr="0038726B">
              <w:rPr>
                <w:lang w:val="uk-UA"/>
              </w:rPr>
              <w:t>н</w:t>
            </w:r>
            <w:r w:rsidR="00B23FEC" w:rsidRPr="0038726B">
              <w:rPr>
                <w:lang w:val="uk-UA"/>
              </w:rPr>
              <w:t>а розвит</w:t>
            </w:r>
            <w:r w:rsidR="00D13E45" w:rsidRPr="0038726B">
              <w:rPr>
                <w:lang w:val="uk-UA"/>
              </w:rPr>
              <w:t>о</w:t>
            </w:r>
            <w:r w:rsidR="00B23FEC" w:rsidRPr="0038726B">
              <w:rPr>
                <w:lang w:val="uk-UA"/>
              </w:rPr>
              <w:t>к системи пошуку і рятування</w:t>
            </w:r>
          </w:p>
        </w:tc>
      </w:tr>
      <w:tr w:rsidR="004A3DF6" w:rsidRPr="0038726B" w:rsidTr="00FC538A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D45A8A" w:rsidRPr="0038726B" w:rsidRDefault="00D45A8A" w:rsidP="00401DAC">
            <w:pPr>
              <w:jc w:val="center"/>
              <w:rPr>
                <w:color w:val="000000"/>
                <w:lang w:val="uk-UA"/>
              </w:rPr>
            </w:pPr>
            <w:r w:rsidRPr="0038726B">
              <w:rPr>
                <w:color w:val="000000"/>
                <w:lang w:val="uk-UA"/>
              </w:rPr>
              <w:t>Усього</w:t>
            </w:r>
            <w:r w:rsidR="00FC538A">
              <w:rPr>
                <w:color w:val="000000"/>
                <w:lang w:val="uk-UA"/>
              </w:rPr>
              <w:t xml:space="preserve"> кошти цільового фінансування на функціонування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D45A8A" w:rsidRPr="0038726B" w:rsidRDefault="004A3DF6" w:rsidP="00D45A8A">
            <w:pPr>
              <w:jc w:val="center"/>
              <w:rPr>
                <w:color w:val="000000"/>
                <w:lang w:val="uk-UA"/>
              </w:rPr>
            </w:pPr>
            <w:r w:rsidRPr="0038726B">
              <w:rPr>
                <w:color w:val="000000"/>
                <w:lang w:val="uk-UA"/>
              </w:rPr>
              <w:t>відсоток від загальної суми отриманих коштів у кварталі</w:t>
            </w:r>
          </w:p>
        </w:tc>
        <w:tc>
          <w:tcPr>
            <w:tcW w:w="1616" w:type="dxa"/>
          </w:tcPr>
          <w:p w:rsidR="00D45A8A" w:rsidRPr="0038726B" w:rsidRDefault="00D45A8A" w:rsidP="00401DAC">
            <w:pPr>
              <w:jc w:val="center"/>
              <w:rPr>
                <w:color w:val="000000"/>
                <w:lang w:val="uk-UA"/>
              </w:rPr>
            </w:pPr>
            <w:r w:rsidRPr="0038726B">
              <w:rPr>
                <w:color w:val="000000"/>
                <w:lang w:val="uk-UA"/>
              </w:rPr>
              <w:t>Доходи ціл</w:t>
            </w:r>
            <w:r w:rsidR="00225EFF" w:rsidRPr="0038726B">
              <w:rPr>
                <w:color w:val="000000"/>
                <w:lang w:val="uk-UA"/>
              </w:rPr>
              <w:t xml:space="preserve">ьового фінансування </w:t>
            </w:r>
            <w:r w:rsidRPr="0038726B">
              <w:rPr>
                <w:color w:val="000000"/>
                <w:lang w:val="uk-UA"/>
              </w:rPr>
              <w:t>2017 року</w:t>
            </w:r>
          </w:p>
        </w:tc>
        <w:tc>
          <w:tcPr>
            <w:tcW w:w="1445" w:type="dxa"/>
          </w:tcPr>
          <w:p w:rsidR="00D45A8A" w:rsidRPr="0038726B" w:rsidRDefault="00D45A8A" w:rsidP="00401DAC">
            <w:pPr>
              <w:jc w:val="center"/>
              <w:rPr>
                <w:color w:val="000000"/>
              </w:rPr>
            </w:pPr>
            <w:r w:rsidRPr="0038726B">
              <w:rPr>
                <w:color w:val="000000"/>
                <w:lang w:val="uk-UA"/>
              </w:rPr>
              <w:t xml:space="preserve">Залишок коштів цільового фінансування на функціонування </w:t>
            </w:r>
            <w:r w:rsidRPr="0038726B">
              <w:rPr>
                <w:color w:val="000000"/>
              </w:rPr>
              <w:t>станом на 3</w:t>
            </w:r>
            <w:r w:rsidR="00B97A4C">
              <w:rPr>
                <w:color w:val="000000"/>
                <w:lang w:val="uk-UA"/>
              </w:rPr>
              <w:t>1</w:t>
            </w:r>
            <w:r w:rsidRPr="0038726B">
              <w:rPr>
                <w:color w:val="000000"/>
              </w:rPr>
              <w:t>.</w:t>
            </w:r>
            <w:r w:rsidR="00B97A4C">
              <w:rPr>
                <w:color w:val="000000"/>
                <w:lang w:val="uk-UA"/>
              </w:rPr>
              <w:t>12</w:t>
            </w:r>
            <w:r w:rsidRPr="0038726B">
              <w:rPr>
                <w:color w:val="000000"/>
              </w:rPr>
              <w:t>.2017р.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45A8A" w:rsidRPr="0038726B" w:rsidRDefault="00D45A8A" w:rsidP="00401DAC">
            <w:pPr>
              <w:jc w:val="center"/>
              <w:rPr>
                <w:color w:val="000000"/>
                <w:lang w:val="uk-UA"/>
              </w:rPr>
            </w:pPr>
            <w:r w:rsidRPr="0038726B">
              <w:rPr>
                <w:color w:val="000000"/>
                <w:lang w:val="uk-UA"/>
              </w:rPr>
              <w:t>Усього</w:t>
            </w:r>
            <w:r w:rsidR="00FC538A">
              <w:rPr>
                <w:color w:val="000000"/>
                <w:lang w:val="uk-UA"/>
              </w:rPr>
              <w:t xml:space="preserve"> кошти цільового фінансування на розвиток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45A8A" w:rsidRPr="0038726B" w:rsidRDefault="004A3DF6" w:rsidP="00D45A8A">
            <w:pPr>
              <w:jc w:val="center"/>
              <w:rPr>
                <w:color w:val="000000"/>
                <w:lang w:val="uk-UA"/>
              </w:rPr>
            </w:pPr>
            <w:r w:rsidRPr="0038726B">
              <w:rPr>
                <w:color w:val="000000"/>
                <w:lang w:val="uk-UA"/>
              </w:rPr>
              <w:t>відсоток від загальної суми отриманих коштів у кварталі</w:t>
            </w:r>
          </w:p>
        </w:tc>
        <w:tc>
          <w:tcPr>
            <w:tcW w:w="1364" w:type="dxa"/>
          </w:tcPr>
          <w:p w:rsidR="00D45A8A" w:rsidRPr="0038726B" w:rsidRDefault="00D45A8A" w:rsidP="00401DAC">
            <w:pPr>
              <w:jc w:val="center"/>
              <w:rPr>
                <w:color w:val="000000"/>
                <w:lang w:val="uk-UA"/>
              </w:rPr>
            </w:pPr>
            <w:r w:rsidRPr="0038726B">
              <w:rPr>
                <w:color w:val="000000"/>
                <w:lang w:val="uk-UA"/>
              </w:rPr>
              <w:t xml:space="preserve">Доходи цільового фінансування 2017 року </w:t>
            </w:r>
          </w:p>
        </w:tc>
        <w:tc>
          <w:tcPr>
            <w:tcW w:w="1618" w:type="dxa"/>
          </w:tcPr>
          <w:p w:rsidR="00D45A8A" w:rsidRPr="0038726B" w:rsidRDefault="00D45A8A" w:rsidP="00401DAC">
            <w:pPr>
              <w:jc w:val="center"/>
              <w:rPr>
                <w:color w:val="000000"/>
                <w:lang w:val="uk-UA"/>
              </w:rPr>
            </w:pPr>
            <w:r w:rsidRPr="0038726B">
              <w:rPr>
                <w:color w:val="000000"/>
                <w:lang w:val="uk-UA"/>
              </w:rPr>
              <w:t xml:space="preserve">Залишок коштів цільового фінансування на розвиток функції </w:t>
            </w:r>
            <w:r w:rsidRPr="0038726B">
              <w:rPr>
                <w:color w:val="000000"/>
              </w:rPr>
              <w:t>станом на 3</w:t>
            </w:r>
            <w:r w:rsidR="00B97A4C">
              <w:rPr>
                <w:color w:val="000000"/>
                <w:lang w:val="uk-UA"/>
              </w:rPr>
              <w:t>1</w:t>
            </w:r>
            <w:r w:rsidRPr="0038726B">
              <w:rPr>
                <w:color w:val="000000"/>
              </w:rPr>
              <w:t>.</w:t>
            </w:r>
            <w:r w:rsidR="00B97A4C">
              <w:rPr>
                <w:color w:val="000000"/>
                <w:lang w:val="uk-UA"/>
              </w:rPr>
              <w:t>12</w:t>
            </w:r>
            <w:r w:rsidRPr="0038726B">
              <w:rPr>
                <w:color w:val="000000"/>
              </w:rPr>
              <w:t>.2017р.</w:t>
            </w:r>
          </w:p>
        </w:tc>
      </w:tr>
      <w:tr w:rsidR="004A3DF6" w:rsidRPr="0038726B" w:rsidTr="00FC538A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D45A8A" w:rsidRPr="0038726B" w:rsidRDefault="00FC538A" w:rsidP="00401DA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132481,8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D45A8A" w:rsidRPr="0038726B" w:rsidRDefault="00D22FD2" w:rsidP="00D45A8A">
            <w:pPr>
              <w:jc w:val="center"/>
              <w:rPr>
                <w:color w:val="000000"/>
                <w:lang w:val="uk-UA"/>
              </w:rPr>
            </w:pPr>
            <w:r w:rsidRPr="0038726B">
              <w:rPr>
                <w:color w:val="000000"/>
                <w:lang w:val="uk-UA"/>
              </w:rPr>
              <w:t>6</w:t>
            </w:r>
            <w:r w:rsidR="00FC538A">
              <w:rPr>
                <w:color w:val="000000"/>
                <w:lang w:val="uk-UA"/>
              </w:rPr>
              <w:t>6,5</w:t>
            </w:r>
          </w:p>
        </w:tc>
        <w:tc>
          <w:tcPr>
            <w:tcW w:w="1616" w:type="dxa"/>
          </w:tcPr>
          <w:p w:rsidR="00D45A8A" w:rsidRPr="0038726B" w:rsidRDefault="00FC538A" w:rsidP="00401DA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126165,9</w:t>
            </w:r>
          </w:p>
        </w:tc>
        <w:tc>
          <w:tcPr>
            <w:tcW w:w="1445" w:type="dxa"/>
          </w:tcPr>
          <w:p w:rsidR="00D45A8A" w:rsidRPr="0038726B" w:rsidRDefault="00B97A4C" w:rsidP="00401DA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631</w:t>
            </w:r>
            <w:r w:rsidR="00FC538A">
              <w:rPr>
                <w:color w:val="000000"/>
                <w:lang w:val="uk-UA"/>
              </w:rPr>
              <w:t>5,9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45A8A" w:rsidRPr="0038726B" w:rsidRDefault="00FC538A" w:rsidP="00401DA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66673,2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45A8A" w:rsidRPr="0038726B" w:rsidRDefault="00FC538A" w:rsidP="00D45A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33,5</w:t>
            </w:r>
          </w:p>
        </w:tc>
        <w:tc>
          <w:tcPr>
            <w:tcW w:w="1364" w:type="dxa"/>
          </w:tcPr>
          <w:p w:rsidR="00D45A8A" w:rsidRPr="0038726B" w:rsidRDefault="00FC538A" w:rsidP="00401DA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19084,7</w:t>
            </w:r>
          </w:p>
        </w:tc>
        <w:tc>
          <w:tcPr>
            <w:tcW w:w="1618" w:type="dxa"/>
          </w:tcPr>
          <w:p w:rsidR="00D45A8A" w:rsidRPr="0038726B" w:rsidRDefault="00B97A4C" w:rsidP="00401DA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47588,5</w:t>
            </w:r>
          </w:p>
        </w:tc>
      </w:tr>
    </w:tbl>
    <w:p w:rsidR="00401DAC" w:rsidRPr="0038726B" w:rsidRDefault="00401DAC" w:rsidP="002205BA">
      <w:pPr>
        <w:ind w:firstLine="708"/>
        <w:jc w:val="both"/>
        <w:rPr>
          <w:color w:val="000000"/>
          <w:lang w:val="uk-UA"/>
        </w:rPr>
      </w:pPr>
    </w:p>
    <w:p w:rsidR="00E64007" w:rsidRPr="0038726B" w:rsidRDefault="00E64007" w:rsidP="002205BA">
      <w:pPr>
        <w:ind w:firstLine="708"/>
        <w:jc w:val="both"/>
        <w:rPr>
          <w:color w:val="000000"/>
          <w:lang w:val="uk-UA"/>
        </w:rPr>
      </w:pPr>
      <w:r w:rsidRPr="0038726B">
        <w:rPr>
          <w:color w:val="000000"/>
          <w:lang w:val="uk-UA"/>
        </w:rPr>
        <w:t xml:space="preserve">Залишок коштів цільового фінансування на розвиток функції станом на кінець звітного періоду складає </w:t>
      </w:r>
      <w:r w:rsidR="00F57C54">
        <w:rPr>
          <w:color w:val="000000"/>
          <w:lang w:val="uk-UA"/>
        </w:rPr>
        <w:t>47588,5</w:t>
      </w:r>
      <w:r w:rsidRPr="0038726B">
        <w:rPr>
          <w:color w:val="000000"/>
          <w:lang w:val="uk-UA"/>
        </w:rPr>
        <w:t xml:space="preserve"> тис грн. Кошт</w:t>
      </w:r>
      <w:r w:rsidR="0052708C">
        <w:rPr>
          <w:color w:val="000000"/>
          <w:lang w:val="uk-UA"/>
        </w:rPr>
        <w:t>и</w:t>
      </w:r>
      <w:r w:rsidRPr="0038726B">
        <w:rPr>
          <w:color w:val="000000"/>
          <w:lang w:val="uk-UA"/>
        </w:rPr>
        <w:t xml:space="preserve"> акумулюються та плануються до використання  на будівництво Базових станцій морського району А1, А2 ГМЗЛБ, технічне переоснащення об’єктів ГМЗЛБ  у відповідності до фінансового плану 2018 року.</w:t>
      </w:r>
    </w:p>
    <w:p w:rsidR="00E64007" w:rsidRPr="0038726B" w:rsidRDefault="00E64007" w:rsidP="002205BA">
      <w:pPr>
        <w:ind w:firstLine="708"/>
        <w:jc w:val="both"/>
        <w:rPr>
          <w:color w:val="000000"/>
          <w:lang w:val="uk-UA"/>
        </w:rPr>
      </w:pPr>
    </w:p>
    <w:p w:rsidR="006200B2" w:rsidRDefault="00225EFF" w:rsidP="002205BA">
      <w:pPr>
        <w:ind w:firstLine="708"/>
        <w:jc w:val="both"/>
        <w:rPr>
          <w:color w:val="000000"/>
          <w:lang w:val="uk-UA"/>
        </w:rPr>
      </w:pPr>
      <w:r w:rsidRPr="00690C6A">
        <w:rPr>
          <w:color w:val="000000"/>
          <w:lang w:val="uk-UA"/>
        </w:rPr>
        <w:t xml:space="preserve">Витрати цільового фінансування </w:t>
      </w:r>
      <w:r w:rsidR="006200B2" w:rsidRPr="00690C6A">
        <w:rPr>
          <w:color w:val="000000"/>
          <w:lang w:val="uk-UA"/>
        </w:rPr>
        <w:t>2017 року складаються з:</w:t>
      </w:r>
    </w:p>
    <w:p w:rsidR="00233C2D" w:rsidRPr="00690C6A" w:rsidRDefault="00233C2D" w:rsidP="002205BA">
      <w:pPr>
        <w:ind w:firstLine="708"/>
        <w:jc w:val="both"/>
        <w:rPr>
          <w:color w:val="000000"/>
          <w:lang w:val="uk-UA"/>
        </w:rPr>
      </w:pPr>
    </w:p>
    <w:p w:rsidR="006200B2" w:rsidRPr="00690C6A" w:rsidRDefault="006200B2" w:rsidP="002205BA">
      <w:pPr>
        <w:ind w:firstLine="708"/>
        <w:jc w:val="both"/>
        <w:rPr>
          <w:color w:val="000000"/>
          <w:lang w:val="uk-UA"/>
        </w:rPr>
      </w:pPr>
      <w:r w:rsidRPr="00690C6A">
        <w:rPr>
          <w:color w:val="000000"/>
          <w:lang w:val="uk-UA"/>
        </w:rPr>
        <w:t>- собіварто</w:t>
      </w:r>
      <w:r w:rsidR="00225EFF" w:rsidRPr="00690C6A">
        <w:rPr>
          <w:color w:val="000000"/>
          <w:lang w:val="uk-UA"/>
        </w:rPr>
        <w:t xml:space="preserve">сті реалізованих послуг у сумі </w:t>
      </w:r>
      <w:r w:rsidR="00B91FBF" w:rsidRPr="00690C6A">
        <w:rPr>
          <w:color w:val="000000"/>
          <w:lang w:val="uk-UA"/>
        </w:rPr>
        <w:t>13</w:t>
      </w:r>
      <w:r w:rsidR="00225EFF" w:rsidRPr="00690C6A">
        <w:rPr>
          <w:color w:val="000000"/>
          <w:lang w:val="uk-UA"/>
        </w:rPr>
        <w:t>6</w:t>
      </w:r>
      <w:r w:rsidR="00B91FBF" w:rsidRPr="00690C6A">
        <w:rPr>
          <w:color w:val="000000"/>
          <w:lang w:val="uk-UA"/>
        </w:rPr>
        <w:t>230</w:t>
      </w:r>
      <w:r w:rsidRPr="00690C6A">
        <w:rPr>
          <w:color w:val="000000"/>
          <w:lang w:val="uk-UA"/>
        </w:rPr>
        <w:t xml:space="preserve"> тис. грн, </w:t>
      </w:r>
    </w:p>
    <w:p w:rsidR="006200B2" w:rsidRPr="00690C6A" w:rsidRDefault="006200B2" w:rsidP="002205BA">
      <w:pPr>
        <w:ind w:firstLine="708"/>
        <w:jc w:val="both"/>
        <w:rPr>
          <w:color w:val="000000"/>
          <w:lang w:val="uk-UA"/>
        </w:rPr>
      </w:pPr>
      <w:r w:rsidRPr="00690C6A">
        <w:rPr>
          <w:color w:val="000000"/>
          <w:lang w:val="uk-UA"/>
        </w:rPr>
        <w:t>- адміністративних витрат  у с</w:t>
      </w:r>
      <w:r w:rsidR="00225EFF" w:rsidRPr="00690C6A">
        <w:rPr>
          <w:color w:val="000000"/>
          <w:lang w:val="uk-UA"/>
        </w:rPr>
        <w:t xml:space="preserve">умі </w:t>
      </w:r>
      <w:r w:rsidR="00342117" w:rsidRPr="00690C6A">
        <w:rPr>
          <w:color w:val="000000"/>
          <w:lang w:val="uk-UA"/>
        </w:rPr>
        <w:t>38528</w:t>
      </w:r>
      <w:r w:rsidRPr="00690C6A">
        <w:rPr>
          <w:color w:val="000000"/>
          <w:lang w:val="uk-UA"/>
        </w:rPr>
        <w:t xml:space="preserve"> тис. грн </w:t>
      </w:r>
    </w:p>
    <w:p w:rsidR="00FD7750" w:rsidRPr="0038726B" w:rsidRDefault="006200B2" w:rsidP="002205BA">
      <w:pPr>
        <w:ind w:firstLine="708"/>
        <w:jc w:val="both"/>
        <w:rPr>
          <w:color w:val="000000"/>
          <w:lang w:val="uk-UA"/>
        </w:rPr>
      </w:pPr>
      <w:r w:rsidRPr="00690C6A">
        <w:rPr>
          <w:color w:val="000000"/>
          <w:lang w:val="uk-UA"/>
        </w:rPr>
        <w:t>- інш</w:t>
      </w:r>
      <w:r w:rsidR="00225EFF" w:rsidRPr="00690C6A">
        <w:rPr>
          <w:color w:val="000000"/>
          <w:lang w:val="uk-UA"/>
        </w:rPr>
        <w:t xml:space="preserve">их операційних витрат  у сумі </w:t>
      </w:r>
      <w:r w:rsidR="00342117" w:rsidRPr="00690C6A">
        <w:rPr>
          <w:color w:val="000000"/>
          <w:lang w:val="uk-UA"/>
        </w:rPr>
        <w:t>13300</w:t>
      </w:r>
      <w:r w:rsidRPr="00690C6A">
        <w:rPr>
          <w:color w:val="000000"/>
          <w:lang w:val="uk-UA"/>
        </w:rPr>
        <w:t xml:space="preserve"> тис. грн.</w:t>
      </w:r>
    </w:p>
    <w:p w:rsidR="002E501E" w:rsidRPr="0038726B" w:rsidRDefault="002E501E" w:rsidP="00B14DE2">
      <w:pPr>
        <w:jc w:val="both"/>
        <w:rPr>
          <w:color w:val="000000"/>
          <w:lang w:val="uk-UA"/>
        </w:rPr>
      </w:pPr>
    </w:p>
    <w:p w:rsidR="008C3CD6" w:rsidRPr="0038726B" w:rsidRDefault="004F3EE2" w:rsidP="004F3EE2">
      <w:pPr>
        <w:ind w:firstLine="708"/>
        <w:jc w:val="both"/>
        <w:rPr>
          <w:color w:val="000000"/>
          <w:lang w:val="uk-UA"/>
        </w:rPr>
      </w:pPr>
      <w:r w:rsidRPr="0038726B">
        <w:rPr>
          <w:color w:val="000000"/>
          <w:lang w:val="uk-UA"/>
        </w:rPr>
        <w:t>Собівартість реалізованої продукції (товарів, робіт та послуг) за 201</w:t>
      </w:r>
      <w:r w:rsidR="002E501E" w:rsidRPr="0038726B">
        <w:rPr>
          <w:color w:val="000000"/>
          <w:lang w:val="uk-UA"/>
        </w:rPr>
        <w:t>7</w:t>
      </w:r>
      <w:r w:rsidRPr="0038726B">
        <w:rPr>
          <w:color w:val="000000"/>
          <w:lang w:val="uk-UA"/>
        </w:rPr>
        <w:t xml:space="preserve"> р</w:t>
      </w:r>
      <w:r w:rsidR="00F67C0E">
        <w:rPr>
          <w:color w:val="000000"/>
          <w:lang w:val="uk-UA"/>
        </w:rPr>
        <w:t>і</w:t>
      </w:r>
      <w:r w:rsidRPr="0038726B">
        <w:rPr>
          <w:color w:val="000000"/>
          <w:lang w:val="uk-UA"/>
        </w:rPr>
        <w:t>к</w:t>
      </w:r>
      <w:r w:rsidR="005B4FDF" w:rsidRPr="0038726B">
        <w:rPr>
          <w:color w:val="000000"/>
          <w:lang w:val="uk-UA"/>
        </w:rPr>
        <w:t xml:space="preserve"> </w:t>
      </w:r>
      <w:r w:rsidRPr="0038726B">
        <w:rPr>
          <w:color w:val="000000"/>
          <w:lang w:val="uk-UA"/>
        </w:rPr>
        <w:t>скла</w:t>
      </w:r>
      <w:r w:rsidR="002E501E" w:rsidRPr="0038726B">
        <w:rPr>
          <w:color w:val="000000"/>
          <w:lang w:val="uk-UA"/>
        </w:rPr>
        <w:t>да</w:t>
      </w:r>
      <w:r w:rsidR="00F67C0E">
        <w:rPr>
          <w:color w:val="000000"/>
          <w:lang w:val="uk-UA"/>
        </w:rPr>
        <w:t>ють</w:t>
      </w:r>
      <w:r w:rsidR="002E501E" w:rsidRPr="0038726B">
        <w:rPr>
          <w:color w:val="000000"/>
          <w:lang w:val="uk-UA"/>
        </w:rPr>
        <w:t xml:space="preserve"> </w:t>
      </w:r>
      <w:r w:rsidR="003D6BC4">
        <w:rPr>
          <w:color w:val="000000"/>
          <w:lang w:val="uk-UA"/>
        </w:rPr>
        <w:t>136</w:t>
      </w:r>
      <w:r w:rsidR="00742C3C">
        <w:rPr>
          <w:color w:val="000000"/>
          <w:lang w:val="uk-UA"/>
        </w:rPr>
        <w:t> </w:t>
      </w:r>
      <w:r w:rsidR="003D6BC4">
        <w:rPr>
          <w:color w:val="000000"/>
          <w:lang w:val="uk-UA"/>
        </w:rPr>
        <w:t>230</w:t>
      </w:r>
      <w:r w:rsidR="00742C3C">
        <w:rPr>
          <w:color w:val="000000"/>
          <w:lang w:val="uk-UA"/>
        </w:rPr>
        <w:t>,0</w:t>
      </w:r>
      <w:r w:rsidR="00B64E00" w:rsidRPr="0038726B">
        <w:rPr>
          <w:color w:val="000000"/>
          <w:lang w:val="uk-UA"/>
        </w:rPr>
        <w:t xml:space="preserve"> </w:t>
      </w:r>
      <w:r w:rsidR="002E501E" w:rsidRPr="0038726B">
        <w:rPr>
          <w:color w:val="000000"/>
          <w:lang w:val="uk-UA"/>
        </w:rPr>
        <w:t>тис. грн.</w:t>
      </w:r>
      <w:r w:rsidR="003942A8" w:rsidRPr="0038726B">
        <w:rPr>
          <w:color w:val="000000"/>
          <w:lang w:val="uk-UA"/>
        </w:rPr>
        <w:t xml:space="preserve">, що </w:t>
      </w:r>
      <w:r w:rsidR="003D6BC4">
        <w:rPr>
          <w:color w:val="000000"/>
          <w:lang w:val="uk-UA"/>
        </w:rPr>
        <w:t>91,2</w:t>
      </w:r>
      <w:r w:rsidR="00225EFF" w:rsidRPr="0038726B">
        <w:rPr>
          <w:color w:val="000000"/>
          <w:lang w:val="uk-UA"/>
        </w:rPr>
        <w:t xml:space="preserve">% </w:t>
      </w:r>
      <w:r w:rsidR="003D6BC4">
        <w:rPr>
          <w:color w:val="000000"/>
          <w:lang w:val="uk-UA"/>
        </w:rPr>
        <w:t xml:space="preserve">від </w:t>
      </w:r>
      <w:r w:rsidR="009E3D49" w:rsidRPr="0038726B">
        <w:rPr>
          <w:color w:val="000000"/>
          <w:lang w:val="uk-UA"/>
        </w:rPr>
        <w:t>за</w:t>
      </w:r>
      <w:r w:rsidR="005B4FDF" w:rsidRPr="0038726B">
        <w:rPr>
          <w:color w:val="000000"/>
          <w:lang w:val="uk-UA"/>
        </w:rPr>
        <w:t>планов</w:t>
      </w:r>
      <w:r w:rsidR="009E3D49" w:rsidRPr="0038726B">
        <w:rPr>
          <w:color w:val="000000"/>
          <w:lang w:val="uk-UA"/>
        </w:rPr>
        <w:t>ан</w:t>
      </w:r>
      <w:r w:rsidR="003D6BC4">
        <w:rPr>
          <w:color w:val="000000"/>
          <w:lang w:val="uk-UA"/>
        </w:rPr>
        <w:t>ого</w:t>
      </w:r>
      <w:r w:rsidR="00225EFF" w:rsidRPr="0038726B">
        <w:rPr>
          <w:color w:val="000000"/>
          <w:lang w:val="uk-UA"/>
        </w:rPr>
        <w:t xml:space="preserve"> показник</w:t>
      </w:r>
      <w:r w:rsidR="003D6BC4">
        <w:rPr>
          <w:color w:val="000000"/>
          <w:lang w:val="uk-UA"/>
        </w:rPr>
        <w:t>а</w:t>
      </w:r>
      <w:r w:rsidR="00225EFF" w:rsidRPr="0038726B">
        <w:rPr>
          <w:color w:val="000000"/>
          <w:lang w:val="uk-UA"/>
        </w:rPr>
        <w:t>. Статі витрат щодо собівартості</w:t>
      </w:r>
      <w:r w:rsidR="002E501E" w:rsidRPr="0038726B">
        <w:rPr>
          <w:color w:val="000000"/>
          <w:lang w:val="uk-UA"/>
        </w:rPr>
        <w:t xml:space="preserve"> </w:t>
      </w:r>
      <w:r w:rsidR="00DA78A2" w:rsidRPr="0038726B">
        <w:rPr>
          <w:color w:val="000000"/>
          <w:lang w:val="uk-UA"/>
        </w:rPr>
        <w:t>наведені в таблиці 3.</w:t>
      </w:r>
    </w:p>
    <w:p w:rsidR="005C5015" w:rsidRDefault="005C5015">
      <w:pPr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225EFF" w:rsidRDefault="006C5E78" w:rsidP="006C5E78">
      <w:pPr>
        <w:ind w:left="8496"/>
        <w:jc w:val="both"/>
        <w:rPr>
          <w:color w:val="000000"/>
          <w:lang w:val="uk-UA"/>
        </w:rPr>
      </w:pPr>
      <w:r w:rsidRPr="0038726B">
        <w:rPr>
          <w:color w:val="000000"/>
          <w:lang w:val="uk-UA"/>
        </w:rPr>
        <w:lastRenderedPageBreak/>
        <w:t>Таблиця 3</w:t>
      </w:r>
    </w:p>
    <w:p w:rsidR="00AE6F46" w:rsidRDefault="00AE6F46" w:rsidP="00AE6F46">
      <w:pPr>
        <w:jc w:val="both"/>
        <w:rPr>
          <w:color w:val="000000"/>
          <w:lang w:val="uk-UA"/>
        </w:rPr>
      </w:pPr>
    </w:p>
    <w:p w:rsidR="00AE6F46" w:rsidRDefault="00AE6F46" w:rsidP="00AE6F46">
      <w:pPr>
        <w:jc w:val="both"/>
        <w:rPr>
          <w:color w:val="000000"/>
          <w:lang w:val="uk-UA"/>
        </w:rPr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4957"/>
        <w:gridCol w:w="1247"/>
        <w:gridCol w:w="1225"/>
        <w:gridCol w:w="1327"/>
        <w:gridCol w:w="1276"/>
      </w:tblGrid>
      <w:tr w:rsidR="00742C3C" w:rsidTr="001E0A9E">
        <w:trPr>
          <w:trHeight w:val="78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3C" w:rsidRPr="00336478" w:rsidRDefault="00742C3C">
            <w:pPr>
              <w:jc w:val="center"/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3C" w:rsidRDefault="00742C3C" w:rsidP="005C5015">
            <w:pPr>
              <w:jc w:val="center"/>
              <w:rPr>
                <w:sz w:val="22"/>
                <w:szCs w:val="22"/>
                <w:lang w:val="uk-UA"/>
              </w:rPr>
            </w:pPr>
            <w:r w:rsidRPr="00826BEC">
              <w:rPr>
                <w:sz w:val="22"/>
                <w:szCs w:val="22"/>
                <w:lang w:val="uk-UA"/>
              </w:rPr>
              <w:t xml:space="preserve">Звітний період </w:t>
            </w:r>
          </w:p>
          <w:p w:rsidR="005C5015" w:rsidRPr="00826BEC" w:rsidRDefault="005C5015" w:rsidP="005C501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42C3C" w:rsidTr="001E0A9E">
        <w:trPr>
          <w:trHeight w:val="60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3C" w:rsidRPr="00336478" w:rsidRDefault="00742C3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3C" w:rsidRPr="00826BEC" w:rsidRDefault="00742C3C">
            <w:pPr>
              <w:jc w:val="center"/>
              <w:rPr>
                <w:sz w:val="22"/>
                <w:szCs w:val="22"/>
                <w:lang w:val="uk-UA"/>
              </w:rPr>
            </w:pPr>
            <w:r w:rsidRPr="00826BEC">
              <w:rPr>
                <w:sz w:val="22"/>
                <w:szCs w:val="22"/>
                <w:lang w:val="uk-UA"/>
              </w:rPr>
              <w:t xml:space="preserve">план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3C" w:rsidRPr="00826BEC" w:rsidRDefault="00742C3C">
            <w:pPr>
              <w:jc w:val="center"/>
              <w:rPr>
                <w:sz w:val="22"/>
                <w:szCs w:val="22"/>
                <w:lang w:val="uk-UA"/>
              </w:rPr>
            </w:pPr>
            <w:r w:rsidRPr="00826BEC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3C" w:rsidRPr="00826BEC" w:rsidRDefault="00742C3C">
            <w:pPr>
              <w:jc w:val="center"/>
              <w:rPr>
                <w:sz w:val="22"/>
                <w:szCs w:val="22"/>
                <w:lang w:val="uk-UA"/>
              </w:rPr>
            </w:pPr>
            <w:r w:rsidRPr="00826BEC">
              <w:rPr>
                <w:sz w:val="22"/>
                <w:szCs w:val="22"/>
                <w:lang w:val="uk-UA"/>
              </w:rPr>
              <w:t>відхилення,  +/–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3C" w:rsidRPr="00826BEC" w:rsidRDefault="00742C3C">
            <w:pPr>
              <w:jc w:val="center"/>
              <w:rPr>
                <w:sz w:val="22"/>
                <w:szCs w:val="22"/>
                <w:lang w:val="uk-UA"/>
              </w:rPr>
            </w:pPr>
            <w:r w:rsidRPr="00826BEC">
              <w:rPr>
                <w:sz w:val="22"/>
                <w:szCs w:val="22"/>
                <w:lang w:val="uk-UA"/>
              </w:rPr>
              <w:t>виконання, %</w:t>
            </w:r>
          </w:p>
        </w:tc>
      </w:tr>
      <w:tr w:rsidR="00742C3C" w:rsidTr="001E0A9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C3C" w:rsidRPr="00336478" w:rsidRDefault="00742C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36478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3C" w:rsidRPr="00826BEC" w:rsidRDefault="00742C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26BEC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3C" w:rsidRPr="00826BEC" w:rsidRDefault="00742C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26BEC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3C" w:rsidRPr="00826BEC" w:rsidRDefault="00742C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26BEC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3C" w:rsidRPr="00826BEC" w:rsidRDefault="00742C3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26BEC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336478" w:rsidTr="001E0A9E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149 348,0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136 230,0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-13 118,0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91,2</w:t>
            </w:r>
          </w:p>
        </w:tc>
      </w:tr>
      <w:tr w:rsidR="00336478" w:rsidTr="001E0A9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Витрати на сировину та основні матеріали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3 233,0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2 966,5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91,8</w:t>
            </w:r>
          </w:p>
        </w:tc>
      </w:tr>
      <w:tr w:rsidR="00336478" w:rsidTr="001E0A9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 xml:space="preserve">Витрати на паливо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7 923,0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4 513,0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-3 410,0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57,0</w:t>
            </w:r>
          </w:p>
        </w:tc>
      </w:tr>
      <w:tr w:rsidR="00336478" w:rsidTr="001E0A9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Витрати на електроенергію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86,0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</w:t>
            </w:r>
          </w:p>
        </w:tc>
      </w:tr>
      <w:tr w:rsidR="00336478" w:rsidTr="001E0A9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Витрати на оплату праці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58 332,0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55 726,2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-2 605,8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95,5</w:t>
            </w:r>
          </w:p>
        </w:tc>
      </w:tr>
      <w:tr w:rsidR="00336478" w:rsidTr="001E0A9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Відрахування на соціальні заходи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12 673,0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11 612,5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-1 060,5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91,6</w:t>
            </w:r>
          </w:p>
        </w:tc>
      </w:tr>
      <w:tr w:rsidR="00336478" w:rsidTr="001E0A9E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Витрати, що здійснюються для підтримання об’єкта в робочому стані (проведення ремонту, технічного огляду, нагляду, обслуговування тощо)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35 904,0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34 262,6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-1 641,4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95,4</w:t>
            </w:r>
          </w:p>
        </w:tc>
      </w:tr>
      <w:tr w:rsidR="00336478" w:rsidTr="001E0A9E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Амортизація основних засобів і нематеріальних активів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11 296,0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9 106,3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-2 189,7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80,6</w:t>
            </w:r>
          </w:p>
        </w:tc>
      </w:tr>
      <w:tr w:rsidR="00336478" w:rsidTr="001E0A9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Інші витрати (розшифрувати)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19 901,0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18 042,9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-1 858,1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90,7</w:t>
            </w:r>
          </w:p>
        </w:tc>
      </w:tr>
      <w:tr w:rsidR="00336478" w:rsidTr="001E0A9E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F81EAE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В</w:t>
            </w:r>
            <w:r w:rsidR="00336478" w:rsidRPr="00336478">
              <w:rPr>
                <w:sz w:val="22"/>
                <w:szCs w:val="22"/>
                <w:lang w:val="uk-UA"/>
              </w:rPr>
              <w:t>икористання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336478" w:rsidRPr="00336478">
              <w:rPr>
                <w:sz w:val="22"/>
                <w:szCs w:val="22"/>
                <w:lang w:val="uk-UA"/>
              </w:rPr>
              <w:t xml:space="preserve">основних засобів </w:t>
            </w:r>
            <w:r w:rsidRPr="00336478">
              <w:rPr>
                <w:sz w:val="22"/>
                <w:szCs w:val="22"/>
                <w:lang w:val="uk-UA"/>
              </w:rPr>
              <w:t>сторонніх</w:t>
            </w:r>
            <w:r w:rsidR="00336478" w:rsidRPr="00336478">
              <w:rPr>
                <w:sz w:val="22"/>
                <w:szCs w:val="22"/>
                <w:lang w:val="uk-UA"/>
              </w:rPr>
              <w:t xml:space="preserve"> організацій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336478" w:rsidRPr="00336478">
              <w:rPr>
                <w:sz w:val="22"/>
                <w:szCs w:val="22"/>
                <w:lang w:val="uk-UA"/>
              </w:rPr>
              <w:t>та відшкодування витрат на їх утримання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14 732,0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14 131,6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-600,4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95,9</w:t>
            </w:r>
          </w:p>
        </w:tc>
      </w:tr>
      <w:tr w:rsidR="00336478" w:rsidTr="001E0A9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витрати на відрядження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1 398,0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1 343,8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96,1</w:t>
            </w:r>
          </w:p>
        </w:tc>
      </w:tr>
      <w:tr w:rsidR="00336478" w:rsidTr="001E0A9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3 771,0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2 567,5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-1 203,5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68,1</w:t>
            </w:r>
          </w:p>
        </w:tc>
      </w:tr>
      <w:tr w:rsidR="00336478" w:rsidTr="001E0A9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витрати на охорону праці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173,0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74,4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43,0</w:t>
            </w:r>
          </w:p>
        </w:tc>
      </w:tr>
      <w:tr w:rsidR="00336478" w:rsidTr="001E0A9E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витрати на обслуговування авто</w:t>
            </w:r>
            <w:r w:rsidR="00BD43DA">
              <w:rPr>
                <w:sz w:val="22"/>
                <w:szCs w:val="22"/>
                <w:lang w:val="uk-UA"/>
              </w:rPr>
              <w:t xml:space="preserve"> </w:t>
            </w:r>
            <w:r w:rsidRPr="00336478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36478">
              <w:rPr>
                <w:sz w:val="22"/>
                <w:szCs w:val="22"/>
                <w:lang w:val="uk-UA"/>
              </w:rPr>
              <w:t>шиномонтаж</w:t>
            </w:r>
            <w:proofErr w:type="spellEnd"/>
            <w:r w:rsidRPr="00336478">
              <w:rPr>
                <w:sz w:val="22"/>
                <w:szCs w:val="22"/>
                <w:lang w:val="uk-UA"/>
              </w:rPr>
              <w:t>, мийка, ТО)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34,0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32,9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96,8</w:t>
            </w:r>
          </w:p>
        </w:tc>
      </w:tr>
      <w:tr w:rsidR="00336478" w:rsidTr="001E0A9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витрати на зв'язок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691,0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432,8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62,6</w:t>
            </w:r>
          </w:p>
        </w:tc>
      </w:tr>
      <w:tr w:rsidR="00336478" w:rsidTr="001E0A9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витрати на навчання виробничого персоналу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309,0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250,1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80,9</w:t>
            </w:r>
          </w:p>
        </w:tc>
      </w:tr>
      <w:tr w:rsidR="00336478" w:rsidTr="001E0A9E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витрати на страхування плавзасобів, членів екіпажу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423,0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</w:t>
            </w:r>
          </w:p>
        </w:tc>
      </w:tr>
      <w:tr w:rsidR="00336478" w:rsidTr="001E0A9E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послуги зі зберігання палива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172,0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180,2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104,8</w:t>
            </w:r>
          </w:p>
        </w:tc>
      </w:tr>
      <w:tr w:rsidR="00336478" w:rsidTr="001E0A9E">
        <w:trPr>
          <w:trHeight w:val="6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послуги, що надаються суднам у місцях стоянки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353,0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342,2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96,9</w:t>
            </w:r>
          </w:p>
        </w:tc>
      </w:tr>
      <w:tr w:rsidR="00336478" w:rsidTr="001E0A9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витрати на охорону навколишнього середовища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242,0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96,9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40,0</w:t>
            </w:r>
          </w:p>
        </w:tc>
      </w:tr>
      <w:tr w:rsidR="00336478" w:rsidTr="001E0A9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послуги СЕС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15,5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31,0</w:t>
            </w:r>
          </w:p>
        </w:tc>
      </w:tr>
      <w:tr w:rsidR="00336478" w:rsidTr="001E0A9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 xml:space="preserve">організаційно-технічні послуги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565,0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395,6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70,0</w:t>
            </w:r>
          </w:p>
        </w:tc>
      </w:tr>
      <w:tr w:rsidR="00336478" w:rsidTr="001E0A9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земельний податок, радіочастотний збір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372,0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490,0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131,7</w:t>
            </w:r>
          </w:p>
        </w:tc>
      </w:tr>
      <w:tr w:rsidR="00336478" w:rsidTr="001E0A9E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78" w:rsidRPr="00336478" w:rsidRDefault="00336478" w:rsidP="00336478">
            <w:pPr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витрати щодо послуг ДІКМС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32,0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27,6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-4,4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78" w:rsidRPr="00336478" w:rsidRDefault="00336478" w:rsidP="001E0A9E">
            <w:pPr>
              <w:jc w:val="center"/>
              <w:rPr>
                <w:sz w:val="22"/>
                <w:szCs w:val="22"/>
              </w:rPr>
            </w:pPr>
            <w:r w:rsidRPr="00336478">
              <w:rPr>
                <w:sz w:val="22"/>
                <w:szCs w:val="22"/>
              </w:rPr>
              <w:t>86,3</w:t>
            </w:r>
          </w:p>
        </w:tc>
      </w:tr>
    </w:tbl>
    <w:p w:rsidR="00742C3C" w:rsidRDefault="00742C3C" w:rsidP="00742C3C">
      <w:pPr>
        <w:jc w:val="both"/>
        <w:rPr>
          <w:color w:val="000000"/>
          <w:lang w:val="uk-UA"/>
        </w:rPr>
      </w:pPr>
    </w:p>
    <w:p w:rsidR="00742C3C" w:rsidRPr="0038726B" w:rsidRDefault="00742C3C" w:rsidP="00742C3C">
      <w:pPr>
        <w:jc w:val="both"/>
        <w:rPr>
          <w:color w:val="000000"/>
          <w:lang w:val="uk-UA"/>
        </w:rPr>
      </w:pPr>
    </w:p>
    <w:p w:rsidR="00CE7D02" w:rsidRPr="0038726B" w:rsidRDefault="006F10FA" w:rsidP="009D4F05">
      <w:pPr>
        <w:ind w:firstLine="708"/>
        <w:jc w:val="both"/>
        <w:rPr>
          <w:color w:val="000000"/>
          <w:lang w:val="uk-UA"/>
        </w:rPr>
      </w:pPr>
      <w:r w:rsidRPr="0038726B">
        <w:rPr>
          <w:color w:val="000000"/>
          <w:lang w:val="uk-UA"/>
        </w:rPr>
        <w:lastRenderedPageBreak/>
        <w:t xml:space="preserve">Статті витрат у складі </w:t>
      </w:r>
      <w:r w:rsidR="00CE7D02" w:rsidRPr="0038726B">
        <w:rPr>
          <w:color w:val="000000"/>
          <w:lang w:val="uk-UA"/>
        </w:rPr>
        <w:t>адміністративних витрат</w:t>
      </w:r>
      <w:r w:rsidR="00DA78A2" w:rsidRPr="0038726B">
        <w:rPr>
          <w:color w:val="000000"/>
          <w:lang w:val="uk-UA"/>
        </w:rPr>
        <w:t xml:space="preserve"> </w:t>
      </w:r>
      <w:r w:rsidR="00671B03" w:rsidRPr="0038726B">
        <w:rPr>
          <w:color w:val="000000"/>
          <w:lang w:val="uk-UA"/>
        </w:rPr>
        <w:t>за</w:t>
      </w:r>
      <w:r w:rsidR="006C5E78" w:rsidRPr="0038726B">
        <w:rPr>
          <w:color w:val="000000"/>
          <w:lang w:val="uk-UA"/>
        </w:rPr>
        <w:t xml:space="preserve"> </w:t>
      </w:r>
      <w:r w:rsidR="00E30F09" w:rsidRPr="0038726B">
        <w:rPr>
          <w:color w:val="000000"/>
          <w:lang w:val="uk-UA"/>
        </w:rPr>
        <w:t>2017 р</w:t>
      </w:r>
      <w:r w:rsidR="00912348">
        <w:rPr>
          <w:color w:val="000000"/>
          <w:lang w:val="uk-UA"/>
        </w:rPr>
        <w:t>і</w:t>
      </w:r>
      <w:r w:rsidR="00E30F09" w:rsidRPr="0038726B">
        <w:rPr>
          <w:color w:val="000000"/>
          <w:lang w:val="uk-UA"/>
        </w:rPr>
        <w:t xml:space="preserve">к, </w:t>
      </w:r>
      <w:r w:rsidR="00057648" w:rsidRPr="0038726B">
        <w:rPr>
          <w:color w:val="000000"/>
          <w:lang w:val="uk-UA"/>
        </w:rPr>
        <w:t xml:space="preserve">складають </w:t>
      </w:r>
      <w:r w:rsidR="000362F1">
        <w:rPr>
          <w:color w:val="000000"/>
          <w:lang w:val="uk-UA"/>
        </w:rPr>
        <w:t>38528</w:t>
      </w:r>
      <w:r w:rsidR="00057648" w:rsidRPr="0038726B">
        <w:rPr>
          <w:color w:val="000000"/>
          <w:lang w:val="uk-UA"/>
        </w:rPr>
        <w:t>,</w:t>
      </w:r>
      <w:r w:rsidR="00826BEC">
        <w:rPr>
          <w:color w:val="000000"/>
          <w:lang w:val="uk-UA"/>
        </w:rPr>
        <w:t>0</w:t>
      </w:r>
      <w:r w:rsidR="00DA78A2" w:rsidRPr="0038726B">
        <w:rPr>
          <w:color w:val="000000"/>
          <w:lang w:val="uk-UA"/>
        </w:rPr>
        <w:t xml:space="preserve"> тис. грн.,</w:t>
      </w:r>
      <w:r w:rsidR="006C5E78" w:rsidRPr="0038726B">
        <w:rPr>
          <w:color w:val="000000"/>
          <w:lang w:val="uk-UA"/>
        </w:rPr>
        <w:t xml:space="preserve"> що </w:t>
      </w:r>
      <w:r w:rsidR="003942A8" w:rsidRPr="0038726B">
        <w:rPr>
          <w:color w:val="000000"/>
          <w:lang w:val="uk-UA"/>
        </w:rPr>
        <w:t>на</w:t>
      </w:r>
      <w:r w:rsidR="006C5E78" w:rsidRPr="0038726B">
        <w:rPr>
          <w:color w:val="000000"/>
          <w:lang w:val="uk-UA"/>
        </w:rPr>
        <w:t xml:space="preserve"> </w:t>
      </w:r>
      <w:r w:rsidR="000362F1">
        <w:rPr>
          <w:color w:val="000000"/>
          <w:lang w:val="uk-UA"/>
        </w:rPr>
        <w:t>8</w:t>
      </w:r>
      <w:r w:rsidR="006C5E78" w:rsidRPr="0038726B">
        <w:rPr>
          <w:color w:val="000000"/>
          <w:lang w:val="uk-UA"/>
        </w:rPr>
        <w:t>,</w:t>
      </w:r>
      <w:r w:rsidR="000362F1">
        <w:rPr>
          <w:color w:val="000000"/>
          <w:lang w:val="uk-UA"/>
        </w:rPr>
        <w:t>8</w:t>
      </w:r>
      <w:r w:rsidR="006C5E78" w:rsidRPr="0038726B">
        <w:rPr>
          <w:color w:val="000000"/>
          <w:lang w:val="uk-UA"/>
        </w:rPr>
        <w:t>% м</w:t>
      </w:r>
      <w:r w:rsidR="00756DC1" w:rsidRPr="0038726B">
        <w:rPr>
          <w:color w:val="000000"/>
          <w:lang w:val="uk-UA"/>
        </w:rPr>
        <w:t xml:space="preserve">енш ніж </w:t>
      </w:r>
      <w:r w:rsidR="006C5E78" w:rsidRPr="0038726B">
        <w:rPr>
          <w:color w:val="000000"/>
          <w:lang w:val="uk-UA"/>
        </w:rPr>
        <w:t xml:space="preserve">планований показник. Статті витрат щодо адміністративних витрат </w:t>
      </w:r>
      <w:r w:rsidR="00CE7D02" w:rsidRPr="0038726B">
        <w:rPr>
          <w:color w:val="000000"/>
          <w:lang w:val="uk-UA"/>
        </w:rPr>
        <w:t>наведен</w:t>
      </w:r>
      <w:r w:rsidR="00E30F09" w:rsidRPr="0038726B">
        <w:rPr>
          <w:color w:val="000000"/>
          <w:lang w:val="uk-UA"/>
        </w:rPr>
        <w:t>і</w:t>
      </w:r>
      <w:r w:rsidR="00CE7D02" w:rsidRPr="0038726B">
        <w:rPr>
          <w:color w:val="000000"/>
          <w:lang w:val="uk-UA"/>
        </w:rPr>
        <w:t xml:space="preserve"> в таблиці</w:t>
      </w:r>
      <w:r w:rsidRPr="0038726B">
        <w:rPr>
          <w:color w:val="000000"/>
          <w:lang w:val="uk-UA"/>
        </w:rPr>
        <w:t xml:space="preserve"> 4.</w:t>
      </w:r>
    </w:p>
    <w:p w:rsidR="00826BEC" w:rsidRDefault="00F520D8" w:rsidP="00826BEC">
      <w:pPr>
        <w:ind w:left="7788" w:firstLine="708"/>
        <w:rPr>
          <w:color w:val="000000"/>
          <w:lang w:val="uk-UA"/>
        </w:rPr>
      </w:pPr>
      <w:r w:rsidRPr="0038726B">
        <w:rPr>
          <w:color w:val="000000"/>
          <w:lang w:val="uk-UA"/>
        </w:rPr>
        <w:t>Таблиця 4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790"/>
        <w:gridCol w:w="1442"/>
        <w:gridCol w:w="1225"/>
        <w:gridCol w:w="1327"/>
        <w:gridCol w:w="1276"/>
      </w:tblGrid>
      <w:tr w:rsidR="000362F1" w:rsidRPr="00826BEC" w:rsidTr="00017006">
        <w:trPr>
          <w:trHeight w:val="780"/>
        </w:trPr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336478" w:rsidRDefault="000362F1" w:rsidP="0081058D">
            <w:pPr>
              <w:jc w:val="center"/>
              <w:rPr>
                <w:sz w:val="22"/>
                <w:szCs w:val="22"/>
                <w:lang w:val="uk-UA"/>
              </w:rPr>
            </w:pPr>
            <w:r w:rsidRPr="00336478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F1" w:rsidRDefault="000362F1" w:rsidP="00233C2D">
            <w:pPr>
              <w:jc w:val="center"/>
              <w:rPr>
                <w:sz w:val="22"/>
                <w:szCs w:val="22"/>
                <w:lang w:val="uk-UA"/>
              </w:rPr>
            </w:pPr>
            <w:r w:rsidRPr="00826BEC">
              <w:rPr>
                <w:sz w:val="22"/>
                <w:szCs w:val="22"/>
                <w:lang w:val="uk-UA"/>
              </w:rPr>
              <w:t>Звітний період</w:t>
            </w:r>
          </w:p>
          <w:p w:rsidR="00233C2D" w:rsidRPr="00826BEC" w:rsidRDefault="00233C2D" w:rsidP="00233C2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362F1" w:rsidRPr="00826BEC" w:rsidTr="00017006">
        <w:trPr>
          <w:trHeight w:val="600"/>
        </w:trPr>
        <w:tc>
          <w:tcPr>
            <w:tcW w:w="4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1" w:rsidRPr="00336478" w:rsidRDefault="000362F1" w:rsidP="008105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826BEC" w:rsidRDefault="000362F1" w:rsidP="0081058D">
            <w:pPr>
              <w:jc w:val="center"/>
              <w:rPr>
                <w:sz w:val="22"/>
                <w:szCs w:val="22"/>
                <w:lang w:val="uk-UA"/>
              </w:rPr>
            </w:pPr>
            <w:r w:rsidRPr="00826BEC">
              <w:rPr>
                <w:sz w:val="22"/>
                <w:szCs w:val="22"/>
                <w:lang w:val="uk-UA"/>
              </w:rPr>
              <w:t xml:space="preserve">план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826BEC" w:rsidRDefault="000362F1" w:rsidP="0081058D">
            <w:pPr>
              <w:jc w:val="center"/>
              <w:rPr>
                <w:sz w:val="22"/>
                <w:szCs w:val="22"/>
                <w:lang w:val="uk-UA"/>
              </w:rPr>
            </w:pPr>
            <w:r w:rsidRPr="00826BEC">
              <w:rPr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826BEC" w:rsidRDefault="000362F1" w:rsidP="0081058D">
            <w:pPr>
              <w:jc w:val="center"/>
              <w:rPr>
                <w:sz w:val="22"/>
                <w:szCs w:val="22"/>
                <w:lang w:val="uk-UA"/>
              </w:rPr>
            </w:pPr>
            <w:r w:rsidRPr="00826BEC">
              <w:rPr>
                <w:sz w:val="22"/>
                <w:szCs w:val="22"/>
                <w:lang w:val="uk-UA"/>
              </w:rPr>
              <w:t>відхилення,  +/–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826BEC" w:rsidRDefault="000362F1" w:rsidP="0081058D">
            <w:pPr>
              <w:jc w:val="center"/>
              <w:rPr>
                <w:sz w:val="22"/>
                <w:szCs w:val="22"/>
                <w:lang w:val="uk-UA"/>
              </w:rPr>
            </w:pPr>
            <w:r w:rsidRPr="00826BEC">
              <w:rPr>
                <w:sz w:val="22"/>
                <w:szCs w:val="22"/>
                <w:lang w:val="uk-UA"/>
              </w:rPr>
              <w:t>виконання, %</w:t>
            </w:r>
          </w:p>
        </w:tc>
      </w:tr>
      <w:tr w:rsidR="000362F1" w:rsidRPr="00826BEC" w:rsidTr="00017006">
        <w:trPr>
          <w:trHeight w:val="30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F1" w:rsidRPr="00336478" w:rsidRDefault="000362F1" w:rsidP="008105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36478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F1" w:rsidRPr="00826BEC" w:rsidRDefault="000362F1" w:rsidP="008105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26BEC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F1" w:rsidRPr="00826BEC" w:rsidRDefault="000362F1" w:rsidP="008105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26BEC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F1" w:rsidRPr="00826BEC" w:rsidRDefault="000362F1" w:rsidP="008105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26BEC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F1" w:rsidRPr="00826BEC" w:rsidRDefault="000362F1" w:rsidP="0081058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26BEC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0362F1" w:rsidTr="00017006">
        <w:trPr>
          <w:trHeight w:val="40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Адміністративні витрати, у тому числі: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40 287,0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38 528,0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1 759,0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95,6</w:t>
            </w:r>
          </w:p>
        </w:tc>
      </w:tr>
      <w:tr w:rsidR="000362F1" w:rsidTr="00017006">
        <w:trPr>
          <w:trHeight w:val="64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витрати, пов'язані з використанням власних службових автомобілів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17,7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</w:p>
        </w:tc>
      </w:tr>
      <w:tr w:rsidR="000362F1" w:rsidTr="00017006">
        <w:trPr>
          <w:trHeight w:val="66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витрати на службові відрядження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1 401,0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1 224,8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87,4</w:t>
            </w:r>
          </w:p>
        </w:tc>
      </w:tr>
      <w:tr w:rsidR="000362F1" w:rsidTr="00017006">
        <w:trPr>
          <w:trHeight w:val="76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витрати на зв’язок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221,0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120,5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54,5</w:t>
            </w:r>
          </w:p>
        </w:tc>
      </w:tr>
      <w:tr w:rsidR="000362F1" w:rsidTr="00017006">
        <w:trPr>
          <w:trHeight w:val="40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витрати на оплату праці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19 780,0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20 136,4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-356,4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101,8</w:t>
            </w:r>
          </w:p>
        </w:tc>
      </w:tr>
      <w:tr w:rsidR="000362F1" w:rsidTr="00017006">
        <w:trPr>
          <w:trHeight w:val="40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відрахування на соціальні заходи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4 309,0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4 118,3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95,6</w:t>
            </w:r>
          </w:p>
        </w:tc>
      </w:tr>
      <w:tr w:rsidR="000362F1" w:rsidTr="00017006">
        <w:trPr>
          <w:trHeight w:val="69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амортизація основних засобів і нематеріальних активів загальногосподарського призначення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1 214,0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722,1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59,5</w:t>
            </w:r>
          </w:p>
        </w:tc>
      </w:tr>
      <w:tr w:rsidR="000362F1" w:rsidTr="00017006">
        <w:trPr>
          <w:trHeight w:val="8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витрати на операційну оренду основних засобів та роялті, що мають загальногосподарське призначення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7 439,0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7 336,3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98,6</w:t>
            </w:r>
          </w:p>
        </w:tc>
      </w:tr>
      <w:tr w:rsidR="000362F1" w:rsidTr="00017006">
        <w:trPr>
          <w:trHeight w:val="40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 xml:space="preserve">організаційно-технічні послуги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85,0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87,9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-2,9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103,4</w:t>
            </w:r>
          </w:p>
        </w:tc>
      </w:tr>
      <w:tr w:rsidR="000362F1" w:rsidTr="00017006">
        <w:trPr>
          <w:trHeight w:val="73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юридичні послуги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48,0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22,6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47,1</w:t>
            </w:r>
          </w:p>
        </w:tc>
      </w:tr>
      <w:tr w:rsidR="000362F1" w:rsidTr="00017006">
        <w:trPr>
          <w:trHeight w:val="40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послуги з оцінки майна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4,2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-0,2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105,0</w:t>
            </w:r>
          </w:p>
        </w:tc>
      </w:tr>
      <w:tr w:rsidR="000362F1" w:rsidTr="00017006">
        <w:trPr>
          <w:trHeight w:val="40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 xml:space="preserve">витрати на підвищення кваліфікації та перепідготовку кадрів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109,0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40,4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37,1</w:t>
            </w:r>
          </w:p>
        </w:tc>
      </w:tr>
      <w:tr w:rsidR="000362F1" w:rsidTr="00017006">
        <w:trPr>
          <w:trHeight w:val="8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витрати на утримання основних фондів, інших необоротних активів загальногосподарського використання,  у тому числі: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1 886,0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1 718,0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91,1</w:t>
            </w:r>
          </w:p>
        </w:tc>
      </w:tr>
      <w:tr w:rsidR="000362F1" w:rsidTr="00017006">
        <w:trPr>
          <w:trHeight w:val="40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інші адміністративні витрати (розшифрувати)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3 791,0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2 976,1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814,9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78,5</w:t>
            </w:r>
          </w:p>
        </w:tc>
      </w:tr>
      <w:tr w:rsidR="000362F1" w:rsidTr="00017006">
        <w:trPr>
          <w:trHeight w:val="46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витрати на матеріали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1 310,0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705,1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604,9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53,8</w:t>
            </w:r>
          </w:p>
        </w:tc>
      </w:tr>
      <w:tr w:rsidR="000362F1" w:rsidTr="00017006">
        <w:trPr>
          <w:trHeight w:val="48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інші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2 481,0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2 271,0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91,5</w:t>
            </w:r>
          </w:p>
        </w:tc>
      </w:tr>
      <w:tr w:rsidR="000362F1" w:rsidTr="00017006">
        <w:trPr>
          <w:trHeight w:val="39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послуги  банку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142,0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95,1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67,0</w:t>
            </w:r>
          </w:p>
        </w:tc>
      </w:tr>
      <w:tr w:rsidR="000362F1" w:rsidTr="00017006">
        <w:trPr>
          <w:trHeight w:val="42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обслуговування комп'ютерних програм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463,0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343,2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74,1</w:t>
            </w:r>
          </w:p>
        </w:tc>
      </w:tr>
      <w:tr w:rsidR="000362F1" w:rsidTr="00017006">
        <w:trPr>
          <w:trHeight w:val="58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витрати на додаткові послуги згідно договору оренди офісних приміщень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836,0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794,8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95,1</w:t>
            </w:r>
          </w:p>
        </w:tc>
      </w:tr>
      <w:tr w:rsidR="000362F1" w:rsidTr="00017006">
        <w:trPr>
          <w:trHeight w:val="79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lastRenderedPageBreak/>
              <w:t>рекламні послуги, висвітлення діяльності підприємства, розміщення інформації в ЗМІ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161,0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160,4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99,6</w:t>
            </w:r>
          </w:p>
        </w:tc>
      </w:tr>
      <w:tr w:rsidR="000362F1" w:rsidTr="00017006">
        <w:trPr>
          <w:trHeight w:val="88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витрати на організацію та проведення 14-ї Конференції з пошуку та рятування на Чорному морі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540,0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523,9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97,0</w:t>
            </w:r>
          </w:p>
        </w:tc>
      </w:tr>
      <w:tr w:rsidR="000362F1" w:rsidTr="00017006">
        <w:trPr>
          <w:trHeight w:val="58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Підписка на періодичні видання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110,0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111,3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-1,3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101,2</w:t>
            </w:r>
          </w:p>
        </w:tc>
      </w:tr>
      <w:tr w:rsidR="000362F1" w:rsidTr="00017006">
        <w:trPr>
          <w:trHeight w:val="58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Послуги державних реєстраторів та ТПП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-</w:t>
            </w:r>
          </w:p>
        </w:tc>
      </w:tr>
      <w:tr w:rsidR="000362F1" w:rsidTr="00017006">
        <w:trPr>
          <w:trHeight w:val="58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Інші організаційно-технічні витрати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25,0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1301B">
            <w:pPr>
              <w:jc w:val="center"/>
            </w:pPr>
            <w:r>
              <w:t>-</w:t>
            </w:r>
          </w:p>
        </w:tc>
      </w:tr>
      <w:tr w:rsidR="000362F1" w:rsidTr="00017006">
        <w:trPr>
          <w:trHeight w:val="79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Отримання науково-дослідницької роботи щодо окремих питань діяльності підприємства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673E0">
            <w:pPr>
              <w:jc w:val="center"/>
            </w:pPr>
            <w:r>
              <w:t>90,0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673E0">
            <w:pPr>
              <w:jc w:val="center"/>
            </w:pPr>
            <w:r>
              <w:t>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673E0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673E0">
            <w:pPr>
              <w:jc w:val="center"/>
            </w:pPr>
            <w:r>
              <w:t>100,0</w:t>
            </w:r>
          </w:p>
        </w:tc>
      </w:tr>
      <w:tr w:rsidR="000362F1" w:rsidTr="00017006">
        <w:trPr>
          <w:trHeight w:val="82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>Отримання послуг з питань податкового та бухгалтерського обліку для реалізації нової облікової політики підприємства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673E0">
            <w:pPr>
              <w:jc w:val="center"/>
            </w:pPr>
            <w:r>
              <w:t>99,0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673E0">
            <w:pPr>
              <w:jc w:val="center"/>
            </w:pPr>
            <w:r>
              <w:t>97,5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673E0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673E0">
            <w:pPr>
              <w:jc w:val="center"/>
            </w:pPr>
            <w:r>
              <w:t>98,5</w:t>
            </w:r>
          </w:p>
        </w:tc>
      </w:tr>
      <w:tr w:rsidR="000362F1" w:rsidTr="00877CAA">
        <w:trPr>
          <w:trHeight w:val="82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lang w:val="uk-UA"/>
              </w:rPr>
            </w:pPr>
            <w:r w:rsidRPr="000362F1">
              <w:rPr>
                <w:lang w:val="uk-UA"/>
              </w:rPr>
              <w:t xml:space="preserve">витрати на утримання основних фондів адміністративного призначення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673E0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673E0">
            <w:pPr>
              <w:jc w:val="center"/>
            </w:pPr>
            <w:r>
              <w:t>54,8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Default="000362F1" w:rsidP="00B673E0">
            <w:pPr>
              <w:jc w:val="center"/>
            </w:pPr>
            <w:r>
              <w:t>-54,8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F1" w:rsidRDefault="000362F1" w:rsidP="00B673E0">
            <w:pPr>
              <w:jc w:val="center"/>
            </w:pPr>
          </w:p>
        </w:tc>
      </w:tr>
    </w:tbl>
    <w:p w:rsidR="000362F1" w:rsidRDefault="000362F1" w:rsidP="000362F1">
      <w:pPr>
        <w:rPr>
          <w:color w:val="000000"/>
          <w:lang w:val="uk-UA"/>
        </w:rPr>
      </w:pPr>
    </w:p>
    <w:p w:rsidR="001B2262" w:rsidRPr="0038726B" w:rsidRDefault="007706B1" w:rsidP="00F520D8">
      <w:pPr>
        <w:tabs>
          <w:tab w:val="left" w:pos="0"/>
        </w:tabs>
        <w:spacing w:line="240" w:lineRule="atLeast"/>
        <w:jc w:val="both"/>
        <w:rPr>
          <w:lang w:val="uk-UA"/>
        </w:rPr>
      </w:pPr>
      <w:r w:rsidRPr="0038726B">
        <w:rPr>
          <w:lang w:val="uk-UA"/>
        </w:rPr>
        <w:tab/>
      </w:r>
      <w:r w:rsidR="001B2262" w:rsidRPr="0038726B">
        <w:rPr>
          <w:lang w:val="uk-UA"/>
        </w:rPr>
        <w:t>Інші операційні витрати за</w:t>
      </w:r>
      <w:r w:rsidR="00E30F09" w:rsidRPr="0038726B">
        <w:rPr>
          <w:lang w:val="uk-UA"/>
        </w:rPr>
        <w:t xml:space="preserve"> </w:t>
      </w:r>
      <w:r w:rsidR="001B2262" w:rsidRPr="0038726B">
        <w:rPr>
          <w:lang w:val="uk-UA"/>
        </w:rPr>
        <w:t>201</w:t>
      </w:r>
      <w:r w:rsidR="00E30F09" w:rsidRPr="0038726B">
        <w:rPr>
          <w:lang w:val="uk-UA"/>
        </w:rPr>
        <w:t>7</w:t>
      </w:r>
      <w:r w:rsidR="001B2262" w:rsidRPr="0038726B">
        <w:rPr>
          <w:lang w:val="uk-UA"/>
        </w:rPr>
        <w:t xml:space="preserve"> р</w:t>
      </w:r>
      <w:r w:rsidR="000362F1">
        <w:rPr>
          <w:lang w:val="uk-UA"/>
        </w:rPr>
        <w:t>і</w:t>
      </w:r>
      <w:r w:rsidR="001B2262" w:rsidRPr="0038726B">
        <w:rPr>
          <w:lang w:val="uk-UA"/>
        </w:rPr>
        <w:t>к</w:t>
      </w:r>
      <w:r w:rsidR="00E30F09" w:rsidRPr="0038726B">
        <w:rPr>
          <w:lang w:val="uk-UA"/>
        </w:rPr>
        <w:t xml:space="preserve"> </w:t>
      </w:r>
      <w:r w:rsidR="008D1C56" w:rsidRPr="0038726B">
        <w:rPr>
          <w:lang w:val="uk-UA"/>
        </w:rPr>
        <w:t>с</w:t>
      </w:r>
      <w:r w:rsidR="001B2262" w:rsidRPr="0038726B">
        <w:rPr>
          <w:lang w:val="uk-UA"/>
        </w:rPr>
        <w:t xml:space="preserve">кладають </w:t>
      </w:r>
      <w:r w:rsidR="000362F1" w:rsidRPr="000362F1">
        <w:t>13300</w:t>
      </w:r>
      <w:r w:rsidR="00EF0CBA" w:rsidRPr="0038726B">
        <w:rPr>
          <w:lang w:val="uk-UA"/>
        </w:rPr>
        <w:t>,</w:t>
      </w:r>
      <w:r w:rsidR="00615745">
        <w:rPr>
          <w:lang w:val="uk-UA"/>
        </w:rPr>
        <w:t>0</w:t>
      </w:r>
      <w:r w:rsidR="001B2262" w:rsidRPr="0038726B">
        <w:rPr>
          <w:lang w:val="uk-UA"/>
        </w:rPr>
        <w:t>тис</w:t>
      </w:r>
      <w:r w:rsidR="002C2624" w:rsidRPr="0038726B">
        <w:rPr>
          <w:lang w:val="uk-UA"/>
        </w:rPr>
        <w:t>.</w:t>
      </w:r>
      <w:r w:rsidR="001B2262" w:rsidRPr="0038726B">
        <w:rPr>
          <w:lang w:val="uk-UA"/>
        </w:rPr>
        <w:t xml:space="preserve"> грн.</w:t>
      </w:r>
      <w:r w:rsidR="00F520D8" w:rsidRPr="0038726B">
        <w:rPr>
          <w:lang w:val="uk-UA"/>
        </w:rPr>
        <w:t xml:space="preserve">, </w:t>
      </w:r>
      <w:r w:rsidR="000362F1">
        <w:rPr>
          <w:lang w:val="uk-UA"/>
        </w:rPr>
        <w:t xml:space="preserve">є </w:t>
      </w:r>
      <w:r w:rsidR="000362F1" w:rsidRPr="000362F1">
        <w:t>99</w:t>
      </w:r>
      <w:r w:rsidR="00F520D8" w:rsidRPr="0038726B">
        <w:rPr>
          <w:lang w:val="uk-UA"/>
        </w:rPr>
        <w:t>,</w:t>
      </w:r>
      <w:r w:rsidR="000362F1" w:rsidRPr="000362F1">
        <w:t>7</w:t>
      </w:r>
      <w:r w:rsidR="00F520D8" w:rsidRPr="0038726B">
        <w:rPr>
          <w:lang w:val="uk-UA"/>
        </w:rPr>
        <w:t xml:space="preserve">% </w:t>
      </w:r>
      <w:r w:rsidR="000362F1">
        <w:rPr>
          <w:lang w:val="uk-UA"/>
        </w:rPr>
        <w:t>від планового показника</w:t>
      </w:r>
      <w:r w:rsidR="00F520D8" w:rsidRPr="0038726B">
        <w:rPr>
          <w:lang w:val="uk-UA"/>
        </w:rPr>
        <w:t xml:space="preserve">. Статті витрат </w:t>
      </w:r>
      <w:r w:rsidR="00A850E2" w:rsidRPr="0038726B">
        <w:rPr>
          <w:lang w:val="uk-UA"/>
        </w:rPr>
        <w:t>наведені у таблиці 5.</w:t>
      </w:r>
    </w:p>
    <w:p w:rsidR="00A9394F" w:rsidRPr="0038726B" w:rsidRDefault="00A9394F" w:rsidP="001B2262">
      <w:pPr>
        <w:tabs>
          <w:tab w:val="left" w:pos="0"/>
        </w:tabs>
        <w:spacing w:line="240" w:lineRule="atLeast"/>
        <w:ind w:firstLine="709"/>
        <w:jc w:val="both"/>
        <w:rPr>
          <w:lang w:val="uk-UA"/>
        </w:rPr>
      </w:pPr>
    </w:p>
    <w:p w:rsidR="001B2262" w:rsidRDefault="001B2262" w:rsidP="001B2262">
      <w:pPr>
        <w:tabs>
          <w:tab w:val="left" w:pos="0"/>
        </w:tabs>
        <w:spacing w:line="240" w:lineRule="atLeast"/>
        <w:ind w:firstLine="709"/>
        <w:jc w:val="both"/>
        <w:rPr>
          <w:lang w:val="uk-UA"/>
        </w:rPr>
      </w:pPr>
      <w:r w:rsidRPr="0038726B">
        <w:rPr>
          <w:lang w:val="uk-UA"/>
        </w:rPr>
        <w:tab/>
      </w:r>
      <w:r w:rsidRPr="0038726B">
        <w:rPr>
          <w:lang w:val="uk-UA"/>
        </w:rPr>
        <w:tab/>
      </w:r>
      <w:r w:rsidRPr="0038726B">
        <w:rPr>
          <w:lang w:val="uk-UA"/>
        </w:rPr>
        <w:tab/>
      </w:r>
      <w:r w:rsidRPr="0038726B">
        <w:rPr>
          <w:lang w:val="uk-UA"/>
        </w:rPr>
        <w:tab/>
      </w:r>
      <w:r w:rsidRPr="0038726B">
        <w:rPr>
          <w:lang w:val="uk-UA"/>
        </w:rPr>
        <w:tab/>
      </w:r>
      <w:r w:rsidRPr="0038726B">
        <w:rPr>
          <w:lang w:val="uk-UA"/>
        </w:rPr>
        <w:tab/>
      </w:r>
      <w:r w:rsidRPr="0038726B">
        <w:rPr>
          <w:lang w:val="uk-UA"/>
        </w:rPr>
        <w:tab/>
      </w:r>
      <w:r w:rsidRPr="0038726B">
        <w:rPr>
          <w:lang w:val="uk-UA"/>
        </w:rPr>
        <w:tab/>
      </w:r>
      <w:r w:rsidRPr="0038726B">
        <w:rPr>
          <w:lang w:val="uk-UA"/>
        </w:rPr>
        <w:tab/>
      </w:r>
      <w:r w:rsidR="00503142" w:rsidRPr="0038726B">
        <w:rPr>
          <w:lang w:val="uk-UA"/>
        </w:rPr>
        <w:tab/>
      </w:r>
      <w:r w:rsidRPr="0038726B">
        <w:rPr>
          <w:lang w:val="uk-UA"/>
        </w:rPr>
        <w:t xml:space="preserve">Таблиця </w:t>
      </w:r>
      <w:r w:rsidR="00D41D86" w:rsidRPr="0038726B">
        <w:rPr>
          <w:lang w:val="uk-UA"/>
        </w:rPr>
        <w:t>5</w:t>
      </w:r>
      <w:r w:rsidRPr="0038726B">
        <w:rPr>
          <w:lang w:val="uk-UA"/>
        </w:rPr>
        <w:t xml:space="preserve"> </w:t>
      </w:r>
    </w:p>
    <w:tbl>
      <w:tblPr>
        <w:tblW w:w="9524" w:type="dxa"/>
        <w:tblLook w:val="04A0" w:firstRow="1" w:lastRow="0" w:firstColumn="1" w:lastColumn="0" w:noHBand="0" w:noVBand="1"/>
      </w:tblPr>
      <w:tblGrid>
        <w:gridCol w:w="3964"/>
        <w:gridCol w:w="1600"/>
        <w:gridCol w:w="1600"/>
        <w:gridCol w:w="1180"/>
        <w:gridCol w:w="1180"/>
      </w:tblGrid>
      <w:tr w:rsidR="000362F1" w:rsidTr="000362F1">
        <w:trPr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Інші операційні витрати, усього, у тому числі: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13 337,0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13 300,0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37,0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99,7</w:t>
            </w:r>
          </w:p>
        </w:tc>
      </w:tr>
      <w:tr w:rsidR="000362F1" w:rsidTr="000362F1">
        <w:trPr>
          <w:trHeight w:val="4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курсові різниці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142,0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151,7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-9,7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106,8</w:t>
            </w:r>
          </w:p>
        </w:tc>
      </w:tr>
      <w:tr w:rsidR="000362F1" w:rsidTr="000362F1">
        <w:trPr>
          <w:trHeight w:val="4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інші операційні витрати (розшифрувати)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13 195,0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13 148,3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99,6</w:t>
            </w:r>
          </w:p>
        </w:tc>
      </w:tr>
      <w:tr w:rsidR="000362F1" w:rsidTr="000362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перерахування профкому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5 894,0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5 563,9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330,1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94,4</w:t>
            </w:r>
          </w:p>
        </w:tc>
      </w:tr>
      <w:tr w:rsidR="000362F1" w:rsidTr="000362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витрати згідно з Колдоговором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5 558,0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5 591,7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-33,7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100,6</w:t>
            </w:r>
          </w:p>
        </w:tc>
      </w:tr>
      <w:tr w:rsidR="000362F1" w:rsidTr="000362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лікарняні  ( перші 5 днів)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234,0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285,4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-51,4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122,0</w:t>
            </w:r>
          </w:p>
        </w:tc>
      </w:tr>
      <w:tr w:rsidR="000362F1" w:rsidTr="000362F1">
        <w:trPr>
          <w:trHeight w:val="4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 xml:space="preserve">ЕСВ на матеріальні заохочення та загальну суму лікарняних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1 315,0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1 154,9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160,1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87,8</w:t>
            </w:r>
          </w:p>
        </w:tc>
      </w:tr>
      <w:tr w:rsidR="000362F1" w:rsidTr="000362F1">
        <w:trPr>
          <w:trHeight w:val="4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194,0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295,5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-101,5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152,3</w:t>
            </w:r>
          </w:p>
        </w:tc>
      </w:tr>
      <w:tr w:rsidR="000362F1" w:rsidTr="00B25029">
        <w:trPr>
          <w:trHeight w:val="4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невідшкодований ПДВ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108,3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-108,3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362F1" w:rsidTr="00B25029">
        <w:trPr>
          <w:trHeight w:val="4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0362F1">
            <w:pPr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пільгові пенсії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  <w:r w:rsidRPr="000362F1">
              <w:rPr>
                <w:sz w:val="22"/>
                <w:szCs w:val="22"/>
                <w:lang w:val="uk-UA"/>
              </w:rPr>
              <w:t>-148,6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F1" w:rsidRPr="000362F1" w:rsidRDefault="000362F1" w:rsidP="00EE612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0362F1" w:rsidRDefault="000362F1" w:rsidP="000362F1">
      <w:pPr>
        <w:tabs>
          <w:tab w:val="left" w:pos="0"/>
        </w:tabs>
        <w:spacing w:line="240" w:lineRule="atLeast"/>
        <w:jc w:val="both"/>
        <w:rPr>
          <w:lang w:val="uk-UA"/>
        </w:rPr>
      </w:pPr>
    </w:p>
    <w:p w:rsidR="000362F1" w:rsidRDefault="000362F1" w:rsidP="000362F1">
      <w:pPr>
        <w:tabs>
          <w:tab w:val="left" w:pos="0"/>
        </w:tabs>
        <w:spacing w:line="240" w:lineRule="atLeast"/>
        <w:jc w:val="both"/>
        <w:rPr>
          <w:lang w:val="uk-UA"/>
        </w:rPr>
      </w:pPr>
    </w:p>
    <w:p w:rsidR="006B7156" w:rsidRDefault="00CE7D02" w:rsidP="00962F4F">
      <w:pPr>
        <w:jc w:val="both"/>
        <w:rPr>
          <w:color w:val="000000"/>
          <w:lang w:val="uk-UA"/>
        </w:rPr>
      </w:pPr>
      <w:r w:rsidRPr="0038726B">
        <w:rPr>
          <w:color w:val="000000"/>
          <w:lang w:val="uk-UA"/>
        </w:rPr>
        <w:tab/>
      </w:r>
    </w:p>
    <w:p w:rsidR="006B7156" w:rsidRDefault="006B7156">
      <w:pPr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CE7D02" w:rsidRPr="0038726B" w:rsidRDefault="00CE7D02" w:rsidP="00962F4F">
      <w:pPr>
        <w:jc w:val="both"/>
        <w:rPr>
          <w:color w:val="000000"/>
          <w:lang w:val="uk-UA"/>
        </w:rPr>
      </w:pPr>
      <w:r w:rsidRPr="0038726B">
        <w:rPr>
          <w:color w:val="000000"/>
          <w:lang w:val="uk-UA"/>
        </w:rPr>
        <w:lastRenderedPageBreak/>
        <w:t xml:space="preserve"> Показники праці КП «МПРС» </w:t>
      </w:r>
      <w:r w:rsidR="003B1395" w:rsidRPr="0038726B">
        <w:rPr>
          <w:color w:val="000000"/>
          <w:lang w:val="uk-UA"/>
        </w:rPr>
        <w:t xml:space="preserve"> за 2017 р</w:t>
      </w:r>
      <w:r w:rsidR="000362F1">
        <w:rPr>
          <w:color w:val="000000"/>
          <w:lang w:val="uk-UA"/>
        </w:rPr>
        <w:t>і</w:t>
      </w:r>
      <w:r w:rsidR="003B1395" w:rsidRPr="0038726B">
        <w:rPr>
          <w:color w:val="000000"/>
          <w:lang w:val="uk-UA"/>
        </w:rPr>
        <w:t xml:space="preserve">к </w:t>
      </w:r>
      <w:r w:rsidRPr="0038726B">
        <w:rPr>
          <w:color w:val="000000"/>
          <w:lang w:val="uk-UA"/>
        </w:rPr>
        <w:t>наведені в таблиці:</w:t>
      </w:r>
    </w:p>
    <w:p w:rsidR="003F0CB5" w:rsidRPr="0038726B" w:rsidRDefault="003F0CB5" w:rsidP="003F0CB5">
      <w:pPr>
        <w:ind w:left="7080" w:firstLine="708"/>
        <w:jc w:val="both"/>
        <w:rPr>
          <w:lang w:val="uk-UA"/>
        </w:rPr>
      </w:pPr>
      <w:r w:rsidRPr="0038726B">
        <w:rPr>
          <w:lang w:val="uk-UA"/>
        </w:rPr>
        <w:t xml:space="preserve">Таблиця </w:t>
      </w:r>
      <w:r w:rsidR="00AD3C16" w:rsidRPr="0038726B">
        <w:rPr>
          <w:lang w:val="uk-UA"/>
        </w:rPr>
        <w:t>6</w:t>
      </w:r>
      <w:r w:rsidRPr="0038726B">
        <w:rPr>
          <w:lang w:val="uk-UA"/>
        </w:rPr>
        <w:t xml:space="preserve"> </w:t>
      </w:r>
      <w:r w:rsidRPr="0038726B">
        <w:rPr>
          <w:lang w:val="uk-UA"/>
        </w:rPr>
        <w:tab/>
      </w:r>
    </w:p>
    <w:tbl>
      <w:tblPr>
        <w:tblW w:w="9956" w:type="dxa"/>
        <w:tblInd w:w="103" w:type="dxa"/>
        <w:tblLook w:val="04A0" w:firstRow="1" w:lastRow="0" w:firstColumn="1" w:lastColumn="0" w:noHBand="0" w:noVBand="1"/>
      </w:tblPr>
      <w:tblGrid>
        <w:gridCol w:w="4552"/>
        <w:gridCol w:w="1208"/>
        <w:gridCol w:w="1020"/>
        <w:gridCol w:w="1020"/>
        <w:gridCol w:w="1136"/>
        <w:gridCol w:w="1020"/>
      </w:tblGrid>
      <w:tr w:rsidR="004E25DC" w:rsidTr="004E25DC">
        <w:trPr>
          <w:trHeight w:val="375"/>
        </w:trPr>
        <w:tc>
          <w:tcPr>
            <w:tcW w:w="45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Pr="006B7156" w:rsidRDefault="004E25DC">
            <w:pPr>
              <w:jc w:val="center"/>
              <w:rPr>
                <w:bCs/>
                <w:lang w:val="uk-UA" w:eastAsia="uk-UA"/>
              </w:rPr>
            </w:pPr>
            <w:r w:rsidRPr="006B7156">
              <w:rPr>
                <w:bCs/>
                <w:lang w:val="uk-UA" w:eastAsia="uk-UA"/>
              </w:rPr>
              <w:t>Показники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Pr="006B7156" w:rsidRDefault="004E25DC">
            <w:pPr>
              <w:jc w:val="center"/>
              <w:rPr>
                <w:bCs/>
                <w:lang w:val="uk-UA" w:eastAsia="uk-UA"/>
              </w:rPr>
            </w:pPr>
            <w:r w:rsidRPr="006B7156">
              <w:rPr>
                <w:bCs/>
                <w:lang w:val="uk-UA" w:eastAsia="uk-UA"/>
              </w:rPr>
              <w:t xml:space="preserve">Одиниця виміру 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Pr="006B7156" w:rsidRDefault="004E25DC">
            <w:pPr>
              <w:jc w:val="center"/>
              <w:rPr>
                <w:bCs/>
                <w:lang w:val="uk-UA" w:eastAsia="uk-UA"/>
              </w:rPr>
            </w:pPr>
            <w:r w:rsidRPr="006B7156">
              <w:rPr>
                <w:bCs/>
                <w:lang w:val="uk-UA" w:eastAsia="uk-UA"/>
              </w:rPr>
              <w:t>РІК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25DC" w:rsidRPr="006B7156" w:rsidRDefault="004E25DC">
            <w:pPr>
              <w:jc w:val="center"/>
              <w:rPr>
                <w:bCs/>
                <w:lang w:val="uk-UA" w:eastAsia="uk-UA"/>
              </w:rPr>
            </w:pPr>
            <w:r w:rsidRPr="006B7156">
              <w:rPr>
                <w:bCs/>
                <w:lang w:val="uk-UA" w:eastAsia="uk-UA"/>
              </w:rPr>
              <w:t>Темп росту, % гр.5: гр.4</w:t>
            </w:r>
          </w:p>
        </w:tc>
      </w:tr>
      <w:tr w:rsidR="004E25DC" w:rsidTr="004E25DC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Pr="006B7156" w:rsidRDefault="004E25DC">
            <w:pPr>
              <w:jc w:val="center"/>
              <w:rPr>
                <w:bCs/>
                <w:lang w:val="uk-UA" w:eastAsia="uk-UA"/>
              </w:rPr>
            </w:pPr>
            <w:r w:rsidRPr="006B7156">
              <w:rPr>
                <w:bCs/>
                <w:lang w:val="uk-UA" w:eastAsia="uk-UA"/>
              </w:rPr>
              <w:t>2017 рік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Pr="006B7156" w:rsidRDefault="004E25DC">
            <w:pPr>
              <w:rPr>
                <w:bCs/>
                <w:lang w:val="uk-UA" w:eastAsia="uk-UA"/>
              </w:rPr>
            </w:pPr>
            <w:r w:rsidRPr="006B7156">
              <w:rPr>
                <w:bCs/>
                <w:lang w:val="uk-UA" w:eastAsia="uk-UA"/>
              </w:rPr>
              <w:t>2016 рік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25DC" w:rsidRDefault="004E25DC">
            <w:pPr>
              <w:rPr>
                <w:b/>
                <w:bCs/>
                <w:lang w:val="uk-UA" w:eastAsia="uk-UA"/>
              </w:rPr>
            </w:pPr>
          </w:p>
        </w:tc>
      </w:tr>
      <w:tr w:rsidR="004E25DC" w:rsidTr="004E25DC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Pr="006B7156" w:rsidRDefault="004E25DC">
            <w:pPr>
              <w:rPr>
                <w:bCs/>
                <w:lang w:val="uk-UA" w:eastAsia="uk-UA"/>
              </w:rPr>
            </w:pPr>
            <w:r w:rsidRPr="006B7156">
              <w:rPr>
                <w:bCs/>
                <w:lang w:val="uk-UA" w:eastAsia="uk-UA"/>
              </w:rPr>
              <w:t xml:space="preserve">План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Pr="006B7156" w:rsidRDefault="004E25DC">
            <w:pPr>
              <w:rPr>
                <w:bCs/>
                <w:lang w:val="uk-UA" w:eastAsia="uk-UA"/>
              </w:rPr>
            </w:pPr>
            <w:r w:rsidRPr="006B7156">
              <w:rPr>
                <w:bCs/>
                <w:lang w:val="uk-UA" w:eastAsia="uk-UA"/>
              </w:rPr>
              <w:t xml:space="preserve">Факт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Pr="006B7156" w:rsidRDefault="004E25DC">
            <w:pPr>
              <w:rPr>
                <w:bCs/>
                <w:lang w:val="uk-UA" w:eastAsia="uk-UA"/>
              </w:rPr>
            </w:pPr>
            <w:r w:rsidRPr="006B7156">
              <w:rPr>
                <w:bCs/>
                <w:lang w:val="uk-UA" w:eastAsia="uk-UA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25DC" w:rsidRDefault="004E25DC">
            <w:pPr>
              <w:rPr>
                <w:b/>
                <w:bCs/>
                <w:lang w:val="uk-UA" w:eastAsia="uk-UA"/>
              </w:rPr>
            </w:pPr>
          </w:p>
        </w:tc>
      </w:tr>
      <w:tr w:rsidR="004E25DC" w:rsidTr="004E25DC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jc w:val="center"/>
              <w:rPr>
                <w:i/>
                <w:iCs/>
                <w:lang w:val="uk-UA" w:eastAsia="uk-UA"/>
              </w:rPr>
            </w:pPr>
            <w:r>
              <w:rPr>
                <w:i/>
                <w:iCs/>
                <w:lang w:val="uk-UA" w:eastAsia="uk-UA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jc w:val="center"/>
              <w:rPr>
                <w:i/>
                <w:iCs/>
                <w:lang w:val="uk-UA" w:eastAsia="uk-UA"/>
              </w:rPr>
            </w:pPr>
            <w:r>
              <w:rPr>
                <w:i/>
                <w:iCs/>
                <w:lang w:val="uk-UA" w:eastAsia="uk-UA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jc w:val="center"/>
              <w:rPr>
                <w:i/>
                <w:iCs/>
                <w:lang w:val="uk-UA" w:eastAsia="uk-UA"/>
              </w:rPr>
            </w:pPr>
            <w:r>
              <w:rPr>
                <w:i/>
                <w:iCs/>
                <w:lang w:val="uk-UA" w:eastAsia="uk-UA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jc w:val="center"/>
              <w:rPr>
                <w:i/>
                <w:iCs/>
                <w:lang w:val="uk-UA" w:eastAsia="uk-UA"/>
              </w:rPr>
            </w:pPr>
            <w:r>
              <w:rPr>
                <w:i/>
                <w:iCs/>
                <w:lang w:val="uk-UA" w:eastAsia="uk-UA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jc w:val="center"/>
              <w:rPr>
                <w:i/>
                <w:iCs/>
                <w:lang w:val="uk-UA" w:eastAsia="uk-UA"/>
              </w:rPr>
            </w:pPr>
            <w:r>
              <w:rPr>
                <w:i/>
                <w:iCs/>
                <w:lang w:val="uk-UA" w:eastAsia="uk-UA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jc w:val="center"/>
              <w:rPr>
                <w:i/>
                <w:iCs/>
                <w:lang w:val="uk-UA" w:eastAsia="uk-UA"/>
              </w:rPr>
            </w:pPr>
            <w:r>
              <w:rPr>
                <w:i/>
                <w:iCs/>
                <w:lang w:val="uk-UA" w:eastAsia="uk-UA"/>
              </w:rPr>
              <w:t>6</w:t>
            </w:r>
          </w:p>
        </w:tc>
      </w:tr>
      <w:tr w:rsidR="004E25DC" w:rsidTr="004E25DC">
        <w:trPr>
          <w:trHeight w:val="94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Середньооблікова чисельність усіх працівників у еквіваленті повної зайнятості,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чол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87,2</w:t>
            </w:r>
          </w:p>
        </w:tc>
      </w:tr>
      <w:tr w:rsidR="004E25DC" w:rsidTr="004E25DC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Фонд оплати праці усіх працівників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тис.грн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84174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79495,4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34 267,6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94,4</w:t>
            </w:r>
          </w:p>
        </w:tc>
      </w:tr>
      <w:tr w:rsidR="004E25DC" w:rsidTr="004E25DC">
        <w:trPr>
          <w:trHeight w:val="94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Сума прибуткового податку, що нарахований з величини доходу усіх працівників, </w:t>
            </w:r>
            <w:proofErr w:type="spellStart"/>
            <w:r>
              <w:rPr>
                <w:lang w:val="uk-UA" w:eastAsia="uk-UA"/>
              </w:rPr>
              <w:t>тис.грн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15151,3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14100,9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5 608,3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4E25DC" w:rsidTr="004E25DC">
        <w:trPr>
          <w:trHeight w:val="94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Pr="006B7156" w:rsidRDefault="004E25DC">
            <w:pPr>
              <w:rPr>
                <w:bCs/>
                <w:lang w:val="uk-UA" w:eastAsia="uk-UA"/>
              </w:rPr>
            </w:pPr>
            <w:r w:rsidRPr="006B7156">
              <w:rPr>
                <w:bCs/>
                <w:lang w:val="uk-UA" w:eastAsia="uk-UA"/>
              </w:rPr>
              <w:t>Середньооблікова чисельність штатних працівників облікового складу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Pr="006B7156" w:rsidRDefault="004E25DC">
            <w:pPr>
              <w:jc w:val="center"/>
              <w:rPr>
                <w:bCs/>
                <w:lang w:val="uk-UA" w:eastAsia="uk-UA"/>
              </w:rPr>
            </w:pPr>
            <w:proofErr w:type="spellStart"/>
            <w:r w:rsidRPr="006B7156">
              <w:rPr>
                <w:bCs/>
                <w:lang w:val="uk-UA" w:eastAsia="uk-UA"/>
              </w:rPr>
              <w:t>чол</w:t>
            </w:r>
            <w:proofErr w:type="spellEnd"/>
            <w:r w:rsidRPr="006B7156">
              <w:rPr>
                <w:bCs/>
                <w:lang w:val="uk-UA" w:eastAsia="uk-UA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Pr="006B7156" w:rsidRDefault="004E25DC">
            <w:pPr>
              <w:jc w:val="center"/>
              <w:rPr>
                <w:bCs/>
                <w:lang w:val="uk-UA" w:eastAsia="uk-UA"/>
              </w:rPr>
            </w:pPr>
            <w:r w:rsidRPr="006B7156">
              <w:rPr>
                <w:bCs/>
                <w:lang w:val="uk-UA" w:eastAsia="uk-UA"/>
              </w:rPr>
              <w:t>294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Pr="006B7156" w:rsidRDefault="004E25DC">
            <w:pPr>
              <w:jc w:val="center"/>
              <w:rPr>
                <w:bCs/>
                <w:lang w:val="uk-UA" w:eastAsia="uk-UA"/>
              </w:rPr>
            </w:pPr>
            <w:r w:rsidRPr="006B7156">
              <w:rPr>
                <w:bCs/>
                <w:lang w:val="uk-UA" w:eastAsia="uk-UA"/>
              </w:rPr>
              <w:t>256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Pr="006B7156" w:rsidRDefault="004E25DC">
            <w:pPr>
              <w:jc w:val="center"/>
              <w:rPr>
                <w:bCs/>
                <w:lang w:val="uk-UA" w:eastAsia="uk-UA"/>
              </w:rPr>
            </w:pPr>
            <w:r w:rsidRPr="006B7156">
              <w:rPr>
                <w:bCs/>
                <w:lang w:val="uk-UA" w:eastAsia="uk-UA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87,1</w:t>
            </w:r>
          </w:p>
        </w:tc>
      </w:tr>
      <w:tr w:rsidR="004E25DC" w:rsidTr="004E25DC">
        <w:trPr>
          <w:trHeight w:val="896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Середньооблікова чисельність позаштатних працівників (працюючі за договорами та зовнішні сумісники), осіб                         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100,0</w:t>
            </w:r>
          </w:p>
        </w:tc>
      </w:tr>
      <w:tr w:rsidR="004E25DC" w:rsidTr="004E25DC">
        <w:trPr>
          <w:trHeight w:val="63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Списковий</w:t>
            </w:r>
            <w:proofErr w:type="spellEnd"/>
            <w:r>
              <w:rPr>
                <w:lang w:val="uk-UA" w:eastAsia="uk-UA"/>
              </w:rPr>
              <w:t xml:space="preserve"> склад  на 1 число наступного звітного періоду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85,4</w:t>
            </w:r>
          </w:p>
        </w:tc>
      </w:tr>
      <w:tr w:rsidR="004E25DC" w:rsidTr="004E25DC">
        <w:trPr>
          <w:trHeight w:val="63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Pr="006B7656" w:rsidRDefault="004E25DC">
            <w:pPr>
              <w:rPr>
                <w:bCs/>
                <w:lang w:val="uk-UA" w:eastAsia="uk-UA"/>
              </w:rPr>
            </w:pPr>
            <w:r w:rsidRPr="006B7656">
              <w:rPr>
                <w:bCs/>
                <w:lang w:val="uk-UA" w:eastAsia="uk-UA"/>
              </w:rPr>
              <w:t>Фонд оплати праці штатних  працівників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Pr="006B7656" w:rsidRDefault="004E25DC">
            <w:pPr>
              <w:jc w:val="center"/>
              <w:rPr>
                <w:bCs/>
                <w:lang w:val="uk-UA" w:eastAsia="uk-UA"/>
              </w:rPr>
            </w:pPr>
            <w:proofErr w:type="spellStart"/>
            <w:r w:rsidRPr="006B7656">
              <w:rPr>
                <w:bCs/>
                <w:lang w:val="uk-UA" w:eastAsia="uk-UA"/>
              </w:rPr>
              <w:t>тис.грн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Pr="006B7656" w:rsidRDefault="004E25DC">
            <w:pPr>
              <w:jc w:val="center"/>
              <w:rPr>
                <w:bCs/>
                <w:lang w:val="uk-UA" w:eastAsia="uk-UA"/>
              </w:rPr>
            </w:pPr>
            <w:r w:rsidRPr="006B7656">
              <w:rPr>
                <w:bCs/>
                <w:lang w:val="uk-UA" w:eastAsia="uk-UA"/>
              </w:rPr>
              <w:t>83974,0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Pr="006B7656" w:rsidRDefault="004E25DC">
            <w:pPr>
              <w:jc w:val="center"/>
              <w:rPr>
                <w:bCs/>
                <w:lang w:val="uk-UA" w:eastAsia="uk-UA"/>
              </w:rPr>
            </w:pPr>
            <w:r w:rsidRPr="006B7656">
              <w:rPr>
                <w:bCs/>
                <w:lang w:val="uk-UA" w:eastAsia="uk-UA"/>
              </w:rPr>
              <w:t>79260,8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Pr="006B7656" w:rsidRDefault="004E25DC">
            <w:pPr>
              <w:jc w:val="center"/>
              <w:rPr>
                <w:bCs/>
                <w:lang w:val="uk-UA" w:eastAsia="uk-UA"/>
              </w:rPr>
            </w:pPr>
            <w:r w:rsidRPr="006B7656">
              <w:rPr>
                <w:bCs/>
                <w:lang w:val="uk-UA" w:eastAsia="uk-UA"/>
              </w:rPr>
              <w:t>34 267,7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94,4</w:t>
            </w:r>
          </w:p>
        </w:tc>
      </w:tr>
      <w:tr w:rsidR="004E25DC" w:rsidTr="004E25DC">
        <w:trPr>
          <w:trHeight w:val="63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 нього:                                                                      фонд основної заробітної плати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46264,0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42387,9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15703,4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91,6</w:t>
            </w:r>
          </w:p>
        </w:tc>
      </w:tr>
      <w:tr w:rsidR="004E25DC" w:rsidTr="004E25DC">
        <w:trPr>
          <w:trHeight w:val="31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фонд додаткової заробітної плати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31370,2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30076,8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13394,5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95,9</w:t>
            </w:r>
          </w:p>
        </w:tc>
      </w:tr>
      <w:tr w:rsidR="004E25DC" w:rsidTr="004E25DC">
        <w:trPr>
          <w:trHeight w:val="572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 нього: надбавки та доплати до тарифних ставок та посадових окладів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10719,5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10674,2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3285,2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99,6</w:t>
            </w:r>
          </w:p>
        </w:tc>
      </w:tr>
      <w:tr w:rsidR="004E25DC" w:rsidTr="004E25DC">
        <w:trPr>
          <w:trHeight w:val="41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премії за виробничі результати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14476,3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13792,8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8999,0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95,3</w:t>
            </w:r>
          </w:p>
        </w:tc>
      </w:tr>
      <w:tr w:rsidR="004E25DC" w:rsidTr="004E25DC">
        <w:trPr>
          <w:trHeight w:val="7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виплати в порядку компенсації втрати заробітної плати згідно чинного законодавства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</w:tr>
      <w:tr w:rsidR="004E25DC" w:rsidTr="004E25DC">
        <w:trPr>
          <w:trHeight w:val="458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Заохочувальні та компенсаційні виплати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6339,8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6796,1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5169,8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107,2</w:t>
            </w:r>
          </w:p>
        </w:tc>
      </w:tr>
      <w:tr w:rsidR="004E25DC" w:rsidTr="004E25DC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 них:  матеріальна допомога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1997,6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2061,7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877,2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103,2</w:t>
            </w:r>
          </w:p>
        </w:tc>
      </w:tr>
      <w:tr w:rsidR="004E25DC" w:rsidTr="004E25DC">
        <w:trPr>
          <w:trHeight w:val="63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соціальні пільги, що носять індивідуальний характер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777,8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786,0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101,1</w:t>
            </w:r>
          </w:p>
        </w:tc>
      </w:tr>
      <w:tr w:rsidR="004E25DC" w:rsidTr="004E25DC">
        <w:trPr>
          <w:trHeight w:val="63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Середньомісячна заробітна плата 1-го штатного працівника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грн.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23 802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25 801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26 441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108,4</w:t>
            </w:r>
          </w:p>
        </w:tc>
      </w:tr>
      <w:tr w:rsidR="004E25DC" w:rsidTr="004E25DC">
        <w:trPr>
          <w:trHeight w:val="94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Інші виплати штатним працівникам, що не входять до складу оплати праці ( 5 </w:t>
            </w:r>
            <w:proofErr w:type="spellStart"/>
            <w:r>
              <w:rPr>
                <w:lang w:val="uk-UA" w:eastAsia="uk-UA"/>
              </w:rPr>
              <w:t>дн</w:t>
            </w:r>
            <w:proofErr w:type="spellEnd"/>
            <w:r>
              <w:rPr>
                <w:lang w:val="uk-UA" w:eastAsia="uk-UA"/>
              </w:rPr>
              <w:t>. лікар)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134,5</w:t>
            </w:r>
          </w:p>
        </w:tc>
      </w:tr>
      <w:tr w:rsidR="004E25DC" w:rsidTr="004E25DC">
        <w:trPr>
          <w:trHeight w:val="630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Середньомісячний доход 1 штатного працівника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-"-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23 889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25 936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26 490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108,6</w:t>
            </w:r>
          </w:p>
        </w:tc>
      </w:tr>
      <w:tr w:rsidR="004E25DC" w:rsidTr="004E25DC">
        <w:trPr>
          <w:trHeight w:val="645"/>
        </w:trPr>
        <w:tc>
          <w:tcPr>
            <w:tcW w:w="45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25DC" w:rsidRDefault="004E25D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Сума заборгованості із виплати заробітної плати, всього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тис.грн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нема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нема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нема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4E25DC" w:rsidRDefault="004E25D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</w:tbl>
    <w:p w:rsidR="00975788" w:rsidRDefault="00975788" w:rsidP="00975788">
      <w:pPr>
        <w:jc w:val="both"/>
        <w:rPr>
          <w:highlight w:val="yellow"/>
          <w:lang w:val="uk-UA"/>
        </w:rPr>
      </w:pPr>
    </w:p>
    <w:p w:rsidR="004E25DC" w:rsidRPr="00342117" w:rsidRDefault="004E25DC" w:rsidP="00975788">
      <w:pPr>
        <w:jc w:val="both"/>
        <w:rPr>
          <w:highlight w:val="yellow"/>
          <w:lang w:val="uk-UA"/>
        </w:rPr>
      </w:pPr>
    </w:p>
    <w:p w:rsidR="00CE7D02" w:rsidRPr="004E25DC" w:rsidRDefault="00CE7D02" w:rsidP="006F5847">
      <w:pPr>
        <w:ind w:firstLine="708"/>
        <w:jc w:val="both"/>
        <w:rPr>
          <w:color w:val="000000"/>
          <w:lang w:val="uk-UA"/>
        </w:rPr>
      </w:pPr>
      <w:r w:rsidRPr="004E25DC">
        <w:rPr>
          <w:color w:val="000000"/>
          <w:lang w:val="uk-UA"/>
        </w:rPr>
        <w:t xml:space="preserve">Середньооблікова чисельність </w:t>
      </w:r>
      <w:r w:rsidR="00DE611A" w:rsidRPr="004E25DC">
        <w:rPr>
          <w:color w:val="000000"/>
          <w:lang w:val="uk-UA"/>
        </w:rPr>
        <w:t xml:space="preserve">штатних </w:t>
      </w:r>
      <w:r w:rsidRPr="004E25DC">
        <w:rPr>
          <w:color w:val="000000"/>
          <w:lang w:val="uk-UA"/>
        </w:rPr>
        <w:t xml:space="preserve">працівників підприємства за </w:t>
      </w:r>
      <w:r w:rsidR="004E25DC" w:rsidRPr="004E25DC">
        <w:rPr>
          <w:color w:val="000000"/>
          <w:lang w:val="uk-UA"/>
        </w:rPr>
        <w:t xml:space="preserve">2017 </w:t>
      </w:r>
      <w:r w:rsidR="000C2201" w:rsidRPr="004E25DC">
        <w:rPr>
          <w:color w:val="000000"/>
          <w:lang w:val="uk-UA"/>
        </w:rPr>
        <w:t>р</w:t>
      </w:r>
      <w:r w:rsidR="004E25DC" w:rsidRPr="004E25DC">
        <w:rPr>
          <w:color w:val="000000"/>
          <w:lang w:val="uk-UA"/>
        </w:rPr>
        <w:t>ік</w:t>
      </w:r>
      <w:r w:rsidR="000C2201" w:rsidRPr="004E25DC">
        <w:rPr>
          <w:color w:val="000000"/>
          <w:lang w:val="uk-UA"/>
        </w:rPr>
        <w:t xml:space="preserve"> склала </w:t>
      </w:r>
      <w:r w:rsidR="002252FE" w:rsidRPr="004E25DC">
        <w:rPr>
          <w:color w:val="000000"/>
          <w:lang w:val="uk-UA"/>
        </w:rPr>
        <w:t>25</w:t>
      </w:r>
      <w:r w:rsidR="004E25DC" w:rsidRPr="004E25DC">
        <w:rPr>
          <w:color w:val="000000"/>
          <w:lang w:val="uk-UA"/>
        </w:rPr>
        <w:t>6</w:t>
      </w:r>
      <w:r w:rsidRPr="004E25DC">
        <w:rPr>
          <w:color w:val="000000"/>
          <w:lang w:val="uk-UA"/>
        </w:rPr>
        <w:t xml:space="preserve"> чол</w:t>
      </w:r>
      <w:r w:rsidR="004E25DC" w:rsidRPr="004E25DC">
        <w:rPr>
          <w:color w:val="000000"/>
          <w:lang w:val="uk-UA"/>
        </w:rPr>
        <w:t>овік</w:t>
      </w:r>
      <w:r w:rsidRPr="004E25DC">
        <w:rPr>
          <w:color w:val="000000"/>
          <w:lang w:val="uk-UA"/>
        </w:rPr>
        <w:t xml:space="preserve">. </w:t>
      </w:r>
      <w:r w:rsidR="0085001A" w:rsidRPr="004E25DC">
        <w:rPr>
          <w:color w:val="000000"/>
          <w:lang w:val="uk-UA"/>
        </w:rPr>
        <w:t xml:space="preserve"> </w:t>
      </w:r>
    </w:p>
    <w:p w:rsidR="00CE7D02" w:rsidRPr="006714FE" w:rsidRDefault="00CE7D02" w:rsidP="00976416">
      <w:pPr>
        <w:ind w:firstLine="708"/>
        <w:jc w:val="both"/>
        <w:rPr>
          <w:color w:val="000000"/>
          <w:lang w:val="uk-UA"/>
        </w:rPr>
      </w:pPr>
      <w:r w:rsidRPr="006714FE">
        <w:rPr>
          <w:color w:val="000000"/>
          <w:lang w:val="uk-UA"/>
        </w:rPr>
        <w:t xml:space="preserve">Фонд оплати праці працівників склав </w:t>
      </w:r>
      <w:r w:rsidR="006714FE" w:rsidRPr="006714FE">
        <w:rPr>
          <w:color w:val="000000"/>
          <w:lang w:val="uk-UA"/>
        </w:rPr>
        <w:t>79 260,8</w:t>
      </w:r>
      <w:r w:rsidRPr="006714FE">
        <w:rPr>
          <w:color w:val="000000"/>
          <w:lang w:val="uk-UA"/>
        </w:rPr>
        <w:t>тис.грн.</w:t>
      </w:r>
      <w:r w:rsidR="002252FE" w:rsidRPr="006714FE">
        <w:rPr>
          <w:color w:val="000000"/>
          <w:lang w:val="uk-UA"/>
        </w:rPr>
        <w:t xml:space="preserve">, що </w:t>
      </w:r>
      <w:r w:rsidR="00975788" w:rsidRPr="006714FE">
        <w:rPr>
          <w:color w:val="000000"/>
          <w:lang w:val="uk-UA"/>
        </w:rPr>
        <w:t xml:space="preserve">на </w:t>
      </w:r>
      <w:r w:rsidR="006714FE" w:rsidRPr="006714FE">
        <w:rPr>
          <w:color w:val="000000"/>
          <w:lang w:val="uk-UA"/>
        </w:rPr>
        <w:t>5,6</w:t>
      </w:r>
      <w:r w:rsidR="002252FE" w:rsidRPr="006714FE">
        <w:rPr>
          <w:color w:val="000000"/>
          <w:lang w:val="uk-UA"/>
        </w:rPr>
        <w:t xml:space="preserve">% </w:t>
      </w:r>
      <w:r w:rsidR="00975788" w:rsidRPr="006714FE">
        <w:rPr>
          <w:color w:val="000000"/>
          <w:lang w:val="uk-UA"/>
        </w:rPr>
        <w:t>менш ніж плановий показник</w:t>
      </w:r>
      <w:r w:rsidR="002252FE" w:rsidRPr="006714FE">
        <w:rPr>
          <w:color w:val="000000"/>
          <w:lang w:val="uk-UA"/>
        </w:rPr>
        <w:t xml:space="preserve">. </w:t>
      </w:r>
      <w:r w:rsidRPr="006714FE">
        <w:rPr>
          <w:color w:val="000000"/>
          <w:lang w:val="uk-UA"/>
        </w:rPr>
        <w:t xml:space="preserve"> </w:t>
      </w:r>
    </w:p>
    <w:p w:rsidR="00CE7D02" w:rsidRPr="006714FE" w:rsidRDefault="00CE7D02" w:rsidP="00976416">
      <w:pPr>
        <w:ind w:firstLine="708"/>
        <w:jc w:val="both"/>
        <w:rPr>
          <w:color w:val="000000"/>
          <w:lang w:val="uk-UA"/>
        </w:rPr>
      </w:pPr>
      <w:r w:rsidRPr="006714FE">
        <w:rPr>
          <w:color w:val="000000"/>
          <w:lang w:val="uk-UA"/>
        </w:rPr>
        <w:t>Середньомісячн</w:t>
      </w:r>
      <w:r w:rsidR="00D4663B" w:rsidRPr="006714FE">
        <w:rPr>
          <w:color w:val="000000"/>
          <w:lang w:val="uk-UA"/>
        </w:rPr>
        <w:t xml:space="preserve">а заробітна плата </w:t>
      </w:r>
      <w:r w:rsidR="002252FE" w:rsidRPr="006714FE">
        <w:rPr>
          <w:color w:val="000000"/>
          <w:lang w:val="uk-UA"/>
        </w:rPr>
        <w:t xml:space="preserve">штатного </w:t>
      </w:r>
      <w:r w:rsidR="00D4663B" w:rsidRPr="006714FE">
        <w:rPr>
          <w:color w:val="000000"/>
          <w:lang w:val="uk-UA"/>
        </w:rPr>
        <w:t xml:space="preserve">працівника за </w:t>
      </w:r>
      <w:r w:rsidR="004E25DC" w:rsidRPr="006714FE">
        <w:rPr>
          <w:color w:val="000000"/>
          <w:lang w:val="uk-UA"/>
        </w:rPr>
        <w:t>2017 рік</w:t>
      </w:r>
      <w:r w:rsidR="00D4663B" w:rsidRPr="006714FE">
        <w:rPr>
          <w:color w:val="000000"/>
          <w:lang w:val="uk-UA"/>
        </w:rPr>
        <w:t xml:space="preserve"> </w:t>
      </w:r>
      <w:r w:rsidRPr="006714FE">
        <w:rPr>
          <w:color w:val="000000"/>
          <w:lang w:val="uk-UA"/>
        </w:rPr>
        <w:t>склал</w:t>
      </w:r>
      <w:r w:rsidR="004E25DC" w:rsidRPr="006714FE">
        <w:rPr>
          <w:color w:val="000000"/>
          <w:lang w:val="uk-UA"/>
        </w:rPr>
        <w:t>а</w:t>
      </w:r>
      <w:r w:rsidRPr="006714FE">
        <w:rPr>
          <w:color w:val="000000"/>
          <w:lang w:val="uk-UA"/>
        </w:rPr>
        <w:t xml:space="preserve"> </w:t>
      </w:r>
      <w:r w:rsidR="00975788" w:rsidRPr="006714FE">
        <w:rPr>
          <w:color w:val="000000"/>
          <w:lang w:val="uk-UA"/>
        </w:rPr>
        <w:t>2</w:t>
      </w:r>
      <w:r w:rsidR="00786B5B" w:rsidRPr="006714FE">
        <w:rPr>
          <w:color w:val="000000"/>
          <w:lang w:val="uk-UA"/>
        </w:rPr>
        <w:t>5</w:t>
      </w:r>
      <w:r w:rsidR="004E25DC" w:rsidRPr="006714FE">
        <w:rPr>
          <w:color w:val="000000"/>
          <w:lang w:val="uk-UA"/>
        </w:rPr>
        <w:t xml:space="preserve"> 801</w:t>
      </w:r>
      <w:r w:rsidRPr="006714FE">
        <w:rPr>
          <w:color w:val="000000"/>
          <w:lang w:val="uk-UA"/>
        </w:rPr>
        <w:t xml:space="preserve"> грн.</w:t>
      </w:r>
      <w:r w:rsidR="006714FE" w:rsidRPr="006714FE">
        <w:rPr>
          <w:color w:val="000000"/>
          <w:lang w:val="uk-UA"/>
        </w:rPr>
        <w:t>, що на 8,4</w:t>
      </w:r>
      <w:r w:rsidR="00786B5B" w:rsidRPr="006714FE">
        <w:rPr>
          <w:color w:val="000000"/>
          <w:lang w:val="uk-UA"/>
        </w:rPr>
        <w:t>% перебільшує плановий показник.</w:t>
      </w:r>
      <w:r w:rsidRPr="006714FE">
        <w:rPr>
          <w:color w:val="000000"/>
          <w:lang w:val="uk-UA"/>
        </w:rPr>
        <w:t xml:space="preserve"> </w:t>
      </w:r>
    </w:p>
    <w:p w:rsidR="00CE7D02" w:rsidRPr="0038726B" w:rsidRDefault="00CE7D02" w:rsidP="00976416">
      <w:pPr>
        <w:ind w:firstLine="708"/>
        <w:jc w:val="both"/>
        <w:rPr>
          <w:color w:val="000000"/>
          <w:lang w:val="uk-UA"/>
        </w:rPr>
      </w:pPr>
      <w:r w:rsidRPr="006714FE">
        <w:rPr>
          <w:color w:val="000000"/>
          <w:lang w:val="uk-UA"/>
        </w:rPr>
        <w:t>Показники праці та оплати КП «МПРС» відображують ті мінімальні вимоги для основного контингенту працівників підприємства – плавскладу, які повинні мати професійну підготовку та володіти необхідними морально-психофізіологічними характеристиками для виконання рятувальних операцій</w:t>
      </w:r>
      <w:r w:rsidR="0085001A" w:rsidRPr="006714FE">
        <w:rPr>
          <w:color w:val="000000"/>
          <w:lang w:val="uk-UA"/>
        </w:rPr>
        <w:t xml:space="preserve"> на морі</w:t>
      </w:r>
      <w:r w:rsidRPr="006714FE">
        <w:rPr>
          <w:color w:val="000000"/>
          <w:lang w:val="uk-UA"/>
        </w:rPr>
        <w:t>.</w:t>
      </w:r>
    </w:p>
    <w:p w:rsidR="00CE7D02" w:rsidRPr="0038726B" w:rsidRDefault="00CE7D02" w:rsidP="00976416">
      <w:pPr>
        <w:ind w:firstLine="708"/>
        <w:rPr>
          <w:color w:val="000000"/>
          <w:lang w:val="uk-UA"/>
        </w:rPr>
      </w:pPr>
    </w:p>
    <w:p w:rsidR="00AD3C16" w:rsidRPr="0038726B" w:rsidRDefault="00AD3C16" w:rsidP="00AD3C16">
      <w:pPr>
        <w:pStyle w:val="10"/>
        <w:ind w:left="0" w:firstLine="708"/>
        <w:jc w:val="both"/>
        <w:rPr>
          <w:color w:val="000000"/>
          <w:lang w:val="uk-UA"/>
        </w:rPr>
      </w:pPr>
      <w:r w:rsidRPr="0038726B">
        <w:rPr>
          <w:color w:val="000000"/>
          <w:lang w:val="uk-UA"/>
        </w:rPr>
        <w:t>Осв</w:t>
      </w:r>
      <w:r w:rsidR="00D00178" w:rsidRPr="0038726B">
        <w:rPr>
          <w:color w:val="000000"/>
          <w:lang w:val="uk-UA"/>
        </w:rPr>
        <w:t xml:space="preserve">оєння капітальних інвестицій </w:t>
      </w:r>
      <w:r w:rsidR="00A80A89">
        <w:rPr>
          <w:color w:val="000000"/>
          <w:lang w:val="uk-UA"/>
        </w:rPr>
        <w:t xml:space="preserve">у </w:t>
      </w:r>
      <w:r w:rsidRPr="0038726B">
        <w:rPr>
          <w:color w:val="000000"/>
          <w:lang w:val="uk-UA"/>
        </w:rPr>
        <w:t>2017 р</w:t>
      </w:r>
      <w:r w:rsidR="00A80A89">
        <w:rPr>
          <w:color w:val="000000"/>
          <w:lang w:val="uk-UA"/>
        </w:rPr>
        <w:t>.</w:t>
      </w:r>
      <w:r w:rsidRPr="0038726B">
        <w:rPr>
          <w:color w:val="000000"/>
          <w:lang w:val="uk-UA"/>
        </w:rPr>
        <w:t xml:space="preserve"> </w:t>
      </w:r>
      <w:r w:rsidR="00D00178" w:rsidRPr="0038726B">
        <w:rPr>
          <w:color w:val="000000"/>
          <w:lang w:val="uk-UA"/>
        </w:rPr>
        <w:t xml:space="preserve">було заплановано у розмірі </w:t>
      </w:r>
      <w:r w:rsidR="00A80A89">
        <w:rPr>
          <w:color w:val="000000"/>
          <w:lang w:val="uk-UA"/>
        </w:rPr>
        <w:t>28265</w:t>
      </w:r>
      <w:r w:rsidR="00D00178" w:rsidRPr="0038726B">
        <w:rPr>
          <w:color w:val="000000"/>
          <w:lang w:val="uk-UA"/>
        </w:rPr>
        <w:t xml:space="preserve"> тис грн., виконано у сумі </w:t>
      </w:r>
      <w:r w:rsidR="00A80A89">
        <w:rPr>
          <w:color w:val="000000"/>
          <w:lang w:val="uk-UA"/>
        </w:rPr>
        <w:t>18996 тис грн</w:t>
      </w:r>
      <w:r w:rsidR="00D00178" w:rsidRPr="0038726B">
        <w:rPr>
          <w:color w:val="000000"/>
          <w:lang w:val="uk-UA"/>
        </w:rPr>
        <w:t xml:space="preserve">, що складає </w:t>
      </w:r>
      <w:r w:rsidR="00A80A89">
        <w:rPr>
          <w:color w:val="000000"/>
          <w:lang w:val="uk-UA"/>
        </w:rPr>
        <w:t>67,2</w:t>
      </w:r>
      <w:r w:rsidR="00D00178" w:rsidRPr="0038726B">
        <w:rPr>
          <w:color w:val="000000"/>
          <w:lang w:val="uk-UA"/>
        </w:rPr>
        <w:t>% від запланованого</w:t>
      </w:r>
      <w:r w:rsidRPr="0038726B">
        <w:rPr>
          <w:color w:val="000000"/>
          <w:lang w:val="uk-UA"/>
        </w:rPr>
        <w:t>.</w:t>
      </w:r>
      <w:r w:rsidR="00CE7D02" w:rsidRPr="0038726B">
        <w:rPr>
          <w:color w:val="000000"/>
          <w:lang w:val="uk-UA"/>
        </w:rPr>
        <w:tab/>
      </w:r>
    </w:p>
    <w:p w:rsidR="00994305" w:rsidRPr="0038726B" w:rsidRDefault="0081058D" w:rsidP="00AD3C16">
      <w:pPr>
        <w:pStyle w:val="10"/>
        <w:ind w:left="0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У зв’язку із затримкою підготовки документів на відведення земельних ділянок у постійне користування для будівництво Базових станцій берегових радіостанцій морського району А1, А2 Чорного та Азовського морів підприємство не отримало </w:t>
      </w:r>
      <w:r w:rsidR="00333468">
        <w:rPr>
          <w:color w:val="000000"/>
          <w:lang w:val="uk-UA"/>
        </w:rPr>
        <w:t xml:space="preserve">проекти будівництва Базових станцій.  </w:t>
      </w:r>
    </w:p>
    <w:p w:rsidR="00F258C0" w:rsidRPr="0038726B" w:rsidRDefault="00F258C0" w:rsidP="00AD3C16">
      <w:pPr>
        <w:pStyle w:val="10"/>
        <w:ind w:left="0" w:firstLine="708"/>
        <w:jc w:val="both"/>
        <w:rPr>
          <w:color w:val="000000"/>
          <w:lang w:val="uk-UA"/>
        </w:rPr>
      </w:pPr>
    </w:p>
    <w:p w:rsidR="00CE7D02" w:rsidRDefault="00F15EDB" w:rsidP="00AD3C16">
      <w:pPr>
        <w:pStyle w:val="10"/>
        <w:ind w:left="0" w:firstLine="708"/>
        <w:jc w:val="both"/>
        <w:rPr>
          <w:color w:val="000000"/>
          <w:lang w:val="uk-UA"/>
        </w:rPr>
      </w:pPr>
      <w:r w:rsidRPr="0038726B">
        <w:rPr>
          <w:color w:val="000000"/>
          <w:lang w:val="uk-UA"/>
        </w:rPr>
        <w:t>У поточному кварталі</w:t>
      </w:r>
      <w:r w:rsidR="00CE7D02" w:rsidRPr="0038726B">
        <w:rPr>
          <w:color w:val="000000"/>
          <w:lang w:val="uk-UA"/>
        </w:rPr>
        <w:t xml:space="preserve"> випадків виробничого травматизму в КП «Морська пошуково-рятувальна служба» не було.</w:t>
      </w:r>
    </w:p>
    <w:p w:rsidR="00124D83" w:rsidRDefault="00124D83" w:rsidP="00AD3C16">
      <w:pPr>
        <w:pStyle w:val="10"/>
        <w:ind w:left="0" w:firstLine="708"/>
        <w:jc w:val="both"/>
        <w:rPr>
          <w:color w:val="000000"/>
          <w:lang w:val="uk-UA"/>
        </w:rPr>
      </w:pPr>
    </w:p>
    <w:p w:rsidR="00CE7D02" w:rsidRPr="0038726B" w:rsidRDefault="00CE7D02" w:rsidP="00A11BB6">
      <w:pPr>
        <w:pStyle w:val="10"/>
        <w:ind w:left="0"/>
        <w:jc w:val="both"/>
        <w:rPr>
          <w:color w:val="000000"/>
          <w:lang w:val="uk-UA"/>
        </w:rPr>
      </w:pPr>
    </w:p>
    <w:p w:rsidR="00F15EDB" w:rsidRPr="0038726B" w:rsidRDefault="00484ABA" w:rsidP="0085001A">
      <w:pPr>
        <w:jc w:val="center"/>
        <w:rPr>
          <w:rFonts w:eastAsia="Calibri"/>
          <w:b/>
          <w:color w:val="000000" w:themeColor="text1"/>
          <w:lang w:val="uk-UA"/>
        </w:rPr>
      </w:pPr>
      <w:r w:rsidRPr="0038726B">
        <w:rPr>
          <w:rFonts w:eastAsia="Calibri"/>
          <w:b/>
          <w:color w:val="000000" w:themeColor="text1"/>
          <w:lang w:val="uk-UA"/>
        </w:rPr>
        <w:t>Результати діяльності підрозділів КП «МПРС» з виконання функції  пошуку та рятування.</w:t>
      </w:r>
    </w:p>
    <w:p w:rsidR="00484ABA" w:rsidRPr="0038726B" w:rsidRDefault="00484ABA" w:rsidP="00F15EDB">
      <w:pPr>
        <w:ind w:firstLine="708"/>
        <w:jc w:val="both"/>
        <w:rPr>
          <w:rFonts w:eastAsia="Calibri"/>
          <w:color w:val="000000" w:themeColor="text1"/>
          <w:lang w:val="uk-UA"/>
        </w:rPr>
      </w:pPr>
    </w:p>
    <w:p w:rsidR="005A6DE2" w:rsidRPr="00061128" w:rsidRDefault="005A6DE2" w:rsidP="00061128">
      <w:pPr>
        <w:ind w:left="360"/>
        <w:jc w:val="both"/>
        <w:rPr>
          <w:rFonts w:eastAsia="Calibri"/>
          <w:color w:val="000000" w:themeColor="text1"/>
          <w:lang w:val="uk-UA"/>
        </w:rPr>
      </w:pPr>
      <w:r w:rsidRPr="00061128">
        <w:rPr>
          <w:bCs/>
          <w:lang w:val="uk-UA"/>
        </w:rPr>
        <w:t>Показник ефективності системи морського та авіаційного пошуку і рятування розрахований відповідно до вимог Розділу 5.6 «Оцінка системи» Керівництва з міжнародного авіаційного і морського пошуку і рятування (ІМО/ІКАО)</w:t>
      </w:r>
      <w:r w:rsidRPr="00061128">
        <w:rPr>
          <w:lang w:val="uk-UA"/>
        </w:rPr>
        <w:t xml:space="preserve"> (далі </w:t>
      </w:r>
      <w:r w:rsidRPr="00061128">
        <w:rPr>
          <w:bCs/>
          <w:lang w:val="uk-UA"/>
        </w:rPr>
        <w:t>Керівництва МАМПР</w:t>
      </w:r>
      <w:r w:rsidRPr="00061128">
        <w:rPr>
          <w:lang w:val="uk-UA"/>
        </w:rPr>
        <w:t>) згідно до інформації, наданої ДМРКЦ КП «МПРС» за результатами роботи у 2017 ро</w:t>
      </w:r>
      <w:r w:rsidR="00333468" w:rsidRPr="00061128">
        <w:rPr>
          <w:lang w:val="uk-UA"/>
        </w:rPr>
        <w:t>ці</w:t>
      </w:r>
      <w:r w:rsidRPr="00061128">
        <w:rPr>
          <w:lang w:val="uk-UA"/>
        </w:rPr>
        <w:t xml:space="preserve"> складає 0,</w:t>
      </w:r>
      <w:r w:rsidR="00333468" w:rsidRPr="00061128">
        <w:rPr>
          <w:lang w:val="uk-UA"/>
        </w:rPr>
        <w:t>99</w:t>
      </w:r>
      <w:r w:rsidRPr="00061128">
        <w:rPr>
          <w:lang w:val="uk-UA"/>
        </w:rPr>
        <w:t xml:space="preserve">. </w:t>
      </w:r>
    </w:p>
    <w:p w:rsidR="005A6DE2" w:rsidRPr="00B32E9A" w:rsidRDefault="005A6DE2" w:rsidP="005A6DE2">
      <w:pPr>
        <w:pStyle w:val="ab"/>
        <w:jc w:val="both"/>
        <w:rPr>
          <w:rFonts w:eastAsia="Calibri"/>
          <w:color w:val="000000" w:themeColor="text1"/>
          <w:lang w:val="uk-UA"/>
        </w:rPr>
      </w:pPr>
    </w:p>
    <w:p w:rsidR="005A6DE2" w:rsidRPr="008C0376" w:rsidRDefault="005A6DE2" w:rsidP="008C0376">
      <w:pPr>
        <w:jc w:val="both"/>
        <w:rPr>
          <w:rFonts w:eastAsia="Calibri"/>
          <w:color w:val="000000" w:themeColor="text1"/>
          <w:lang w:val="uk-UA"/>
        </w:rPr>
      </w:pPr>
      <w:r w:rsidRPr="008C0376">
        <w:rPr>
          <w:rFonts w:eastAsia="Calibri"/>
          <w:color w:val="000000" w:themeColor="text1"/>
          <w:lang w:val="uk-UA"/>
        </w:rPr>
        <w:t>За період з 01.</w:t>
      </w:r>
      <w:r w:rsidR="00F40513" w:rsidRPr="008C0376">
        <w:rPr>
          <w:rFonts w:eastAsia="Calibri"/>
          <w:color w:val="000000" w:themeColor="text1"/>
          <w:lang w:val="uk-UA"/>
        </w:rPr>
        <w:t>0</w:t>
      </w:r>
      <w:r w:rsidRPr="008C0376">
        <w:rPr>
          <w:rFonts w:eastAsia="Calibri"/>
          <w:color w:val="000000" w:themeColor="text1"/>
          <w:lang w:val="uk-UA"/>
        </w:rPr>
        <w:t xml:space="preserve">1.2017 року по 31.12.2017 року за участю та безпосередньою координацією Державного морського координаційного центру та морського рятувального </w:t>
      </w:r>
      <w:proofErr w:type="spellStart"/>
      <w:r w:rsidRPr="008C0376">
        <w:rPr>
          <w:rFonts w:eastAsia="Calibri"/>
          <w:color w:val="000000" w:themeColor="text1"/>
          <w:lang w:val="uk-UA"/>
        </w:rPr>
        <w:t>підцентру</w:t>
      </w:r>
      <w:proofErr w:type="spellEnd"/>
      <w:r w:rsidRPr="008C0376">
        <w:rPr>
          <w:rFonts w:eastAsia="Calibri"/>
          <w:color w:val="000000" w:themeColor="text1"/>
          <w:lang w:val="uk-UA"/>
        </w:rPr>
        <w:t xml:space="preserve"> КП «МПРС» були проведені </w:t>
      </w:r>
      <w:r w:rsidR="00F40513" w:rsidRPr="008C0376">
        <w:rPr>
          <w:rFonts w:eastAsia="Calibri"/>
          <w:color w:val="000000" w:themeColor="text1"/>
          <w:lang w:val="uk-UA"/>
        </w:rPr>
        <w:t>21</w:t>
      </w:r>
      <w:r w:rsidRPr="008C0376">
        <w:rPr>
          <w:rFonts w:eastAsia="Calibri"/>
          <w:color w:val="000000" w:themeColor="text1"/>
          <w:lang w:val="uk-UA"/>
        </w:rPr>
        <w:t xml:space="preserve"> пошуково-рятувальні операції (ПРО) в пошуково-рятувальному районі України.</w:t>
      </w:r>
    </w:p>
    <w:p w:rsidR="005A6DE2" w:rsidRPr="003048B3" w:rsidRDefault="005A6DE2" w:rsidP="005A6DE2">
      <w:pPr>
        <w:pStyle w:val="ab"/>
        <w:jc w:val="both"/>
        <w:rPr>
          <w:rFonts w:eastAsia="Calibri"/>
          <w:color w:val="000000" w:themeColor="text1"/>
          <w:lang w:val="uk-UA"/>
        </w:rPr>
      </w:pPr>
      <w:r w:rsidRPr="003048B3">
        <w:rPr>
          <w:rFonts w:eastAsia="Calibri"/>
          <w:color w:val="000000" w:themeColor="text1"/>
          <w:lang w:val="uk-UA"/>
        </w:rPr>
        <w:t>При проведенні пошуково-рятувальних операцій:</w:t>
      </w:r>
    </w:p>
    <w:p w:rsidR="005A6DE2" w:rsidRPr="003048B3" w:rsidRDefault="005A6DE2" w:rsidP="005A6DE2">
      <w:pPr>
        <w:pStyle w:val="ab"/>
        <w:jc w:val="both"/>
        <w:rPr>
          <w:rFonts w:eastAsia="Calibri"/>
          <w:color w:val="000000" w:themeColor="text1"/>
          <w:lang w:val="uk-UA"/>
        </w:rPr>
      </w:pPr>
      <w:r w:rsidRPr="003048B3">
        <w:rPr>
          <w:rFonts w:eastAsia="Calibri"/>
          <w:color w:val="000000" w:themeColor="text1"/>
          <w:lang w:val="uk-UA"/>
        </w:rPr>
        <w:t>Врятовано (</w:t>
      </w:r>
      <w:proofErr w:type="spellStart"/>
      <w:r w:rsidRPr="003048B3">
        <w:rPr>
          <w:rFonts w:eastAsia="Calibri"/>
          <w:color w:val="000000" w:themeColor="text1"/>
          <w:lang w:val="uk-UA"/>
        </w:rPr>
        <w:t>К</w:t>
      </w:r>
      <w:r w:rsidRPr="003048B3">
        <w:rPr>
          <w:rFonts w:eastAsia="Calibri"/>
          <w:color w:val="000000" w:themeColor="text1"/>
          <w:vertAlign w:val="subscript"/>
          <w:lang w:val="uk-UA"/>
        </w:rPr>
        <w:t>в</w:t>
      </w:r>
      <w:proofErr w:type="spellEnd"/>
      <w:r>
        <w:rPr>
          <w:rFonts w:eastAsia="Calibri"/>
          <w:color w:val="000000" w:themeColor="text1"/>
          <w:lang w:val="uk-UA"/>
        </w:rPr>
        <w:t xml:space="preserve">) </w:t>
      </w:r>
      <w:r w:rsidR="00F40513">
        <w:rPr>
          <w:rFonts w:eastAsia="Calibri"/>
          <w:color w:val="000000" w:themeColor="text1"/>
          <w:lang w:val="uk-UA"/>
        </w:rPr>
        <w:t>99</w:t>
      </w:r>
      <w:r w:rsidRPr="003048B3">
        <w:rPr>
          <w:rFonts w:eastAsia="Calibri"/>
          <w:color w:val="000000" w:themeColor="text1"/>
          <w:lang w:val="uk-UA"/>
        </w:rPr>
        <w:t xml:space="preserve"> ос</w:t>
      </w:r>
      <w:r>
        <w:rPr>
          <w:rFonts w:eastAsia="Calibri"/>
          <w:color w:val="000000" w:themeColor="text1"/>
          <w:lang w:val="uk-UA"/>
        </w:rPr>
        <w:t>і</w:t>
      </w:r>
      <w:r w:rsidRPr="003048B3">
        <w:rPr>
          <w:rFonts w:eastAsia="Calibri"/>
          <w:color w:val="000000" w:themeColor="text1"/>
          <w:lang w:val="uk-UA"/>
        </w:rPr>
        <w:t>б</w:t>
      </w:r>
      <w:r w:rsidR="004315B6">
        <w:rPr>
          <w:rFonts w:eastAsia="Calibri"/>
          <w:color w:val="000000" w:themeColor="text1"/>
          <w:lang w:val="uk-UA"/>
        </w:rPr>
        <w:t>,</w:t>
      </w:r>
      <w:r w:rsidRPr="003048B3">
        <w:rPr>
          <w:rFonts w:eastAsia="Calibri"/>
          <w:color w:val="000000" w:themeColor="text1"/>
          <w:lang w:val="uk-UA"/>
        </w:rPr>
        <w:t xml:space="preserve"> з наданням </w:t>
      </w:r>
      <w:r>
        <w:rPr>
          <w:rFonts w:eastAsia="Calibri"/>
          <w:color w:val="000000" w:themeColor="text1"/>
          <w:lang w:val="uk-UA"/>
        </w:rPr>
        <w:t xml:space="preserve">медичної допомоги </w:t>
      </w:r>
      <w:r w:rsidR="008C0376">
        <w:rPr>
          <w:rFonts w:eastAsia="Calibri"/>
          <w:color w:val="000000" w:themeColor="text1"/>
          <w:lang w:val="uk-UA"/>
        </w:rPr>
        <w:t xml:space="preserve">11 особам, </w:t>
      </w:r>
      <w:r>
        <w:rPr>
          <w:rFonts w:eastAsia="Calibri"/>
          <w:color w:val="000000" w:themeColor="text1"/>
          <w:lang w:val="uk-UA"/>
        </w:rPr>
        <w:t xml:space="preserve">евакуації </w:t>
      </w:r>
      <w:r w:rsidR="008C0376">
        <w:rPr>
          <w:rFonts w:eastAsia="Calibri"/>
          <w:color w:val="000000" w:themeColor="text1"/>
          <w:lang w:val="uk-UA"/>
        </w:rPr>
        <w:t>4</w:t>
      </w:r>
      <w:r>
        <w:rPr>
          <w:rFonts w:eastAsia="Calibri"/>
          <w:color w:val="000000" w:themeColor="text1"/>
          <w:lang w:val="uk-UA"/>
        </w:rPr>
        <w:t xml:space="preserve"> особам</w:t>
      </w:r>
      <w:r w:rsidRPr="003048B3">
        <w:rPr>
          <w:rFonts w:eastAsia="Calibri"/>
          <w:color w:val="000000" w:themeColor="text1"/>
          <w:lang w:val="uk-UA"/>
        </w:rPr>
        <w:t>;</w:t>
      </w:r>
    </w:p>
    <w:p w:rsidR="005A6DE2" w:rsidRPr="003048B3" w:rsidRDefault="005A6DE2" w:rsidP="005A6DE2">
      <w:pPr>
        <w:pStyle w:val="ab"/>
        <w:jc w:val="both"/>
        <w:rPr>
          <w:rFonts w:eastAsia="Calibri"/>
          <w:color w:val="000000" w:themeColor="text1"/>
          <w:lang w:val="uk-UA"/>
        </w:rPr>
      </w:pPr>
      <w:r w:rsidRPr="003048B3">
        <w:rPr>
          <w:rFonts w:eastAsia="Calibri"/>
          <w:color w:val="000000" w:themeColor="text1"/>
          <w:lang w:val="uk-UA"/>
        </w:rPr>
        <w:t>Загиблі/зниклі (</w:t>
      </w:r>
      <w:proofErr w:type="spellStart"/>
      <w:r w:rsidRPr="003048B3">
        <w:rPr>
          <w:rFonts w:eastAsia="Calibri"/>
          <w:color w:val="000000" w:themeColor="text1"/>
          <w:lang w:val="uk-UA"/>
        </w:rPr>
        <w:t>К</w:t>
      </w:r>
      <w:r w:rsidRPr="003048B3">
        <w:rPr>
          <w:rFonts w:eastAsia="Calibri"/>
          <w:color w:val="000000" w:themeColor="text1"/>
          <w:vertAlign w:val="subscript"/>
          <w:lang w:val="uk-UA"/>
        </w:rPr>
        <w:t>н</w:t>
      </w:r>
      <w:proofErr w:type="spellEnd"/>
      <w:r>
        <w:rPr>
          <w:rFonts w:eastAsia="Calibri"/>
          <w:color w:val="000000" w:themeColor="text1"/>
          <w:lang w:val="uk-UA"/>
        </w:rPr>
        <w:t>) – 1</w:t>
      </w:r>
      <w:r w:rsidRPr="003048B3">
        <w:rPr>
          <w:rFonts w:eastAsia="Calibri"/>
          <w:color w:val="000000" w:themeColor="text1"/>
          <w:lang w:val="uk-UA"/>
        </w:rPr>
        <w:t>/</w:t>
      </w:r>
      <w:r>
        <w:rPr>
          <w:rFonts w:eastAsia="Calibri"/>
          <w:color w:val="000000" w:themeColor="text1"/>
          <w:lang w:val="uk-UA"/>
        </w:rPr>
        <w:t>0</w:t>
      </w:r>
      <w:r w:rsidRPr="003048B3">
        <w:rPr>
          <w:rFonts w:eastAsia="Calibri"/>
          <w:color w:val="000000" w:themeColor="text1"/>
          <w:lang w:val="uk-UA"/>
        </w:rPr>
        <w:t xml:space="preserve"> особа;</w:t>
      </w:r>
    </w:p>
    <w:p w:rsidR="005A6DE2" w:rsidRPr="003048B3" w:rsidRDefault="005A6DE2" w:rsidP="005A6DE2">
      <w:pPr>
        <w:pStyle w:val="ab"/>
        <w:jc w:val="both"/>
        <w:rPr>
          <w:rFonts w:eastAsia="Calibri"/>
          <w:color w:val="000000" w:themeColor="text1"/>
          <w:lang w:val="uk-UA"/>
        </w:rPr>
      </w:pPr>
      <w:r w:rsidRPr="003048B3">
        <w:rPr>
          <w:rFonts w:eastAsia="Calibri"/>
          <w:color w:val="000000" w:themeColor="text1"/>
          <w:lang w:val="uk-UA"/>
        </w:rPr>
        <w:t xml:space="preserve">Загиблі до початку пошуково-рятувальних робіт – </w:t>
      </w:r>
      <w:r w:rsidR="008C0376">
        <w:rPr>
          <w:rFonts w:eastAsia="Calibri"/>
          <w:color w:val="000000" w:themeColor="text1"/>
          <w:lang w:val="uk-UA"/>
        </w:rPr>
        <w:t>8</w:t>
      </w:r>
      <w:r w:rsidRPr="003048B3">
        <w:rPr>
          <w:rFonts w:eastAsia="Calibri"/>
          <w:color w:val="000000" w:themeColor="text1"/>
          <w:lang w:val="uk-UA"/>
        </w:rPr>
        <w:t xml:space="preserve"> </w:t>
      </w:r>
      <w:r>
        <w:rPr>
          <w:rFonts w:eastAsia="Calibri"/>
          <w:color w:val="000000" w:themeColor="text1"/>
          <w:lang w:val="uk-UA"/>
        </w:rPr>
        <w:t>ос</w:t>
      </w:r>
      <w:r w:rsidR="008C0376">
        <w:rPr>
          <w:rFonts w:eastAsia="Calibri"/>
          <w:color w:val="000000" w:themeColor="text1"/>
          <w:lang w:val="uk-UA"/>
        </w:rPr>
        <w:t>і</w:t>
      </w:r>
      <w:r>
        <w:rPr>
          <w:rFonts w:eastAsia="Calibri"/>
          <w:color w:val="000000" w:themeColor="text1"/>
          <w:lang w:val="uk-UA"/>
        </w:rPr>
        <w:t>б</w:t>
      </w:r>
      <w:r w:rsidRPr="003048B3">
        <w:rPr>
          <w:rFonts w:eastAsia="Calibri"/>
          <w:color w:val="000000" w:themeColor="text1"/>
          <w:lang w:val="uk-UA"/>
        </w:rPr>
        <w:t>.</w:t>
      </w:r>
    </w:p>
    <w:p w:rsidR="005A6DE2" w:rsidRPr="003048B3" w:rsidRDefault="005A6DE2" w:rsidP="005A6DE2">
      <w:pPr>
        <w:pStyle w:val="ab"/>
        <w:jc w:val="both"/>
        <w:rPr>
          <w:rFonts w:eastAsia="Calibri"/>
          <w:color w:val="000000" w:themeColor="text1"/>
          <w:lang w:val="uk-UA"/>
        </w:rPr>
      </w:pPr>
    </w:p>
    <w:p w:rsidR="005A6DE2" w:rsidRPr="008C0376" w:rsidRDefault="005A6DE2" w:rsidP="008C0376">
      <w:pPr>
        <w:jc w:val="both"/>
        <w:rPr>
          <w:rFonts w:eastAsia="Calibri"/>
          <w:color w:val="000000" w:themeColor="text1"/>
          <w:lang w:val="uk-UA"/>
        </w:rPr>
      </w:pPr>
      <w:r w:rsidRPr="008C0376">
        <w:rPr>
          <w:rFonts w:eastAsia="Calibri"/>
          <w:color w:val="000000" w:themeColor="text1"/>
          <w:lang w:val="uk-UA"/>
        </w:rPr>
        <w:t xml:space="preserve">Враховуючи дані викладені вище коефіцієнт ефективності системи </w:t>
      </w:r>
      <w:r w:rsidRPr="008C0376">
        <w:rPr>
          <w:rFonts w:eastAsia="Calibri"/>
          <w:color w:val="000000" w:themeColor="text1"/>
          <w:lang w:val="en-US"/>
        </w:rPr>
        <w:t>SAR</w:t>
      </w:r>
      <w:r w:rsidRPr="008C0376">
        <w:rPr>
          <w:rFonts w:eastAsia="Calibri"/>
          <w:color w:val="000000" w:themeColor="text1"/>
          <w:lang w:val="uk-UA"/>
        </w:rPr>
        <w:t xml:space="preserve"> </w:t>
      </w:r>
      <w:r w:rsidR="008C0376" w:rsidRPr="008C0376">
        <w:rPr>
          <w:rFonts w:eastAsia="Calibri"/>
          <w:color w:val="000000" w:themeColor="text1"/>
          <w:lang w:val="uk-UA"/>
        </w:rPr>
        <w:t xml:space="preserve">за </w:t>
      </w:r>
      <w:r w:rsidRPr="008C0376">
        <w:rPr>
          <w:rFonts w:eastAsia="Calibri"/>
          <w:color w:val="000000" w:themeColor="text1"/>
          <w:lang w:val="uk-UA"/>
        </w:rPr>
        <w:t>2017 р дорівнює:</w:t>
      </w:r>
    </w:p>
    <w:p w:rsidR="005A6DE2" w:rsidRPr="003048B3" w:rsidRDefault="005A6DE2" w:rsidP="005A6DE2">
      <w:pPr>
        <w:pStyle w:val="ab"/>
        <w:jc w:val="both"/>
        <w:rPr>
          <w:rFonts w:eastAsia="Calibri"/>
          <w:color w:val="000000" w:themeColor="text1"/>
          <w:lang w:val="uk-UA"/>
        </w:rPr>
      </w:pPr>
    </w:p>
    <w:p w:rsidR="005A6DE2" w:rsidRPr="003048B3" w:rsidRDefault="005A6DE2" w:rsidP="005A6DE2">
      <w:pPr>
        <w:pStyle w:val="ab"/>
        <w:jc w:val="both"/>
        <w:rPr>
          <w:rFonts w:eastAsia="Calibri"/>
          <w:color w:val="000000" w:themeColor="text1"/>
          <w:lang w:val="uk-UA"/>
        </w:rPr>
      </w:pPr>
      <w:proofErr w:type="spellStart"/>
      <w:r w:rsidRPr="003048B3">
        <w:rPr>
          <w:rFonts w:eastAsia="Calibri"/>
          <w:color w:val="000000" w:themeColor="text1"/>
          <w:lang w:val="uk-UA"/>
        </w:rPr>
        <w:t>П</w:t>
      </w:r>
      <w:r w:rsidRPr="003048B3">
        <w:rPr>
          <w:rFonts w:eastAsia="Calibri"/>
          <w:color w:val="000000" w:themeColor="text1"/>
          <w:vertAlign w:val="subscript"/>
          <w:lang w:val="uk-UA"/>
        </w:rPr>
        <w:t>е</w:t>
      </w:r>
      <w:proofErr w:type="spellEnd"/>
      <w:r w:rsidRPr="003048B3">
        <w:rPr>
          <w:rFonts w:eastAsia="Calibri"/>
          <w:color w:val="000000" w:themeColor="text1"/>
          <w:lang w:val="uk-UA"/>
        </w:rPr>
        <w:t xml:space="preserve">= </w:t>
      </w:r>
      <w:proofErr w:type="spellStart"/>
      <w:r w:rsidRPr="003048B3">
        <w:rPr>
          <w:rFonts w:eastAsia="Calibri"/>
          <w:color w:val="000000" w:themeColor="text1"/>
          <w:lang w:val="uk-UA"/>
        </w:rPr>
        <w:t>К</w:t>
      </w:r>
      <w:r w:rsidRPr="003048B3">
        <w:rPr>
          <w:rFonts w:eastAsia="Calibri"/>
          <w:color w:val="000000" w:themeColor="text1"/>
          <w:vertAlign w:val="subscript"/>
          <w:lang w:val="uk-UA"/>
        </w:rPr>
        <w:t>в</w:t>
      </w:r>
      <w:proofErr w:type="spellEnd"/>
      <w:r w:rsidRPr="003048B3">
        <w:rPr>
          <w:rFonts w:eastAsia="Calibri"/>
          <w:color w:val="000000" w:themeColor="text1"/>
          <w:lang w:val="uk-UA"/>
        </w:rPr>
        <w:t>/(</w:t>
      </w:r>
      <w:proofErr w:type="spellStart"/>
      <w:r w:rsidRPr="003048B3">
        <w:rPr>
          <w:rFonts w:eastAsia="Calibri"/>
          <w:color w:val="000000" w:themeColor="text1"/>
          <w:lang w:val="uk-UA"/>
        </w:rPr>
        <w:t>К</w:t>
      </w:r>
      <w:r w:rsidRPr="003048B3">
        <w:rPr>
          <w:rFonts w:eastAsia="Calibri"/>
          <w:color w:val="000000" w:themeColor="text1"/>
          <w:vertAlign w:val="subscript"/>
          <w:lang w:val="uk-UA"/>
        </w:rPr>
        <w:t>в</w:t>
      </w:r>
      <w:r w:rsidRPr="003048B3">
        <w:rPr>
          <w:rFonts w:eastAsia="Calibri"/>
          <w:color w:val="000000" w:themeColor="text1"/>
          <w:lang w:val="uk-UA"/>
        </w:rPr>
        <w:t>+К</w:t>
      </w:r>
      <w:r w:rsidRPr="003048B3">
        <w:rPr>
          <w:rFonts w:eastAsia="Calibri"/>
          <w:color w:val="000000" w:themeColor="text1"/>
          <w:vertAlign w:val="subscript"/>
          <w:lang w:val="uk-UA"/>
        </w:rPr>
        <w:t>н</w:t>
      </w:r>
      <w:proofErr w:type="spellEnd"/>
      <w:r w:rsidRPr="003048B3">
        <w:rPr>
          <w:rFonts w:eastAsia="Calibri"/>
          <w:color w:val="000000" w:themeColor="text1"/>
          <w:vertAlign w:val="subscript"/>
          <w:lang w:val="uk-UA"/>
        </w:rPr>
        <w:t>)</w:t>
      </w:r>
      <w:r>
        <w:rPr>
          <w:rFonts w:eastAsia="Calibri"/>
          <w:color w:val="000000" w:themeColor="text1"/>
          <w:lang w:val="uk-UA"/>
        </w:rPr>
        <w:t xml:space="preserve">= </w:t>
      </w:r>
      <w:r w:rsidR="008C0376">
        <w:rPr>
          <w:rFonts w:eastAsia="Calibri"/>
          <w:color w:val="000000" w:themeColor="text1"/>
          <w:lang w:val="uk-UA"/>
        </w:rPr>
        <w:t>114</w:t>
      </w:r>
      <w:r w:rsidRPr="003048B3">
        <w:rPr>
          <w:rFonts w:eastAsia="Calibri"/>
          <w:color w:val="000000" w:themeColor="text1"/>
          <w:lang w:val="uk-UA"/>
        </w:rPr>
        <w:t xml:space="preserve"> / (</w:t>
      </w:r>
      <w:r w:rsidR="008C0376">
        <w:rPr>
          <w:rFonts w:eastAsia="Calibri"/>
          <w:color w:val="000000" w:themeColor="text1"/>
          <w:lang w:val="uk-UA"/>
        </w:rPr>
        <w:t>114</w:t>
      </w:r>
      <w:r w:rsidRPr="003048B3">
        <w:rPr>
          <w:rFonts w:eastAsia="Calibri"/>
          <w:color w:val="000000" w:themeColor="text1"/>
          <w:lang w:val="uk-UA"/>
        </w:rPr>
        <w:t>+1) = 0,</w:t>
      </w:r>
      <w:r w:rsidR="008C0376">
        <w:rPr>
          <w:rFonts w:eastAsia="Calibri"/>
          <w:color w:val="000000" w:themeColor="text1"/>
          <w:lang w:val="uk-UA"/>
        </w:rPr>
        <w:t>99</w:t>
      </w:r>
    </w:p>
    <w:p w:rsidR="005A6DE2" w:rsidRDefault="005A6DE2" w:rsidP="005A6DE2">
      <w:pPr>
        <w:pStyle w:val="ab"/>
        <w:jc w:val="both"/>
        <w:rPr>
          <w:lang w:val="uk-UA"/>
        </w:rPr>
      </w:pPr>
    </w:p>
    <w:p w:rsidR="005A6DE2" w:rsidRPr="00310EC9" w:rsidRDefault="005A6DE2" w:rsidP="005A6DE2">
      <w:pPr>
        <w:pStyle w:val="ab"/>
        <w:jc w:val="both"/>
        <w:rPr>
          <w:lang w:val="uk-UA"/>
        </w:rPr>
      </w:pPr>
      <w:r w:rsidRPr="00310EC9">
        <w:rPr>
          <w:lang w:val="uk-UA"/>
        </w:rPr>
        <w:t xml:space="preserve">Граничний показник ефективності </w:t>
      </w:r>
      <w:r w:rsidRPr="00310EC9">
        <w:rPr>
          <w:bCs/>
          <w:lang w:val="uk-UA"/>
        </w:rPr>
        <w:t xml:space="preserve">системи згідно п. 5.6.9 Керівництва МАМПР </w:t>
      </w:r>
      <w:r>
        <w:rPr>
          <w:bCs/>
          <w:lang w:val="uk-UA"/>
        </w:rPr>
        <w:t>складає 0,</w:t>
      </w:r>
      <w:r w:rsidR="002268D9">
        <w:rPr>
          <w:bCs/>
          <w:lang w:val="uk-UA"/>
        </w:rPr>
        <w:t>67</w:t>
      </w:r>
      <w:r w:rsidRPr="00310EC9">
        <w:rPr>
          <w:lang w:val="uk-UA"/>
        </w:rPr>
        <w:t>.</w:t>
      </w:r>
      <w:r>
        <w:rPr>
          <w:lang w:val="uk-UA"/>
        </w:rPr>
        <w:t xml:space="preserve"> </w:t>
      </w:r>
      <w:r w:rsidRPr="00310EC9">
        <w:rPr>
          <w:lang w:val="uk-UA"/>
        </w:rPr>
        <w:t xml:space="preserve"> </w:t>
      </w:r>
      <w:r w:rsidRPr="00310EC9">
        <w:rPr>
          <w:bCs/>
          <w:lang w:val="uk-UA"/>
        </w:rPr>
        <w:t>Показник ефективності системи морського та авіаційного пошуку і рятування</w:t>
      </w:r>
      <w:r>
        <w:rPr>
          <w:bCs/>
          <w:lang w:val="uk-UA"/>
        </w:rPr>
        <w:t xml:space="preserve"> </w:t>
      </w:r>
      <w:r w:rsidR="002268D9">
        <w:rPr>
          <w:bCs/>
          <w:lang w:val="uk-UA"/>
        </w:rPr>
        <w:t xml:space="preserve">за 2017 рік </w:t>
      </w:r>
      <w:r>
        <w:rPr>
          <w:bCs/>
          <w:lang w:val="uk-UA"/>
        </w:rPr>
        <w:t>в</w:t>
      </w:r>
      <w:r w:rsidR="002268D9">
        <w:rPr>
          <w:bCs/>
          <w:lang w:val="uk-UA"/>
        </w:rPr>
        <w:t>в</w:t>
      </w:r>
      <w:r>
        <w:rPr>
          <w:bCs/>
          <w:lang w:val="uk-UA"/>
        </w:rPr>
        <w:t>ажається виконаним.</w:t>
      </w:r>
    </w:p>
    <w:p w:rsidR="00304BD2" w:rsidRPr="0038726B" w:rsidRDefault="00304BD2" w:rsidP="00A11BB6">
      <w:pPr>
        <w:pStyle w:val="10"/>
        <w:ind w:left="0"/>
        <w:jc w:val="both"/>
        <w:rPr>
          <w:color w:val="000000"/>
          <w:lang w:val="uk-UA"/>
        </w:rPr>
      </w:pPr>
    </w:p>
    <w:p w:rsidR="00304BD2" w:rsidRPr="0038726B" w:rsidRDefault="00304BD2" w:rsidP="00304BD2">
      <w:pPr>
        <w:spacing w:line="240" w:lineRule="atLeast"/>
        <w:ind w:firstLine="709"/>
        <w:jc w:val="both"/>
        <w:rPr>
          <w:lang w:val="uk-UA"/>
        </w:rPr>
      </w:pPr>
      <w:r w:rsidRPr="0038726B">
        <w:rPr>
          <w:lang w:val="uk-UA"/>
        </w:rPr>
        <w:t>За результатами роботи у 2017 року підприємство:</w:t>
      </w:r>
    </w:p>
    <w:p w:rsidR="00304BD2" w:rsidRPr="0038726B" w:rsidRDefault="00304BD2" w:rsidP="00304BD2">
      <w:pPr>
        <w:spacing w:line="240" w:lineRule="atLeast"/>
        <w:ind w:firstLine="709"/>
        <w:jc w:val="both"/>
        <w:rPr>
          <w:lang w:val="uk-UA"/>
        </w:rPr>
      </w:pPr>
      <w:r w:rsidRPr="0038726B">
        <w:rPr>
          <w:lang w:val="uk-UA"/>
        </w:rPr>
        <w:t>-</w:t>
      </w:r>
      <w:r w:rsidRPr="0038726B">
        <w:rPr>
          <w:lang w:val="uk-UA"/>
        </w:rPr>
        <w:tab/>
        <w:t xml:space="preserve"> отримало чистого прибутку </w:t>
      </w:r>
      <w:r w:rsidR="005A6DE2">
        <w:rPr>
          <w:lang w:val="uk-UA"/>
        </w:rPr>
        <w:t>1</w:t>
      </w:r>
      <w:r w:rsidR="004F3066">
        <w:rPr>
          <w:lang w:val="uk-UA"/>
        </w:rPr>
        <w:t>3540</w:t>
      </w:r>
      <w:r w:rsidR="0038726B" w:rsidRPr="0038726B">
        <w:rPr>
          <w:lang w:val="uk-UA"/>
        </w:rPr>
        <w:t xml:space="preserve"> тис. грн, що на </w:t>
      </w:r>
      <w:r w:rsidR="004F3066">
        <w:rPr>
          <w:lang w:val="uk-UA"/>
        </w:rPr>
        <w:t>7</w:t>
      </w:r>
      <w:r w:rsidRPr="0038726B">
        <w:rPr>
          <w:lang w:val="uk-UA"/>
        </w:rPr>
        <w:t xml:space="preserve">% перебільшує запланований показник </w:t>
      </w:r>
      <w:r w:rsidR="004F3066">
        <w:rPr>
          <w:lang w:val="uk-UA"/>
        </w:rPr>
        <w:t>за рік</w:t>
      </w:r>
      <w:r w:rsidRPr="0038726B">
        <w:rPr>
          <w:lang w:val="uk-UA"/>
        </w:rPr>
        <w:t xml:space="preserve">. </w:t>
      </w:r>
    </w:p>
    <w:p w:rsidR="00304BD2" w:rsidRDefault="00304BD2" w:rsidP="00304BD2">
      <w:pPr>
        <w:tabs>
          <w:tab w:val="left" w:pos="0"/>
        </w:tabs>
        <w:spacing w:line="240" w:lineRule="atLeast"/>
        <w:jc w:val="both"/>
        <w:rPr>
          <w:lang w:val="uk-UA"/>
        </w:rPr>
      </w:pPr>
      <w:r w:rsidRPr="0038726B">
        <w:rPr>
          <w:lang w:val="uk-UA"/>
        </w:rPr>
        <w:tab/>
        <w:t>-</w:t>
      </w:r>
      <w:r w:rsidRPr="0038726B">
        <w:rPr>
          <w:lang w:val="uk-UA"/>
        </w:rPr>
        <w:tab/>
        <w:t xml:space="preserve">своєчасно сплачувало податки та інші обов’язкові платежі. </w:t>
      </w:r>
    </w:p>
    <w:p w:rsidR="00333468" w:rsidRPr="0038726B" w:rsidRDefault="00333468" w:rsidP="00304BD2">
      <w:pPr>
        <w:tabs>
          <w:tab w:val="left" w:pos="0"/>
        </w:tabs>
        <w:spacing w:line="240" w:lineRule="atLeast"/>
        <w:jc w:val="both"/>
        <w:rPr>
          <w:lang w:val="uk-UA"/>
        </w:rPr>
      </w:pPr>
    </w:p>
    <w:p w:rsidR="00304BD2" w:rsidRPr="0038726B" w:rsidRDefault="00304BD2" w:rsidP="00304BD2">
      <w:pPr>
        <w:spacing w:line="240" w:lineRule="atLeast"/>
        <w:ind w:firstLine="709"/>
        <w:jc w:val="both"/>
        <w:rPr>
          <w:lang w:val="uk-UA"/>
        </w:rPr>
      </w:pPr>
      <w:r w:rsidRPr="0038726B">
        <w:rPr>
          <w:lang w:val="uk-UA"/>
        </w:rPr>
        <w:lastRenderedPageBreak/>
        <w:t>-</w:t>
      </w:r>
      <w:r w:rsidRPr="0038726B">
        <w:rPr>
          <w:lang w:val="uk-UA"/>
        </w:rPr>
        <w:tab/>
        <w:t xml:space="preserve">виконало вимоги, установлені чинним законодавством з питань забезпечення режиму секретності, охорони праці, протипожежної безпеки. </w:t>
      </w:r>
    </w:p>
    <w:p w:rsidR="00304BD2" w:rsidRPr="0038726B" w:rsidRDefault="00304BD2" w:rsidP="00304BD2">
      <w:pPr>
        <w:spacing w:line="240" w:lineRule="atLeast"/>
        <w:ind w:firstLine="709"/>
        <w:jc w:val="both"/>
        <w:rPr>
          <w:lang w:val="uk-UA"/>
        </w:rPr>
      </w:pPr>
      <w:r w:rsidRPr="0038726B">
        <w:rPr>
          <w:lang w:val="uk-UA"/>
        </w:rPr>
        <w:t>-</w:t>
      </w:r>
      <w:r w:rsidRPr="0038726B">
        <w:rPr>
          <w:lang w:val="uk-UA"/>
        </w:rPr>
        <w:tab/>
        <w:t>не мало аварії, пригод та випадків травматизму із смертельними наслідками з вини працівників;</w:t>
      </w:r>
    </w:p>
    <w:p w:rsidR="00304BD2" w:rsidRPr="0038726B" w:rsidRDefault="00304BD2" w:rsidP="00304BD2">
      <w:pPr>
        <w:spacing w:line="240" w:lineRule="atLeast"/>
        <w:ind w:firstLine="709"/>
        <w:jc w:val="both"/>
        <w:rPr>
          <w:lang w:val="uk-UA"/>
        </w:rPr>
      </w:pPr>
      <w:r w:rsidRPr="0038726B">
        <w:rPr>
          <w:lang w:val="uk-UA"/>
        </w:rPr>
        <w:t>-</w:t>
      </w:r>
      <w:r w:rsidRPr="0038726B">
        <w:rPr>
          <w:lang w:val="uk-UA"/>
        </w:rPr>
        <w:tab/>
        <w:t xml:space="preserve"> не має простроченої заборгованості з заробітної плати. </w:t>
      </w:r>
      <w:r w:rsidR="001F6066" w:rsidRPr="00310EC9">
        <w:rPr>
          <w:lang w:val="uk-UA"/>
        </w:rPr>
        <w:t>Поточна заборгованість з заробітної плати станом на 3</w:t>
      </w:r>
      <w:r w:rsidR="001F6066">
        <w:rPr>
          <w:lang w:val="uk-UA"/>
        </w:rPr>
        <w:t>1</w:t>
      </w:r>
      <w:r w:rsidR="001F6066" w:rsidRPr="00310EC9">
        <w:rPr>
          <w:lang w:val="uk-UA"/>
        </w:rPr>
        <w:t>.</w:t>
      </w:r>
      <w:r w:rsidR="001F6066">
        <w:rPr>
          <w:lang w:val="uk-UA"/>
        </w:rPr>
        <w:t>12</w:t>
      </w:r>
      <w:r w:rsidR="001F6066" w:rsidRPr="00310EC9">
        <w:rPr>
          <w:lang w:val="uk-UA"/>
        </w:rPr>
        <w:t xml:space="preserve">.2017 року складає </w:t>
      </w:r>
      <w:r w:rsidR="001F6066">
        <w:rPr>
          <w:lang w:val="uk-UA"/>
        </w:rPr>
        <w:t>1</w:t>
      </w:r>
      <w:r w:rsidR="001F6066" w:rsidRPr="00310EC9">
        <w:rPr>
          <w:lang w:val="uk-UA"/>
        </w:rPr>
        <w:t xml:space="preserve"> тис. грн.; зі страхування - </w:t>
      </w:r>
      <w:r w:rsidR="001F6066">
        <w:rPr>
          <w:lang w:val="uk-UA"/>
        </w:rPr>
        <w:t>1</w:t>
      </w:r>
      <w:r w:rsidR="001F6066" w:rsidRPr="00310EC9">
        <w:rPr>
          <w:lang w:val="uk-UA"/>
        </w:rPr>
        <w:t xml:space="preserve"> тис. грн; з бюджетом – </w:t>
      </w:r>
      <w:r w:rsidR="001F6066">
        <w:rPr>
          <w:lang w:val="uk-UA"/>
        </w:rPr>
        <w:t>1273</w:t>
      </w:r>
      <w:r w:rsidR="001F6066" w:rsidRPr="00310EC9">
        <w:rPr>
          <w:lang w:val="uk-UA"/>
        </w:rPr>
        <w:t xml:space="preserve"> тис. грн.</w:t>
      </w:r>
    </w:p>
    <w:p w:rsidR="00304BD2" w:rsidRPr="0038726B" w:rsidRDefault="00304BD2" w:rsidP="00A11BB6">
      <w:pPr>
        <w:pStyle w:val="10"/>
        <w:ind w:left="0"/>
        <w:jc w:val="both"/>
        <w:rPr>
          <w:color w:val="000000"/>
          <w:lang w:val="uk-UA"/>
        </w:rPr>
      </w:pPr>
    </w:p>
    <w:p w:rsidR="00CE7D02" w:rsidRPr="0038726B" w:rsidRDefault="00CE7D02" w:rsidP="00A11BB6">
      <w:pPr>
        <w:pStyle w:val="10"/>
        <w:ind w:left="0"/>
        <w:jc w:val="both"/>
        <w:rPr>
          <w:color w:val="000000"/>
          <w:lang w:val="uk-UA"/>
        </w:rPr>
      </w:pPr>
    </w:p>
    <w:p w:rsidR="00CE7D02" w:rsidRPr="0038726B" w:rsidRDefault="00CE7D02" w:rsidP="00A11BB6">
      <w:pPr>
        <w:pStyle w:val="10"/>
        <w:ind w:left="0"/>
        <w:jc w:val="both"/>
        <w:rPr>
          <w:color w:val="000000"/>
          <w:lang w:val="uk-UA"/>
        </w:rPr>
      </w:pPr>
    </w:p>
    <w:p w:rsidR="00CE7D02" w:rsidRPr="0038726B" w:rsidRDefault="003239E1" w:rsidP="00A11BB6">
      <w:pPr>
        <w:pStyle w:val="10"/>
        <w:ind w:left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Директор</w:t>
      </w:r>
      <w:r w:rsidR="00DD4E43" w:rsidRPr="0038726B">
        <w:rPr>
          <w:color w:val="000000"/>
          <w:lang w:val="uk-UA"/>
        </w:rPr>
        <w:tab/>
      </w:r>
      <w:r w:rsidR="00DD4E43" w:rsidRPr="0038726B">
        <w:rPr>
          <w:color w:val="000000"/>
          <w:lang w:val="uk-UA"/>
        </w:rPr>
        <w:tab/>
      </w:r>
      <w:r w:rsidR="00DD4E43" w:rsidRPr="0038726B">
        <w:rPr>
          <w:color w:val="000000"/>
          <w:lang w:val="uk-UA"/>
        </w:rPr>
        <w:tab/>
      </w:r>
      <w:r w:rsidR="00DD4E43" w:rsidRPr="0038726B">
        <w:rPr>
          <w:color w:val="000000"/>
          <w:lang w:val="uk-UA"/>
        </w:rPr>
        <w:tab/>
      </w:r>
      <w:r w:rsidR="00DD4E43" w:rsidRPr="0038726B">
        <w:rPr>
          <w:color w:val="000000"/>
          <w:lang w:val="uk-UA"/>
        </w:rPr>
        <w:tab/>
      </w:r>
      <w:r w:rsidR="00DD4E43" w:rsidRPr="0038726B">
        <w:rPr>
          <w:color w:val="000000"/>
          <w:lang w:val="uk-UA"/>
        </w:rPr>
        <w:tab/>
      </w:r>
      <w:r w:rsidR="00DD4E43" w:rsidRPr="0038726B">
        <w:rPr>
          <w:color w:val="000000"/>
          <w:lang w:val="uk-UA"/>
        </w:rPr>
        <w:tab/>
      </w:r>
      <w:r w:rsidR="00DD4E43" w:rsidRPr="0038726B">
        <w:rPr>
          <w:color w:val="000000"/>
          <w:lang w:val="uk-UA"/>
        </w:rPr>
        <w:tab/>
      </w:r>
      <w:r w:rsidR="00DD4E43" w:rsidRPr="0038726B">
        <w:rPr>
          <w:color w:val="000000"/>
          <w:lang w:val="uk-UA"/>
        </w:rPr>
        <w:tab/>
      </w:r>
      <w:r w:rsidR="00DD4E43" w:rsidRPr="0038726B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В.О. </w:t>
      </w:r>
      <w:proofErr w:type="spellStart"/>
      <w:r>
        <w:rPr>
          <w:color w:val="000000"/>
          <w:lang w:val="uk-UA"/>
        </w:rPr>
        <w:t>Сударев</w:t>
      </w:r>
      <w:proofErr w:type="spellEnd"/>
    </w:p>
    <w:p w:rsidR="00B819DE" w:rsidRDefault="00B819DE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913C53" w:rsidRPr="0038726B" w:rsidRDefault="00913C53" w:rsidP="00A11BB6">
      <w:pPr>
        <w:pStyle w:val="10"/>
        <w:ind w:left="0"/>
        <w:jc w:val="both"/>
        <w:rPr>
          <w:color w:val="000000"/>
          <w:lang w:val="uk-UA"/>
        </w:rPr>
      </w:pPr>
    </w:p>
    <w:p w:rsidR="005D5722" w:rsidRDefault="005D5722" w:rsidP="00A11BB6">
      <w:pPr>
        <w:pStyle w:val="10"/>
        <w:ind w:left="0"/>
        <w:jc w:val="both"/>
        <w:rPr>
          <w:color w:val="000000"/>
          <w:sz w:val="20"/>
          <w:szCs w:val="20"/>
          <w:lang w:val="uk-UA"/>
        </w:rPr>
      </w:pPr>
    </w:p>
    <w:p w:rsidR="005D5722" w:rsidRDefault="005D5722" w:rsidP="00A11BB6">
      <w:pPr>
        <w:pStyle w:val="10"/>
        <w:ind w:left="0"/>
        <w:jc w:val="both"/>
        <w:rPr>
          <w:color w:val="000000"/>
          <w:sz w:val="20"/>
          <w:szCs w:val="20"/>
          <w:lang w:val="uk-UA"/>
        </w:rPr>
      </w:pPr>
    </w:p>
    <w:p w:rsidR="007706B1" w:rsidRPr="005D5722" w:rsidRDefault="005D5722" w:rsidP="00A11BB6">
      <w:pPr>
        <w:pStyle w:val="10"/>
        <w:ind w:left="0"/>
        <w:jc w:val="both"/>
        <w:rPr>
          <w:color w:val="000000"/>
          <w:sz w:val="20"/>
          <w:szCs w:val="20"/>
          <w:lang w:val="uk-UA"/>
        </w:rPr>
      </w:pPr>
      <w:r w:rsidRPr="005D5722">
        <w:rPr>
          <w:color w:val="000000"/>
          <w:sz w:val="20"/>
          <w:szCs w:val="20"/>
          <w:lang w:val="uk-UA"/>
        </w:rPr>
        <w:t>Навала Т.В.</w:t>
      </w:r>
    </w:p>
    <w:p w:rsidR="005D5722" w:rsidRDefault="005D5722" w:rsidP="00A11BB6">
      <w:pPr>
        <w:pStyle w:val="10"/>
        <w:ind w:left="0"/>
        <w:jc w:val="both"/>
        <w:rPr>
          <w:color w:val="000000"/>
          <w:sz w:val="20"/>
          <w:szCs w:val="20"/>
          <w:lang w:val="uk-UA"/>
        </w:rPr>
      </w:pPr>
      <w:r w:rsidRPr="005D5722">
        <w:rPr>
          <w:color w:val="000000"/>
          <w:sz w:val="20"/>
          <w:szCs w:val="20"/>
          <w:lang w:val="uk-UA"/>
        </w:rPr>
        <w:t>(048) 7744248</w:t>
      </w:r>
    </w:p>
    <w:p w:rsidR="003239E1" w:rsidRDefault="003239E1" w:rsidP="00A11BB6">
      <w:pPr>
        <w:pStyle w:val="10"/>
        <w:ind w:left="0"/>
        <w:jc w:val="both"/>
        <w:rPr>
          <w:color w:val="000000"/>
          <w:sz w:val="20"/>
          <w:szCs w:val="20"/>
          <w:lang w:val="uk-UA"/>
        </w:rPr>
      </w:pPr>
    </w:p>
    <w:p w:rsidR="003239E1" w:rsidRPr="005D5722" w:rsidRDefault="003239E1" w:rsidP="003239E1">
      <w:pPr>
        <w:pStyle w:val="10"/>
        <w:ind w:left="0"/>
        <w:jc w:val="both"/>
        <w:rPr>
          <w:color w:val="000000"/>
          <w:sz w:val="20"/>
          <w:szCs w:val="20"/>
          <w:lang w:val="uk-UA"/>
        </w:rPr>
      </w:pPr>
      <w:proofErr w:type="spellStart"/>
      <w:r>
        <w:rPr>
          <w:color w:val="000000"/>
          <w:sz w:val="20"/>
          <w:szCs w:val="20"/>
          <w:lang w:val="uk-UA"/>
        </w:rPr>
        <w:t>Картичак</w:t>
      </w:r>
      <w:proofErr w:type="spellEnd"/>
      <w:r>
        <w:rPr>
          <w:color w:val="000000"/>
          <w:sz w:val="20"/>
          <w:szCs w:val="20"/>
          <w:lang w:val="uk-UA"/>
        </w:rPr>
        <w:t xml:space="preserve"> В.І.</w:t>
      </w:r>
    </w:p>
    <w:p w:rsidR="003239E1" w:rsidRPr="005D5722" w:rsidRDefault="003239E1" w:rsidP="003239E1">
      <w:pPr>
        <w:pStyle w:val="10"/>
        <w:ind w:left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(048) 7744249</w:t>
      </w:r>
    </w:p>
    <w:p w:rsidR="003239E1" w:rsidRPr="005D5722" w:rsidRDefault="003239E1" w:rsidP="00A11BB6">
      <w:pPr>
        <w:pStyle w:val="10"/>
        <w:ind w:left="0"/>
        <w:jc w:val="both"/>
        <w:rPr>
          <w:color w:val="000000"/>
          <w:sz w:val="20"/>
          <w:szCs w:val="20"/>
          <w:lang w:val="uk-UA"/>
        </w:rPr>
      </w:pPr>
    </w:p>
    <w:sectPr w:rsidR="003239E1" w:rsidRPr="005D5722" w:rsidSect="00432494">
      <w:headerReference w:type="even" r:id="rId8"/>
      <w:headerReference w:type="default" r:id="rId9"/>
      <w:pgSz w:w="11906" w:h="16838"/>
      <w:pgMar w:top="993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453" w:rsidRDefault="00660453">
      <w:r>
        <w:separator/>
      </w:r>
    </w:p>
  </w:endnote>
  <w:endnote w:type="continuationSeparator" w:id="0">
    <w:p w:rsidR="00660453" w:rsidRDefault="0066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453" w:rsidRDefault="00660453">
      <w:r>
        <w:separator/>
      </w:r>
    </w:p>
  </w:footnote>
  <w:footnote w:type="continuationSeparator" w:id="0">
    <w:p w:rsidR="00660453" w:rsidRDefault="0066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453" w:rsidRDefault="00660453" w:rsidP="008308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0453" w:rsidRDefault="00660453" w:rsidP="00F6781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453" w:rsidRDefault="00660453" w:rsidP="008308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03C">
      <w:rPr>
        <w:rStyle w:val="a5"/>
        <w:noProof/>
      </w:rPr>
      <w:t>11</w:t>
    </w:r>
    <w:r>
      <w:rPr>
        <w:rStyle w:val="a5"/>
      </w:rPr>
      <w:fldChar w:fldCharType="end"/>
    </w:r>
  </w:p>
  <w:p w:rsidR="00660453" w:rsidRDefault="00660453" w:rsidP="00F678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78"/>
        </w:tabs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/>
      </w:rPr>
    </w:lvl>
  </w:abstractNum>
  <w:abstractNum w:abstractNumId="1" w15:restartNumberingAfterBreak="0">
    <w:nsid w:val="089B5D7E"/>
    <w:multiLevelType w:val="hybridMultilevel"/>
    <w:tmpl w:val="CE2AA982"/>
    <w:lvl w:ilvl="0" w:tplc="C7F498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A62E13"/>
    <w:multiLevelType w:val="hybridMultilevel"/>
    <w:tmpl w:val="53D0D5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546FC8"/>
    <w:multiLevelType w:val="hybridMultilevel"/>
    <w:tmpl w:val="4418ABF8"/>
    <w:lvl w:ilvl="0" w:tplc="19D8E1F0">
      <w:start w:val="2"/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E10CE7"/>
    <w:multiLevelType w:val="multilevel"/>
    <w:tmpl w:val="C002A3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5" w15:restartNumberingAfterBreak="0">
    <w:nsid w:val="288A68F0"/>
    <w:multiLevelType w:val="multilevel"/>
    <w:tmpl w:val="C002A3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6" w15:restartNumberingAfterBreak="0">
    <w:nsid w:val="35B46E6A"/>
    <w:multiLevelType w:val="hybridMultilevel"/>
    <w:tmpl w:val="62A48D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E79758F"/>
    <w:multiLevelType w:val="hybridMultilevel"/>
    <w:tmpl w:val="A43E8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A50DE6"/>
    <w:multiLevelType w:val="hybridMultilevel"/>
    <w:tmpl w:val="CBC83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B523DA7"/>
    <w:multiLevelType w:val="hybridMultilevel"/>
    <w:tmpl w:val="0F20BEFE"/>
    <w:lvl w:ilvl="0" w:tplc="9BDE2294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53650EF0"/>
    <w:multiLevelType w:val="hybridMultilevel"/>
    <w:tmpl w:val="57085692"/>
    <w:lvl w:ilvl="0" w:tplc="A62EE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B0882"/>
    <w:multiLevelType w:val="hybridMultilevel"/>
    <w:tmpl w:val="D83402F8"/>
    <w:lvl w:ilvl="0" w:tplc="28F8F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230CC"/>
    <w:multiLevelType w:val="hybridMultilevel"/>
    <w:tmpl w:val="387093D4"/>
    <w:lvl w:ilvl="0" w:tplc="1FBA78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906BC5"/>
    <w:multiLevelType w:val="multilevel"/>
    <w:tmpl w:val="89447E92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AB0"/>
    <w:rsid w:val="00002732"/>
    <w:rsid w:val="00004113"/>
    <w:rsid w:val="00010AFF"/>
    <w:rsid w:val="00012B6D"/>
    <w:rsid w:val="00014A4B"/>
    <w:rsid w:val="000163C9"/>
    <w:rsid w:val="00017006"/>
    <w:rsid w:val="0001732C"/>
    <w:rsid w:val="000208C0"/>
    <w:rsid w:val="00020DD4"/>
    <w:rsid w:val="00021811"/>
    <w:rsid w:val="00024D03"/>
    <w:rsid w:val="00026DBC"/>
    <w:rsid w:val="000270EF"/>
    <w:rsid w:val="00027309"/>
    <w:rsid w:val="0002750C"/>
    <w:rsid w:val="0003037A"/>
    <w:rsid w:val="000306F9"/>
    <w:rsid w:val="00030B62"/>
    <w:rsid w:val="00031369"/>
    <w:rsid w:val="00031B61"/>
    <w:rsid w:val="0003202C"/>
    <w:rsid w:val="0003238C"/>
    <w:rsid w:val="00034943"/>
    <w:rsid w:val="00035434"/>
    <w:rsid w:val="00035571"/>
    <w:rsid w:val="00035DC5"/>
    <w:rsid w:val="000362F1"/>
    <w:rsid w:val="000364BA"/>
    <w:rsid w:val="00037E7B"/>
    <w:rsid w:val="00040627"/>
    <w:rsid w:val="000432D0"/>
    <w:rsid w:val="00043652"/>
    <w:rsid w:val="00044C8E"/>
    <w:rsid w:val="00045206"/>
    <w:rsid w:val="00045B7A"/>
    <w:rsid w:val="00045EAA"/>
    <w:rsid w:val="000478B4"/>
    <w:rsid w:val="00057603"/>
    <w:rsid w:val="00057648"/>
    <w:rsid w:val="000609E0"/>
    <w:rsid w:val="00061128"/>
    <w:rsid w:val="000616C8"/>
    <w:rsid w:val="00062A2E"/>
    <w:rsid w:val="00063741"/>
    <w:rsid w:val="000707E9"/>
    <w:rsid w:val="00070FA1"/>
    <w:rsid w:val="000710A3"/>
    <w:rsid w:val="00072829"/>
    <w:rsid w:val="00074216"/>
    <w:rsid w:val="00076DE8"/>
    <w:rsid w:val="000800DE"/>
    <w:rsid w:val="000834FA"/>
    <w:rsid w:val="00083B65"/>
    <w:rsid w:val="00090722"/>
    <w:rsid w:val="00091EE6"/>
    <w:rsid w:val="000929B1"/>
    <w:rsid w:val="00093233"/>
    <w:rsid w:val="0009518E"/>
    <w:rsid w:val="00095BE7"/>
    <w:rsid w:val="000969F1"/>
    <w:rsid w:val="000979B3"/>
    <w:rsid w:val="000A1664"/>
    <w:rsid w:val="000A172E"/>
    <w:rsid w:val="000A2823"/>
    <w:rsid w:val="000A313F"/>
    <w:rsid w:val="000A40B8"/>
    <w:rsid w:val="000A7F9E"/>
    <w:rsid w:val="000B140D"/>
    <w:rsid w:val="000B1657"/>
    <w:rsid w:val="000B29E3"/>
    <w:rsid w:val="000B37D0"/>
    <w:rsid w:val="000B54B8"/>
    <w:rsid w:val="000B5E2C"/>
    <w:rsid w:val="000B6844"/>
    <w:rsid w:val="000C0780"/>
    <w:rsid w:val="000C0F2A"/>
    <w:rsid w:val="000C2201"/>
    <w:rsid w:val="000C25DC"/>
    <w:rsid w:val="000C3EFC"/>
    <w:rsid w:val="000C5073"/>
    <w:rsid w:val="000C52D3"/>
    <w:rsid w:val="000C789B"/>
    <w:rsid w:val="000C7BFB"/>
    <w:rsid w:val="000C7C6A"/>
    <w:rsid w:val="000D0D58"/>
    <w:rsid w:val="000D4C9D"/>
    <w:rsid w:val="000D5B23"/>
    <w:rsid w:val="000E1819"/>
    <w:rsid w:val="000E31AA"/>
    <w:rsid w:val="000E4EAC"/>
    <w:rsid w:val="000E6421"/>
    <w:rsid w:val="000E64E9"/>
    <w:rsid w:val="000E6964"/>
    <w:rsid w:val="000E70A2"/>
    <w:rsid w:val="000F1E77"/>
    <w:rsid w:val="000F3C16"/>
    <w:rsid w:val="000F4405"/>
    <w:rsid w:val="000F618E"/>
    <w:rsid w:val="000F6D70"/>
    <w:rsid w:val="000F6DD8"/>
    <w:rsid w:val="00100103"/>
    <w:rsid w:val="00100837"/>
    <w:rsid w:val="00100F9E"/>
    <w:rsid w:val="00101926"/>
    <w:rsid w:val="001020AF"/>
    <w:rsid w:val="001031E9"/>
    <w:rsid w:val="00106798"/>
    <w:rsid w:val="00107097"/>
    <w:rsid w:val="0011117C"/>
    <w:rsid w:val="00112933"/>
    <w:rsid w:val="00115831"/>
    <w:rsid w:val="00116643"/>
    <w:rsid w:val="00121094"/>
    <w:rsid w:val="00124172"/>
    <w:rsid w:val="0012491F"/>
    <w:rsid w:val="00124D83"/>
    <w:rsid w:val="00124E29"/>
    <w:rsid w:val="00131600"/>
    <w:rsid w:val="00133C36"/>
    <w:rsid w:val="0013424D"/>
    <w:rsid w:val="00134D33"/>
    <w:rsid w:val="00136DE1"/>
    <w:rsid w:val="00137153"/>
    <w:rsid w:val="0014201B"/>
    <w:rsid w:val="00142BB6"/>
    <w:rsid w:val="00142F76"/>
    <w:rsid w:val="00143BF3"/>
    <w:rsid w:val="001465B8"/>
    <w:rsid w:val="00146C9C"/>
    <w:rsid w:val="001527B0"/>
    <w:rsid w:val="0015408D"/>
    <w:rsid w:val="00154FF9"/>
    <w:rsid w:val="00155277"/>
    <w:rsid w:val="0015616D"/>
    <w:rsid w:val="001564E1"/>
    <w:rsid w:val="0016145E"/>
    <w:rsid w:val="0016653A"/>
    <w:rsid w:val="001678C6"/>
    <w:rsid w:val="00167B62"/>
    <w:rsid w:val="00172617"/>
    <w:rsid w:val="00172E8C"/>
    <w:rsid w:val="001732CB"/>
    <w:rsid w:val="0017487C"/>
    <w:rsid w:val="00176CA8"/>
    <w:rsid w:val="00177755"/>
    <w:rsid w:val="001805B5"/>
    <w:rsid w:val="001831A5"/>
    <w:rsid w:val="00184545"/>
    <w:rsid w:val="0018460A"/>
    <w:rsid w:val="001862BD"/>
    <w:rsid w:val="00186E68"/>
    <w:rsid w:val="00186E69"/>
    <w:rsid w:val="00190AC9"/>
    <w:rsid w:val="001913D6"/>
    <w:rsid w:val="001950C3"/>
    <w:rsid w:val="00195F64"/>
    <w:rsid w:val="001A01A0"/>
    <w:rsid w:val="001A02F6"/>
    <w:rsid w:val="001A3988"/>
    <w:rsid w:val="001A5912"/>
    <w:rsid w:val="001A62A0"/>
    <w:rsid w:val="001B1773"/>
    <w:rsid w:val="001B2262"/>
    <w:rsid w:val="001B61B2"/>
    <w:rsid w:val="001B6A6A"/>
    <w:rsid w:val="001B6D57"/>
    <w:rsid w:val="001C2081"/>
    <w:rsid w:val="001C3418"/>
    <w:rsid w:val="001C35D5"/>
    <w:rsid w:val="001C3C57"/>
    <w:rsid w:val="001C5469"/>
    <w:rsid w:val="001D0C5B"/>
    <w:rsid w:val="001D2193"/>
    <w:rsid w:val="001D47CA"/>
    <w:rsid w:val="001D49E1"/>
    <w:rsid w:val="001D734A"/>
    <w:rsid w:val="001D7ED4"/>
    <w:rsid w:val="001E0966"/>
    <w:rsid w:val="001E0A9E"/>
    <w:rsid w:val="001E10A9"/>
    <w:rsid w:val="001E1FD7"/>
    <w:rsid w:val="001E361B"/>
    <w:rsid w:val="001E40B5"/>
    <w:rsid w:val="001E5269"/>
    <w:rsid w:val="001E5F95"/>
    <w:rsid w:val="001E65A8"/>
    <w:rsid w:val="001E6A23"/>
    <w:rsid w:val="001E7A36"/>
    <w:rsid w:val="001E7AA3"/>
    <w:rsid w:val="001F2B7B"/>
    <w:rsid w:val="001F385C"/>
    <w:rsid w:val="001F43BD"/>
    <w:rsid w:val="001F5B98"/>
    <w:rsid w:val="001F6066"/>
    <w:rsid w:val="00202463"/>
    <w:rsid w:val="00204A91"/>
    <w:rsid w:val="002072D6"/>
    <w:rsid w:val="002074FF"/>
    <w:rsid w:val="00210E56"/>
    <w:rsid w:val="0021131A"/>
    <w:rsid w:val="002119BA"/>
    <w:rsid w:val="00213ECF"/>
    <w:rsid w:val="002140CE"/>
    <w:rsid w:val="002147DD"/>
    <w:rsid w:val="0021686F"/>
    <w:rsid w:val="00217C50"/>
    <w:rsid w:val="002205BA"/>
    <w:rsid w:val="002214F2"/>
    <w:rsid w:val="002236B6"/>
    <w:rsid w:val="00223D51"/>
    <w:rsid w:val="002250BA"/>
    <w:rsid w:val="002252FE"/>
    <w:rsid w:val="0022532F"/>
    <w:rsid w:val="00225EFF"/>
    <w:rsid w:val="002268D9"/>
    <w:rsid w:val="00227DAB"/>
    <w:rsid w:val="00227DC7"/>
    <w:rsid w:val="002308CF"/>
    <w:rsid w:val="00232D14"/>
    <w:rsid w:val="00233524"/>
    <w:rsid w:val="00233C2D"/>
    <w:rsid w:val="00234E3A"/>
    <w:rsid w:val="00240B8D"/>
    <w:rsid w:val="0024603A"/>
    <w:rsid w:val="00246203"/>
    <w:rsid w:val="00246379"/>
    <w:rsid w:val="002467D9"/>
    <w:rsid w:val="00250069"/>
    <w:rsid w:val="00250F64"/>
    <w:rsid w:val="002519CC"/>
    <w:rsid w:val="002521D4"/>
    <w:rsid w:val="00252E74"/>
    <w:rsid w:val="00253C87"/>
    <w:rsid w:val="00253EB4"/>
    <w:rsid w:val="00256C40"/>
    <w:rsid w:val="00257756"/>
    <w:rsid w:val="00257B0F"/>
    <w:rsid w:val="002609F2"/>
    <w:rsid w:val="00262D2A"/>
    <w:rsid w:val="0026494B"/>
    <w:rsid w:val="0026581F"/>
    <w:rsid w:val="00265E97"/>
    <w:rsid w:val="002679B3"/>
    <w:rsid w:val="00270126"/>
    <w:rsid w:val="00272C69"/>
    <w:rsid w:val="00274CEB"/>
    <w:rsid w:val="00275354"/>
    <w:rsid w:val="002763F1"/>
    <w:rsid w:val="00282101"/>
    <w:rsid w:val="00282F3A"/>
    <w:rsid w:val="002841F9"/>
    <w:rsid w:val="002848CD"/>
    <w:rsid w:val="00286083"/>
    <w:rsid w:val="00290299"/>
    <w:rsid w:val="00290D06"/>
    <w:rsid w:val="0029237F"/>
    <w:rsid w:val="00293D93"/>
    <w:rsid w:val="00294AD9"/>
    <w:rsid w:val="00294E03"/>
    <w:rsid w:val="00294F1D"/>
    <w:rsid w:val="00296FDC"/>
    <w:rsid w:val="00297D39"/>
    <w:rsid w:val="002A0D01"/>
    <w:rsid w:val="002A25B2"/>
    <w:rsid w:val="002A2F3C"/>
    <w:rsid w:val="002A4828"/>
    <w:rsid w:val="002A5A71"/>
    <w:rsid w:val="002A7A92"/>
    <w:rsid w:val="002B10D7"/>
    <w:rsid w:val="002B196D"/>
    <w:rsid w:val="002B3739"/>
    <w:rsid w:val="002B3A45"/>
    <w:rsid w:val="002B43F9"/>
    <w:rsid w:val="002B4F84"/>
    <w:rsid w:val="002B5F24"/>
    <w:rsid w:val="002B6177"/>
    <w:rsid w:val="002B643A"/>
    <w:rsid w:val="002B68D0"/>
    <w:rsid w:val="002C1D39"/>
    <w:rsid w:val="002C2624"/>
    <w:rsid w:val="002C46FB"/>
    <w:rsid w:val="002C4C4A"/>
    <w:rsid w:val="002C516B"/>
    <w:rsid w:val="002C6617"/>
    <w:rsid w:val="002D453C"/>
    <w:rsid w:val="002D462D"/>
    <w:rsid w:val="002D7829"/>
    <w:rsid w:val="002E0CED"/>
    <w:rsid w:val="002E1926"/>
    <w:rsid w:val="002E24C2"/>
    <w:rsid w:val="002E501E"/>
    <w:rsid w:val="002E600A"/>
    <w:rsid w:val="002E6A1B"/>
    <w:rsid w:val="002E6C57"/>
    <w:rsid w:val="002F5C14"/>
    <w:rsid w:val="002F7B50"/>
    <w:rsid w:val="00300902"/>
    <w:rsid w:val="00300F16"/>
    <w:rsid w:val="00301EF1"/>
    <w:rsid w:val="003021F3"/>
    <w:rsid w:val="003029D1"/>
    <w:rsid w:val="003030A4"/>
    <w:rsid w:val="00303531"/>
    <w:rsid w:val="00303787"/>
    <w:rsid w:val="00304BD2"/>
    <w:rsid w:val="00304F97"/>
    <w:rsid w:val="0030501A"/>
    <w:rsid w:val="00306662"/>
    <w:rsid w:val="003102FA"/>
    <w:rsid w:val="00311864"/>
    <w:rsid w:val="00313AB0"/>
    <w:rsid w:val="00315675"/>
    <w:rsid w:val="00320756"/>
    <w:rsid w:val="00321414"/>
    <w:rsid w:val="003225D4"/>
    <w:rsid w:val="00323009"/>
    <w:rsid w:val="003239E1"/>
    <w:rsid w:val="00324602"/>
    <w:rsid w:val="00324E9B"/>
    <w:rsid w:val="00325D0D"/>
    <w:rsid w:val="0032714E"/>
    <w:rsid w:val="0033039C"/>
    <w:rsid w:val="0033313C"/>
    <w:rsid w:val="00333468"/>
    <w:rsid w:val="00333AA1"/>
    <w:rsid w:val="0033463B"/>
    <w:rsid w:val="00334831"/>
    <w:rsid w:val="00334C60"/>
    <w:rsid w:val="003361E9"/>
    <w:rsid w:val="00336478"/>
    <w:rsid w:val="00337149"/>
    <w:rsid w:val="0033776A"/>
    <w:rsid w:val="00342117"/>
    <w:rsid w:val="0034458C"/>
    <w:rsid w:val="00344D47"/>
    <w:rsid w:val="003456E8"/>
    <w:rsid w:val="0035069C"/>
    <w:rsid w:val="00350CD7"/>
    <w:rsid w:val="00351788"/>
    <w:rsid w:val="00351991"/>
    <w:rsid w:val="0035321D"/>
    <w:rsid w:val="00353BBF"/>
    <w:rsid w:val="00354F7D"/>
    <w:rsid w:val="00356CC3"/>
    <w:rsid w:val="00365700"/>
    <w:rsid w:val="00367BD9"/>
    <w:rsid w:val="0037511A"/>
    <w:rsid w:val="0037696C"/>
    <w:rsid w:val="0037737D"/>
    <w:rsid w:val="00380364"/>
    <w:rsid w:val="00380D39"/>
    <w:rsid w:val="003823AE"/>
    <w:rsid w:val="00382961"/>
    <w:rsid w:val="00384F0E"/>
    <w:rsid w:val="00385162"/>
    <w:rsid w:val="00385F73"/>
    <w:rsid w:val="00386F3D"/>
    <w:rsid w:val="0038726B"/>
    <w:rsid w:val="00387592"/>
    <w:rsid w:val="003942A8"/>
    <w:rsid w:val="00395D00"/>
    <w:rsid w:val="00395F00"/>
    <w:rsid w:val="003968B6"/>
    <w:rsid w:val="00396E35"/>
    <w:rsid w:val="003A166B"/>
    <w:rsid w:val="003A20AA"/>
    <w:rsid w:val="003A3BC5"/>
    <w:rsid w:val="003A502C"/>
    <w:rsid w:val="003A7AF2"/>
    <w:rsid w:val="003B057D"/>
    <w:rsid w:val="003B1395"/>
    <w:rsid w:val="003B512F"/>
    <w:rsid w:val="003B534E"/>
    <w:rsid w:val="003B732F"/>
    <w:rsid w:val="003C016D"/>
    <w:rsid w:val="003C1587"/>
    <w:rsid w:val="003C1835"/>
    <w:rsid w:val="003C2D4D"/>
    <w:rsid w:val="003C34BB"/>
    <w:rsid w:val="003C37C5"/>
    <w:rsid w:val="003C3BC5"/>
    <w:rsid w:val="003C5A99"/>
    <w:rsid w:val="003C6472"/>
    <w:rsid w:val="003C6F84"/>
    <w:rsid w:val="003C73E4"/>
    <w:rsid w:val="003D08A0"/>
    <w:rsid w:val="003D19D8"/>
    <w:rsid w:val="003D1F96"/>
    <w:rsid w:val="003D4889"/>
    <w:rsid w:val="003D5042"/>
    <w:rsid w:val="003D6BC4"/>
    <w:rsid w:val="003D6DE2"/>
    <w:rsid w:val="003E0BDC"/>
    <w:rsid w:val="003E0D6A"/>
    <w:rsid w:val="003E2D0C"/>
    <w:rsid w:val="003E34A4"/>
    <w:rsid w:val="003E39F7"/>
    <w:rsid w:val="003E3FEE"/>
    <w:rsid w:val="003E5185"/>
    <w:rsid w:val="003E6DFB"/>
    <w:rsid w:val="003E789B"/>
    <w:rsid w:val="003F0CB5"/>
    <w:rsid w:val="003F0FE0"/>
    <w:rsid w:val="003F1335"/>
    <w:rsid w:val="003F2EEE"/>
    <w:rsid w:val="003F3D00"/>
    <w:rsid w:val="003F6D45"/>
    <w:rsid w:val="003F7575"/>
    <w:rsid w:val="00400043"/>
    <w:rsid w:val="00401686"/>
    <w:rsid w:val="00401DAC"/>
    <w:rsid w:val="00403998"/>
    <w:rsid w:val="00406860"/>
    <w:rsid w:val="004146F1"/>
    <w:rsid w:val="00415E41"/>
    <w:rsid w:val="00417EE1"/>
    <w:rsid w:val="00422517"/>
    <w:rsid w:val="00426F60"/>
    <w:rsid w:val="0042750E"/>
    <w:rsid w:val="004315B6"/>
    <w:rsid w:val="00432494"/>
    <w:rsid w:val="004332DF"/>
    <w:rsid w:val="00434CAD"/>
    <w:rsid w:val="00437D31"/>
    <w:rsid w:val="00440FBE"/>
    <w:rsid w:val="004418EF"/>
    <w:rsid w:val="00441C9B"/>
    <w:rsid w:val="00442CDC"/>
    <w:rsid w:val="00445F8A"/>
    <w:rsid w:val="00446715"/>
    <w:rsid w:val="0044788B"/>
    <w:rsid w:val="004507DC"/>
    <w:rsid w:val="00450A24"/>
    <w:rsid w:val="004521C4"/>
    <w:rsid w:val="00452CDC"/>
    <w:rsid w:val="00453557"/>
    <w:rsid w:val="004539D1"/>
    <w:rsid w:val="0045407F"/>
    <w:rsid w:val="0045420A"/>
    <w:rsid w:val="0045745B"/>
    <w:rsid w:val="00457A24"/>
    <w:rsid w:val="00467C5E"/>
    <w:rsid w:val="00471D1F"/>
    <w:rsid w:val="00471F8B"/>
    <w:rsid w:val="004723F8"/>
    <w:rsid w:val="0048049F"/>
    <w:rsid w:val="00480BF6"/>
    <w:rsid w:val="00484ABA"/>
    <w:rsid w:val="00484F15"/>
    <w:rsid w:val="00487F3A"/>
    <w:rsid w:val="00487F7D"/>
    <w:rsid w:val="00490004"/>
    <w:rsid w:val="00491CC2"/>
    <w:rsid w:val="00492284"/>
    <w:rsid w:val="00493C82"/>
    <w:rsid w:val="00494201"/>
    <w:rsid w:val="00494681"/>
    <w:rsid w:val="00496EC2"/>
    <w:rsid w:val="0049733F"/>
    <w:rsid w:val="004A3263"/>
    <w:rsid w:val="004A3DF6"/>
    <w:rsid w:val="004A4424"/>
    <w:rsid w:val="004A4804"/>
    <w:rsid w:val="004A5BC7"/>
    <w:rsid w:val="004B12B2"/>
    <w:rsid w:val="004B19DF"/>
    <w:rsid w:val="004B752C"/>
    <w:rsid w:val="004B7AEC"/>
    <w:rsid w:val="004C0945"/>
    <w:rsid w:val="004C20B4"/>
    <w:rsid w:val="004C3438"/>
    <w:rsid w:val="004C4639"/>
    <w:rsid w:val="004C47A2"/>
    <w:rsid w:val="004C4D43"/>
    <w:rsid w:val="004C54C3"/>
    <w:rsid w:val="004C6BDA"/>
    <w:rsid w:val="004D109D"/>
    <w:rsid w:val="004D4AAE"/>
    <w:rsid w:val="004D58B9"/>
    <w:rsid w:val="004D79FE"/>
    <w:rsid w:val="004E20B3"/>
    <w:rsid w:val="004E25DC"/>
    <w:rsid w:val="004E27FF"/>
    <w:rsid w:val="004E3938"/>
    <w:rsid w:val="004E3E34"/>
    <w:rsid w:val="004E4185"/>
    <w:rsid w:val="004E632A"/>
    <w:rsid w:val="004E7430"/>
    <w:rsid w:val="004E76A4"/>
    <w:rsid w:val="004E7DB8"/>
    <w:rsid w:val="004F166F"/>
    <w:rsid w:val="004F3066"/>
    <w:rsid w:val="004F3757"/>
    <w:rsid w:val="004F3AB6"/>
    <w:rsid w:val="004F3EE2"/>
    <w:rsid w:val="004F4F6A"/>
    <w:rsid w:val="004F538C"/>
    <w:rsid w:val="004F6505"/>
    <w:rsid w:val="005000AA"/>
    <w:rsid w:val="00500DA1"/>
    <w:rsid w:val="00501C56"/>
    <w:rsid w:val="00501FCF"/>
    <w:rsid w:val="00502456"/>
    <w:rsid w:val="005030F9"/>
    <w:rsid w:val="00503142"/>
    <w:rsid w:val="00503BBD"/>
    <w:rsid w:val="00505123"/>
    <w:rsid w:val="00506A0A"/>
    <w:rsid w:val="00507248"/>
    <w:rsid w:val="0051102C"/>
    <w:rsid w:val="005115C3"/>
    <w:rsid w:val="005115EE"/>
    <w:rsid w:val="00512EDD"/>
    <w:rsid w:val="00516F44"/>
    <w:rsid w:val="0051763C"/>
    <w:rsid w:val="0052526B"/>
    <w:rsid w:val="0052633B"/>
    <w:rsid w:val="0052708C"/>
    <w:rsid w:val="00531710"/>
    <w:rsid w:val="0053732E"/>
    <w:rsid w:val="00542622"/>
    <w:rsid w:val="0054311A"/>
    <w:rsid w:val="005436E1"/>
    <w:rsid w:val="00546572"/>
    <w:rsid w:val="0054710D"/>
    <w:rsid w:val="0055062F"/>
    <w:rsid w:val="00552B69"/>
    <w:rsid w:val="00555FCF"/>
    <w:rsid w:val="005575AE"/>
    <w:rsid w:val="00557BCE"/>
    <w:rsid w:val="00557D93"/>
    <w:rsid w:val="0056077A"/>
    <w:rsid w:val="0056118C"/>
    <w:rsid w:val="0056168D"/>
    <w:rsid w:val="00566D08"/>
    <w:rsid w:val="00567A81"/>
    <w:rsid w:val="00570814"/>
    <w:rsid w:val="00570F7A"/>
    <w:rsid w:val="005722F3"/>
    <w:rsid w:val="00572504"/>
    <w:rsid w:val="005725AB"/>
    <w:rsid w:val="00572DEF"/>
    <w:rsid w:val="00573F1C"/>
    <w:rsid w:val="00574F6F"/>
    <w:rsid w:val="00576AFC"/>
    <w:rsid w:val="00576F79"/>
    <w:rsid w:val="00585225"/>
    <w:rsid w:val="005853CC"/>
    <w:rsid w:val="00587BEA"/>
    <w:rsid w:val="00587EC5"/>
    <w:rsid w:val="00590400"/>
    <w:rsid w:val="00590AEF"/>
    <w:rsid w:val="005921F1"/>
    <w:rsid w:val="00592DB0"/>
    <w:rsid w:val="00594575"/>
    <w:rsid w:val="00594BCA"/>
    <w:rsid w:val="005959AC"/>
    <w:rsid w:val="00595C85"/>
    <w:rsid w:val="00595DF9"/>
    <w:rsid w:val="005967DE"/>
    <w:rsid w:val="00597007"/>
    <w:rsid w:val="005A0C00"/>
    <w:rsid w:val="005A1C7C"/>
    <w:rsid w:val="005A24B0"/>
    <w:rsid w:val="005A2B5B"/>
    <w:rsid w:val="005A326F"/>
    <w:rsid w:val="005A57EB"/>
    <w:rsid w:val="005A58DA"/>
    <w:rsid w:val="005A5EF1"/>
    <w:rsid w:val="005A612A"/>
    <w:rsid w:val="005A6DE2"/>
    <w:rsid w:val="005B1671"/>
    <w:rsid w:val="005B24EC"/>
    <w:rsid w:val="005B3473"/>
    <w:rsid w:val="005B3704"/>
    <w:rsid w:val="005B4DFE"/>
    <w:rsid w:val="005B4FDF"/>
    <w:rsid w:val="005B5103"/>
    <w:rsid w:val="005B6A17"/>
    <w:rsid w:val="005B79DD"/>
    <w:rsid w:val="005B7DE7"/>
    <w:rsid w:val="005C109B"/>
    <w:rsid w:val="005C19B5"/>
    <w:rsid w:val="005C2DFA"/>
    <w:rsid w:val="005C3401"/>
    <w:rsid w:val="005C5015"/>
    <w:rsid w:val="005C518A"/>
    <w:rsid w:val="005C65D9"/>
    <w:rsid w:val="005C6662"/>
    <w:rsid w:val="005C66FF"/>
    <w:rsid w:val="005C67F1"/>
    <w:rsid w:val="005C6930"/>
    <w:rsid w:val="005C7ECA"/>
    <w:rsid w:val="005D1E30"/>
    <w:rsid w:val="005D2F00"/>
    <w:rsid w:val="005D35D0"/>
    <w:rsid w:val="005D4A8D"/>
    <w:rsid w:val="005D5722"/>
    <w:rsid w:val="005D7590"/>
    <w:rsid w:val="005E09A7"/>
    <w:rsid w:val="005E39F9"/>
    <w:rsid w:val="005F1283"/>
    <w:rsid w:val="005F1596"/>
    <w:rsid w:val="005F1B52"/>
    <w:rsid w:val="005F22CA"/>
    <w:rsid w:val="005F2774"/>
    <w:rsid w:val="005F59B7"/>
    <w:rsid w:val="005F5F48"/>
    <w:rsid w:val="005F7298"/>
    <w:rsid w:val="005F7BBF"/>
    <w:rsid w:val="006013A0"/>
    <w:rsid w:val="00601AC6"/>
    <w:rsid w:val="006033A8"/>
    <w:rsid w:val="00605D68"/>
    <w:rsid w:val="00606221"/>
    <w:rsid w:val="00606B72"/>
    <w:rsid w:val="006073D5"/>
    <w:rsid w:val="006117D8"/>
    <w:rsid w:val="00611967"/>
    <w:rsid w:val="00614784"/>
    <w:rsid w:val="00615745"/>
    <w:rsid w:val="006157BA"/>
    <w:rsid w:val="006163AF"/>
    <w:rsid w:val="0061740E"/>
    <w:rsid w:val="006200B2"/>
    <w:rsid w:val="006229FB"/>
    <w:rsid w:val="00622C58"/>
    <w:rsid w:val="006244FB"/>
    <w:rsid w:val="00625E35"/>
    <w:rsid w:val="006316A7"/>
    <w:rsid w:val="00634534"/>
    <w:rsid w:val="00643047"/>
    <w:rsid w:val="00643CCD"/>
    <w:rsid w:val="00643DFC"/>
    <w:rsid w:val="00644171"/>
    <w:rsid w:val="006449EE"/>
    <w:rsid w:val="006476E0"/>
    <w:rsid w:val="00647F1D"/>
    <w:rsid w:val="00650EBF"/>
    <w:rsid w:val="00651752"/>
    <w:rsid w:val="0065252A"/>
    <w:rsid w:val="00653468"/>
    <w:rsid w:val="00653EE0"/>
    <w:rsid w:val="0065455A"/>
    <w:rsid w:val="006545BA"/>
    <w:rsid w:val="00654E22"/>
    <w:rsid w:val="00655442"/>
    <w:rsid w:val="00655F2B"/>
    <w:rsid w:val="006560FB"/>
    <w:rsid w:val="006565BE"/>
    <w:rsid w:val="006567A8"/>
    <w:rsid w:val="00656CF4"/>
    <w:rsid w:val="0065765D"/>
    <w:rsid w:val="00660453"/>
    <w:rsid w:val="00661C18"/>
    <w:rsid w:val="0066353E"/>
    <w:rsid w:val="006636C8"/>
    <w:rsid w:val="00663A3F"/>
    <w:rsid w:val="00664DBB"/>
    <w:rsid w:val="0066561A"/>
    <w:rsid w:val="00665A35"/>
    <w:rsid w:val="00666E28"/>
    <w:rsid w:val="0067096E"/>
    <w:rsid w:val="006714FE"/>
    <w:rsid w:val="00671B03"/>
    <w:rsid w:val="00672372"/>
    <w:rsid w:val="00672809"/>
    <w:rsid w:val="00672DAF"/>
    <w:rsid w:val="0067456D"/>
    <w:rsid w:val="00676AA8"/>
    <w:rsid w:val="00680F6F"/>
    <w:rsid w:val="006820A6"/>
    <w:rsid w:val="00682DD6"/>
    <w:rsid w:val="006853F4"/>
    <w:rsid w:val="00687D21"/>
    <w:rsid w:val="006908BF"/>
    <w:rsid w:val="00690A41"/>
    <w:rsid w:val="00690C6A"/>
    <w:rsid w:val="006932A0"/>
    <w:rsid w:val="006948C9"/>
    <w:rsid w:val="006A6698"/>
    <w:rsid w:val="006A7508"/>
    <w:rsid w:val="006A7F74"/>
    <w:rsid w:val="006A7F94"/>
    <w:rsid w:val="006B26A5"/>
    <w:rsid w:val="006B2C79"/>
    <w:rsid w:val="006B374A"/>
    <w:rsid w:val="006B3BEE"/>
    <w:rsid w:val="006B5128"/>
    <w:rsid w:val="006B5BD4"/>
    <w:rsid w:val="006B674D"/>
    <w:rsid w:val="006B6EF1"/>
    <w:rsid w:val="006B7156"/>
    <w:rsid w:val="006B7656"/>
    <w:rsid w:val="006C15E8"/>
    <w:rsid w:val="006C2565"/>
    <w:rsid w:val="006C2D42"/>
    <w:rsid w:val="006C36EA"/>
    <w:rsid w:val="006C4AD2"/>
    <w:rsid w:val="006C5E78"/>
    <w:rsid w:val="006C739D"/>
    <w:rsid w:val="006C78A7"/>
    <w:rsid w:val="006D05AA"/>
    <w:rsid w:val="006D0CC5"/>
    <w:rsid w:val="006D36EA"/>
    <w:rsid w:val="006D4698"/>
    <w:rsid w:val="006D58A9"/>
    <w:rsid w:val="006D6289"/>
    <w:rsid w:val="006D6CBB"/>
    <w:rsid w:val="006D736E"/>
    <w:rsid w:val="006D793F"/>
    <w:rsid w:val="006D7F6C"/>
    <w:rsid w:val="006E1F11"/>
    <w:rsid w:val="006E2F73"/>
    <w:rsid w:val="006E3A82"/>
    <w:rsid w:val="006E5CD9"/>
    <w:rsid w:val="006E66DD"/>
    <w:rsid w:val="006E6CA7"/>
    <w:rsid w:val="006F070E"/>
    <w:rsid w:val="006F0DEE"/>
    <w:rsid w:val="006F10FA"/>
    <w:rsid w:val="006F2855"/>
    <w:rsid w:val="006F2B38"/>
    <w:rsid w:val="006F3BBC"/>
    <w:rsid w:val="006F3CC1"/>
    <w:rsid w:val="006F41CB"/>
    <w:rsid w:val="006F5847"/>
    <w:rsid w:val="006F6B91"/>
    <w:rsid w:val="006F7DD8"/>
    <w:rsid w:val="00701216"/>
    <w:rsid w:val="007014C1"/>
    <w:rsid w:val="00701C72"/>
    <w:rsid w:val="00701DCC"/>
    <w:rsid w:val="00705D0F"/>
    <w:rsid w:val="00710D27"/>
    <w:rsid w:val="00711132"/>
    <w:rsid w:val="007117CD"/>
    <w:rsid w:val="00711BC6"/>
    <w:rsid w:val="00711FC1"/>
    <w:rsid w:val="0071582D"/>
    <w:rsid w:val="00716269"/>
    <w:rsid w:val="00716A59"/>
    <w:rsid w:val="00716BD3"/>
    <w:rsid w:val="00716ECF"/>
    <w:rsid w:val="0071734B"/>
    <w:rsid w:val="00717D41"/>
    <w:rsid w:val="007203A0"/>
    <w:rsid w:val="00722AE7"/>
    <w:rsid w:val="007247CB"/>
    <w:rsid w:val="00726756"/>
    <w:rsid w:val="00726ACF"/>
    <w:rsid w:val="007275F7"/>
    <w:rsid w:val="007303EF"/>
    <w:rsid w:val="00731E73"/>
    <w:rsid w:val="00732334"/>
    <w:rsid w:val="00735EE5"/>
    <w:rsid w:val="0073740F"/>
    <w:rsid w:val="00737B2E"/>
    <w:rsid w:val="00741368"/>
    <w:rsid w:val="00741DFF"/>
    <w:rsid w:val="00742C3C"/>
    <w:rsid w:val="00742E83"/>
    <w:rsid w:val="007432AE"/>
    <w:rsid w:val="00744BD0"/>
    <w:rsid w:val="00745352"/>
    <w:rsid w:val="007465A6"/>
    <w:rsid w:val="0074682F"/>
    <w:rsid w:val="00747EF7"/>
    <w:rsid w:val="00747F3B"/>
    <w:rsid w:val="00750B66"/>
    <w:rsid w:val="0075185E"/>
    <w:rsid w:val="007536C5"/>
    <w:rsid w:val="00755B2D"/>
    <w:rsid w:val="00756DC1"/>
    <w:rsid w:val="00765AA8"/>
    <w:rsid w:val="007706B1"/>
    <w:rsid w:val="00770F8C"/>
    <w:rsid w:val="0077187C"/>
    <w:rsid w:val="00771951"/>
    <w:rsid w:val="00772FC3"/>
    <w:rsid w:val="0077424E"/>
    <w:rsid w:val="007744CB"/>
    <w:rsid w:val="00774E8C"/>
    <w:rsid w:val="00775F1A"/>
    <w:rsid w:val="0077660B"/>
    <w:rsid w:val="0077773B"/>
    <w:rsid w:val="0078238F"/>
    <w:rsid w:val="007836D8"/>
    <w:rsid w:val="00783FB6"/>
    <w:rsid w:val="00784013"/>
    <w:rsid w:val="0078508E"/>
    <w:rsid w:val="0078536D"/>
    <w:rsid w:val="0078610C"/>
    <w:rsid w:val="00786523"/>
    <w:rsid w:val="00786B5B"/>
    <w:rsid w:val="00792C8B"/>
    <w:rsid w:val="00794FE8"/>
    <w:rsid w:val="00796878"/>
    <w:rsid w:val="00796FE2"/>
    <w:rsid w:val="00797659"/>
    <w:rsid w:val="00797C96"/>
    <w:rsid w:val="007A1113"/>
    <w:rsid w:val="007A11CC"/>
    <w:rsid w:val="007A67B3"/>
    <w:rsid w:val="007A7EDB"/>
    <w:rsid w:val="007B15F0"/>
    <w:rsid w:val="007B1D51"/>
    <w:rsid w:val="007B1DCE"/>
    <w:rsid w:val="007B28C4"/>
    <w:rsid w:val="007B297A"/>
    <w:rsid w:val="007B3FA2"/>
    <w:rsid w:val="007B40CC"/>
    <w:rsid w:val="007B7C03"/>
    <w:rsid w:val="007C0AC5"/>
    <w:rsid w:val="007C30FE"/>
    <w:rsid w:val="007C553D"/>
    <w:rsid w:val="007C579C"/>
    <w:rsid w:val="007C5D71"/>
    <w:rsid w:val="007C5F09"/>
    <w:rsid w:val="007C64B1"/>
    <w:rsid w:val="007D0E7D"/>
    <w:rsid w:val="007D13C8"/>
    <w:rsid w:val="007D267D"/>
    <w:rsid w:val="007D4674"/>
    <w:rsid w:val="007D50F5"/>
    <w:rsid w:val="007D6F29"/>
    <w:rsid w:val="007D704A"/>
    <w:rsid w:val="007E12D6"/>
    <w:rsid w:val="007E3707"/>
    <w:rsid w:val="007E37AE"/>
    <w:rsid w:val="007E6ADF"/>
    <w:rsid w:val="007E7738"/>
    <w:rsid w:val="007F2673"/>
    <w:rsid w:val="007F3CE2"/>
    <w:rsid w:val="007F3E8D"/>
    <w:rsid w:val="007F448E"/>
    <w:rsid w:val="007F6099"/>
    <w:rsid w:val="007F7CCE"/>
    <w:rsid w:val="00800EBC"/>
    <w:rsid w:val="008010AA"/>
    <w:rsid w:val="00801714"/>
    <w:rsid w:val="00801EF1"/>
    <w:rsid w:val="00803D91"/>
    <w:rsid w:val="008052EC"/>
    <w:rsid w:val="0080534B"/>
    <w:rsid w:val="008062D9"/>
    <w:rsid w:val="00810292"/>
    <w:rsid w:val="00810401"/>
    <w:rsid w:val="0081055D"/>
    <w:rsid w:val="0081058D"/>
    <w:rsid w:val="0081068F"/>
    <w:rsid w:val="0081081B"/>
    <w:rsid w:val="00810C57"/>
    <w:rsid w:val="0081305A"/>
    <w:rsid w:val="008147DF"/>
    <w:rsid w:val="00816F6A"/>
    <w:rsid w:val="00817010"/>
    <w:rsid w:val="00821840"/>
    <w:rsid w:val="00822473"/>
    <w:rsid w:val="008232B6"/>
    <w:rsid w:val="00823C97"/>
    <w:rsid w:val="00824577"/>
    <w:rsid w:val="00826005"/>
    <w:rsid w:val="00826809"/>
    <w:rsid w:val="00826BEC"/>
    <w:rsid w:val="008276FD"/>
    <w:rsid w:val="008304C5"/>
    <w:rsid w:val="00830892"/>
    <w:rsid w:val="008310D9"/>
    <w:rsid w:val="008323E6"/>
    <w:rsid w:val="00832561"/>
    <w:rsid w:val="00834D57"/>
    <w:rsid w:val="00835DED"/>
    <w:rsid w:val="0083658A"/>
    <w:rsid w:val="00842937"/>
    <w:rsid w:val="00844F32"/>
    <w:rsid w:val="008473D8"/>
    <w:rsid w:val="00847819"/>
    <w:rsid w:val="0085001A"/>
    <w:rsid w:val="00850847"/>
    <w:rsid w:val="00851F5F"/>
    <w:rsid w:val="00852731"/>
    <w:rsid w:val="00853ED1"/>
    <w:rsid w:val="0085488F"/>
    <w:rsid w:val="00854D0F"/>
    <w:rsid w:val="008569CA"/>
    <w:rsid w:val="008613C1"/>
    <w:rsid w:val="0086244B"/>
    <w:rsid w:val="008629DE"/>
    <w:rsid w:val="008634A4"/>
    <w:rsid w:val="008656DB"/>
    <w:rsid w:val="0086667A"/>
    <w:rsid w:val="00866955"/>
    <w:rsid w:val="00870A86"/>
    <w:rsid w:val="0087714C"/>
    <w:rsid w:val="00877369"/>
    <w:rsid w:val="00877CAA"/>
    <w:rsid w:val="00883781"/>
    <w:rsid w:val="008857A5"/>
    <w:rsid w:val="0088617C"/>
    <w:rsid w:val="00886D2D"/>
    <w:rsid w:val="008910F8"/>
    <w:rsid w:val="008915C2"/>
    <w:rsid w:val="0089268C"/>
    <w:rsid w:val="0089436A"/>
    <w:rsid w:val="00895E36"/>
    <w:rsid w:val="00895EEA"/>
    <w:rsid w:val="00896522"/>
    <w:rsid w:val="008A023D"/>
    <w:rsid w:val="008A18AC"/>
    <w:rsid w:val="008A3044"/>
    <w:rsid w:val="008A38EC"/>
    <w:rsid w:val="008A4C3D"/>
    <w:rsid w:val="008A6897"/>
    <w:rsid w:val="008A6D2C"/>
    <w:rsid w:val="008B0F1D"/>
    <w:rsid w:val="008B2A8D"/>
    <w:rsid w:val="008B37EA"/>
    <w:rsid w:val="008B5920"/>
    <w:rsid w:val="008C0376"/>
    <w:rsid w:val="008C0428"/>
    <w:rsid w:val="008C0B73"/>
    <w:rsid w:val="008C10F0"/>
    <w:rsid w:val="008C359F"/>
    <w:rsid w:val="008C36F0"/>
    <w:rsid w:val="008C3CD6"/>
    <w:rsid w:val="008C4C71"/>
    <w:rsid w:val="008C596A"/>
    <w:rsid w:val="008C5B7E"/>
    <w:rsid w:val="008C6DD3"/>
    <w:rsid w:val="008D1C56"/>
    <w:rsid w:val="008D533D"/>
    <w:rsid w:val="008D5E97"/>
    <w:rsid w:val="008D610D"/>
    <w:rsid w:val="008D6282"/>
    <w:rsid w:val="008E0D8E"/>
    <w:rsid w:val="008E1C41"/>
    <w:rsid w:val="008E24C3"/>
    <w:rsid w:val="008E2778"/>
    <w:rsid w:val="008E5412"/>
    <w:rsid w:val="008E7912"/>
    <w:rsid w:val="008F10D8"/>
    <w:rsid w:val="008F34EF"/>
    <w:rsid w:val="008F3691"/>
    <w:rsid w:val="008F42C2"/>
    <w:rsid w:val="008F57B4"/>
    <w:rsid w:val="008F5D74"/>
    <w:rsid w:val="008F6CDA"/>
    <w:rsid w:val="00900376"/>
    <w:rsid w:val="00902DFB"/>
    <w:rsid w:val="0090522C"/>
    <w:rsid w:val="00905B53"/>
    <w:rsid w:val="00907122"/>
    <w:rsid w:val="0090782A"/>
    <w:rsid w:val="00911B61"/>
    <w:rsid w:val="00912348"/>
    <w:rsid w:val="00912DB9"/>
    <w:rsid w:val="00913763"/>
    <w:rsid w:val="00913C53"/>
    <w:rsid w:val="0092754F"/>
    <w:rsid w:val="009277CA"/>
    <w:rsid w:val="00930A6A"/>
    <w:rsid w:val="00930E0C"/>
    <w:rsid w:val="00932EA4"/>
    <w:rsid w:val="00934214"/>
    <w:rsid w:val="009352D2"/>
    <w:rsid w:val="00935585"/>
    <w:rsid w:val="00936018"/>
    <w:rsid w:val="00937021"/>
    <w:rsid w:val="009376D2"/>
    <w:rsid w:val="00937BC1"/>
    <w:rsid w:val="0094051B"/>
    <w:rsid w:val="00940923"/>
    <w:rsid w:val="00940C5B"/>
    <w:rsid w:val="00941C69"/>
    <w:rsid w:val="00941ECC"/>
    <w:rsid w:val="009424D4"/>
    <w:rsid w:val="009449D0"/>
    <w:rsid w:val="009457EC"/>
    <w:rsid w:val="009525EC"/>
    <w:rsid w:val="00952E5A"/>
    <w:rsid w:val="00954EF5"/>
    <w:rsid w:val="009562B2"/>
    <w:rsid w:val="00962F4F"/>
    <w:rsid w:val="0096552B"/>
    <w:rsid w:val="0096732C"/>
    <w:rsid w:val="009723D1"/>
    <w:rsid w:val="009724FF"/>
    <w:rsid w:val="00972748"/>
    <w:rsid w:val="0097326F"/>
    <w:rsid w:val="00973992"/>
    <w:rsid w:val="009749B0"/>
    <w:rsid w:val="00975788"/>
    <w:rsid w:val="00976416"/>
    <w:rsid w:val="009765C2"/>
    <w:rsid w:val="009766A5"/>
    <w:rsid w:val="00977BF3"/>
    <w:rsid w:val="00981502"/>
    <w:rsid w:val="00983446"/>
    <w:rsid w:val="00985647"/>
    <w:rsid w:val="00986B9B"/>
    <w:rsid w:val="0098706E"/>
    <w:rsid w:val="00987B11"/>
    <w:rsid w:val="00990831"/>
    <w:rsid w:val="00992208"/>
    <w:rsid w:val="0099279C"/>
    <w:rsid w:val="00992B9A"/>
    <w:rsid w:val="00993335"/>
    <w:rsid w:val="00994305"/>
    <w:rsid w:val="00997095"/>
    <w:rsid w:val="00997435"/>
    <w:rsid w:val="00997673"/>
    <w:rsid w:val="009A1BD9"/>
    <w:rsid w:val="009A21AF"/>
    <w:rsid w:val="009A5061"/>
    <w:rsid w:val="009A54E8"/>
    <w:rsid w:val="009B1268"/>
    <w:rsid w:val="009B1EA7"/>
    <w:rsid w:val="009B2557"/>
    <w:rsid w:val="009B3288"/>
    <w:rsid w:val="009B4098"/>
    <w:rsid w:val="009B7283"/>
    <w:rsid w:val="009B7507"/>
    <w:rsid w:val="009B7FE5"/>
    <w:rsid w:val="009C06A5"/>
    <w:rsid w:val="009C5365"/>
    <w:rsid w:val="009C54A7"/>
    <w:rsid w:val="009C707A"/>
    <w:rsid w:val="009D013C"/>
    <w:rsid w:val="009D4F05"/>
    <w:rsid w:val="009D6072"/>
    <w:rsid w:val="009D763A"/>
    <w:rsid w:val="009D7A1E"/>
    <w:rsid w:val="009E29A0"/>
    <w:rsid w:val="009E3D49"/>
    <w:rsid w:val="009E46FC"/>
    <w:rsid w:val="009E503F"/>
    <w:rsid w:val="009F00C0"/>
    <w:rsid w:val="009F0625"/>
    <w:rsid w:val="009F0DAE"/>
    <w:rsid w:val="009F1B0F"/>
    <w:rsid w:val="009F27CA"/>
    <w:rsid w:val="009F3266"/>
    <w:rsid w:val="009F6B07"/>
    <w:rsid w:val="00A000AE"/>
    <w:rsid w:val="00A007AA"/>
    <w:rsid w:val="00A0404D"/>
    <w:rsid w:val="00A050D3"/>
    <w:rsid w:val="00A064FB"/>
    <w:rsid w:val="00A065E2"/>
    <w:rsid w:val="00A1095E"/>
    <w:rsid w:val="00A11B74"/>
    <w:rsid w:val="00A11BB6"/>
    <w:rsid w:val="00A12255"/>
    <w:rsid w:val="00A14D53"/>
    <w:rsid w:val="00A154BE"/>
    <w:rsid w:val="00A17526"/>
    <w:rsid w:val="00A21E11"/>
    <w:rsid w:val="00A2239A"/>
    <w:rsid w:val="00A22E11"/>
    <w:rsid w:val="00A2377E"/>
    <w:rsid w:val="00A23ABD"/>
    <w:rsid w:val="00A23DB4"/>
    <w:rsid w:val="00A24AA2"/>
    <w:rsid w:val="00A26AF3"/>
    <w:rsid w:val="00A26E37"/>
    <w:rsid w:val="00A26E67"/>
    <w:rsid w:val="00A272CC"/>
    <w:rsid w:val="00A300F8"/>
    <w:rsid w:val="00A31EE5"/>
    <w:rsid w:val="00A3268F"/>
    <w:rsid w:val="00A3270B"/>
    <w:rsid w:val="00A33034"/>
    <w:rsid w:val="00A33100"/>
    <w:rsid w:val="00A33FE0"/>
    <w:rsid w:val="00A34292"/>
    <w:rsid w:val="00A34B9A"/>
    <w:rsid w:val="00A35613"/>
    <w:rsid w:val="00A365DF"/>
    <w:rsid w:val="00A377D7"/>
    <w:rsid w:val="00A377EE"/>
    <w:rsid w:val="00A3785E"/>
    <w:rsid w:val="00A4028B"/>
    <w:rsid w:val="00A4217B"/>
    <w:rsid w:val="00A42228"/>
    <w:rsid w:val="00A434E7"/>
    <w:rsid w:val="00A43A58"/>
    <w:rsid w:val="00A450BB"/>
    <w:rsid w:val="00A45328"/>
    <w:rsid w:val="00A46048"/>
    <w:rsid w:val="00A47B90"/>
    <w:rsid w:val="00A5162E"/>
    <w:rsid w:val="00A51838"/>
    <w:rsid w:val="00A52748"/>
    <w:rsid w:val="00A52C81"/>
    <w:rsid w:val="00A52FA1"/>
    <w:rsid w:val="00A53973"/>
    <w:rsid w:val="00A55D05"/>
    <w:rsid w:val="00A61C10"/>
    <w:rsid w:val="00A6230F"/>
    <w:rsid w:val="00A63C9B"/>
    <w:rsid w:val="00A64D34"/>
    <w:rsid w:val="00A6605A"/>
    <w:rsid w:val="00A67D38"/>
    <w:rsid w:val="00A704BB"/>
    <w:rsid w:val="00A70BE4"/>
    <w:rsid w:val="00A7121E"/>
    <w:rsid w:val="00A727DA"/>
    <w:rsid w:val="00A73000"/>
    <w:rsid w:val="00A7305A"/>
    <w:rsid w:val="00A76B5E"/>
    <w:rsid w:val="00A80A89"/>
    <w:rsid w:val="00A837AC"/>
    <w:rsid w:val="00A850E2"/>
    <w:rsid w:val="00A86162"/>
    <w:rsid w:val="00A863D5"/>
    <w:rsid w:val="00A869AF"/>
    <w:rsid w:val="00A90430"/>
    <w:rsid w:val="00A9102A"/>
    <w:rsid w:val="00A934CB"/>
    <w:rsid w:val="00A9394F"/>
    <w:rsid w:val="00A94F2F"/>
    <w:rsid w:val="00A97AEC"/>
    <w:rsid w:val="00A97D29"/>
    <w:rsid w:val="00AA02D1"/>
    <w:rsid w:val="00AA12D6"/>
    <w:rsid w:val="00AA25B4"/>
    <w:rsid w:val="00AA6401"/>
    <w:rsid w:val="00AA6402"/>
    <w:rsid w:val="00AA6BE1"/>
    <w:rsid w:val="00AB0348"/>
    <w:rsid w:val="00AB0BA3"/>
    <w:rsid w:val="00AB0F6E"/>
    <w:rsid w:val="00AB249E"/>
    <w:rsid w:val="00AB2BEA"/>
    <w:rsid w:val="00AB37B3"/>
    <w:rsid w:val="00AB5835"/>
    <w:rsid w:val="00AB5BC1"/>
    <w:rsid w:val="00AB63FB"/>
    <w:rsid w:val="00AB68DE"/>
    <w:rsid w:val="00AB7CBA"/>
    <w:rsid w:val="00AC1EDA"/>
    <w:rsid w:val="00AC2789"/>
    <w:rsid w:val="00AC38FD"/>
    <w:rsid w:val="00AC526A"/>
    <w:rsid w:val="00AC653E"/>
    <w:rsid w:val="00AC79D6"/>
    <w:rsid w:val="00AD2B5A"/>
    <w:rsid w:val="00AD3B74"/>
    <w:rsid w:val="00AD3C16"/>
    <w:rsid w:val="00AD58FD"/>
    <w:rsid w:val="00AD603B"/>
    <w:rsid w:val="00AD68BC"/>
    <w:rsid w:val="00AE143E"/>
    <w:rsid w:val="00AE3223"/>
    <w:rsid w:val="00AE3E44"/>
    <w:rsid w:val="00AE3F2E"/>
    <w:rsid w:val="00AE5844"/>
    <w:rsid w:val="00AE6CB3"/>
    <w:rsid w:val="00AE6EFE"/>
    <w:rsid w:val="00AE6F46"/>
    <w:rsid w:val="00AE72FB"/>
    <w:rsid w:val="00AE76FC"/>
    <w:rsid w:val="00AE7B8A"/>
    <w:rsid w:val="00AF2AD4"/>
    <w:rsid w:val="00B0081E"/>
    <w:rsid w:val="00B00976"/>
    <w:rsid w:val="00B01DF7"/>
    <w:rsid w:val="00B03631"/>
    <w:rsid w:val="00B10032"/>
    <w:rsid w:val="00B10B94"/>
    <w:rsid w:val="00B11879"/>
    <w:rsid w:val="00B12126"/>
    <w:rsid w:val="00B12F7C"/>
    <w:rsid w:val="00B1301B"/>
    <w:rsid w:val="00B14DE2"/>
    <w:rsid w:val="00B14DE7"/>
    <w:rsid w:val="00B154D1"/>
    <w:rsid w:val="00B16BB8"/>
    <w:rsid w:val="00B17020"/>
    <w:rsid w:val="00B20408"/>
    <w:rsid w:val="00B21200"/>
    <w:rsid w:val="00B223BD"/>
    <w:rsid w:val="00B22C84"/>
    <w:rsid w:val="00B23FEC"/>
    <w:rsid w:val="00B25029"/>
    <w:rsid w:val="00B25795"/>
    <w:rsid w:val="00B26C05"/>
    <w:rsid w:val="00B30507"/>
    <w:rsid w:val="00B309CD"/>
    <w:rsid w:val="00B30DEF"/>
    <w:rsid w:val="00B32736"/>
    <w:rsid w:val="00B32C6D"/>
    <w:rsid w:val="00B34071"/>
    <w:rsid w:val="00B345A4"/>
    <w:rsid w:val="00B348D0"/>
    <w:rsid w:val="00B354C5"/>
    <w:rsid w:val="00B35754"/>
    <w:rsid w:val="00B37A68"/>
    <w:rsid w:val="00B40D68"/>
    <w:rsid w:val="00B47716"/>
    <w:rsid w:val="00B506C1"/>
    <w:rsid w:val="00B51F82"/>
    <w:rsid w:val="00B52487"/>
    <w:rsid w:val="00B555FB"/>
    <w:rsid w:val="00B55769"/>
    <w:rsid w:val="00B571F1"/>
    <w:rsid w:val="00B6073C"/>
    <w:rsid w:val="00B625E6"/>
    <w:rsid w:val="00B642CA"/>
    <w:rsid w:val="00B64BB3"/>
    <w:rsid w:val="00B64E00"/>
    <w:rsid w:val="00B66DA7"/>
    <w:rsid w:val="00B673E0"/>
    <w:rsid w:val="00B73760"/>
    <w:rsid w:val="00B75C2E"/>
    <w:rsid w:val="00B75E74"/>
    <w:rsid w:val="00B76D71"/>
    <w:rsid w:val="00B819DE"/>
    <w:rsid w:val="00B81F27"/>
    <w:rsid w:val="00B8294B"/>
    <w:rsid w:val="00B840F3"/>
    <w:rsid w:val="00B8648B"/>
    <w:rsid w:val="00B87CAC"/>
    <w:rsid w:val="00B91664"/>
    <w:rsid w:val="00B91AC3"/>
    <w:rsid w:val="00B91F9F"/>
    <w:rsid w:val="00B91FBF"/>
    <w:rsid w:val="00B92483"/>
    <w:rsid w:val="00B94380"/>
    <w:rsid w:val="00B94FF3"/>
    <w:rsid w:val="00B959C2"/>
    <w:rsid w:val="00B9793B"/>
    <w:rsid w:val="00B97A4C"/>
    <w:rsid w:val="00B97B5A"/>
    <w:rsid w:val="00BA0244"/>
    <w:rsid w:val="00BA21FF"/>
    <w:rsid w:val="00BA2349"/>
    <w:rsid w:val="00BA348F"/>
    <w:rsid w:val="00BA5590"/>
    <w:rsid w:val="00BA69DD"/>
    <w:rsid w:val="00BA6D5B"/>
    <w:rsid w:val="00BB0E51"/>
    <w:rsid w:val="00BB1AAF"/>
    <w:rsid w:val="00BB2BF4"/>
    <w:rsid w:val="00BB3409"/>
    <w:rsid w:val="00BB3966"/>
    <w:rsid w:val="00BB4487"/>
    <w:rsid w:val="00BB7D09"/>
    <w:rsid w:val="00BC0BC3"/>
    <w:rsid w:val="00BC1877"/>
    <w:rsid w:val="00BC2F5E"/>
    <w:rsid w:val="00BC3BD4"/>
    <w:rsid w:val="00BC48C7"/>
    <w:rsid w:val="00BD08B1"/>
    <w:rsid w:val="00BD11E6"/>
    <w:rsid w:val="00BD13F7"/>
    <w:rsid w:val="00BD1829"/>
    <w:rsid w:val="00BD2C6E"/>
    <w:rsid w:val="00BD3EA4"/>
    <w:rsid w:val="00BD43DA"/>
    <w:rsid w:val="00BD6242"/>
    <w:rsid w:val="00BD6BDD"/>
    <w:rsid w:val="00BE0277"/>
    <w:rsid w:val="00BE2BB8"/>
    <w:rsid w:val="00BE3B15"/>
    <w:rsid w:val="00BE3D44"/>
    <w:rsid w:val="00BE5959"/>
    <w:rsid w:val="00BF0BBF"/>
    <w:rsid w:val="00BF0EC5"/>
    <w:rsid w:val="00BF138A"/>
    <w:rsid w:val="00BF239F"/>
    <w:rsid w:val="00BF60C9"/>
    <w:rsid w:val="00C007D5"/>
    <w:rsid w:val="00C00E58"/>
    <w:rsid w:val="00C01EF1"/>
    <w:rsid w:val="00C0618C"/>
    <w:rsid w:val="00C07110"/>
    <w:rsid w:val="00C15C21"/>
    <w:rsid w:val="00C16840"/>
    <w:rsid w:val="00C16D8C"/>
    <w:rsid w:val="00C17050"/>
    <w:rsid w:val="00C176EE"/>
    <w:rsid w:val="00C21603"/>
    <w:rsid w:val="00C252C1"/>
    <w:rsid w:val="00C2535B"/>
    <w:rsid w:val="00C301EB"/>
    <w:rsid w:val="00C31A54"/>
    <w:rsid w:val="00C32F6E"/>
    <w:rsid w:val="00C332E8"/>
    <w:rsid w:val="00C36780"/>
    <w:rsid w:val="00C4067A"/>
    <w:rsid w:val="00C40B51"/>
    <w:rsid w:val="00C40E46"/>
    <w:rsid w:val="00C42388"/>
    <w:rsid w:val="00C42A0E"/>
    <w:rsid w:val="00C43FFA"/>
    <w:rsid w:val="00C45249"/>
    <w:rsid w:val="00C46A5C"/>
    <w:rsid w:val="00C46AB0"/>
    <w:rsid w:val="00C5082D"/>
    <w:rsid w:val="00C517DD"/>
    <w:rsid w:val="00C53D4B"/>
    <w:rsid w:val="00C54264"/>
    <w:rsid w:val="00C54721"/>
    <w:rsid w:val="00C54BBC"/>
    <w:rsid w:val="00C55163"/>
    <w:rsid w:val="00C55320"/>
    <w:rsid w:val="00C563F8"/>
    <w:rsid w:val="00C56D6A"/>
    <w:rsid w:val="00C56FF0"/>
    <w:rsid w:val="00C63EF4"/>
    <w:rsid w:val="00C64C86"/>
    <w:rsid w:val="00C67923"/>
    <w:rsid w:val="00C67F1E"/>
    <w:rsid w:val="00C7191F"/>
    <w:rsid w:val="00C71E8F"/>
    <w:rsid w:val="00C74F62"/>
    <w:rsid w:val="00C75413"/>
    <w:rsid w:val="00C7560B"/>
    <w:rsid w:val="00C77708"/>
    <w:rsid w:val="00C801DA"/>
    <w:rsid w:val="00C805D5"/>
    <w:rsid w:val="00C81D09"/>
    <w:rsid w:val="00C81D6A"/>
    <w:rsid w:val="00C8380C"/>
    <w:rsid w:val="00C83D09"/>
    <w:rsid w:val="00C848F0"/>
    <w:rsid w:val="00C85117"/>
    <w:rsid w:val="00C86C58"/>
    <w:rsid w:val="00C90C8F"/>
    <w:rsid w:val="00C92079"/>
    <w:rsid w:val="00C9247C"/>
    <w:rsid w:val="00C92904"/>
    <w:rsid w:val="00C93311"/>
    <w:rsid w:val="00C96A32"/>
    <w:rsid w:val="00C96C79"/>
    <w:rsid w:val="00C97BE6"/>
    <w:rsid w:val="00CA038A"/>
    <w:rsid w:val="00CA0A08"/>
    <w:rsid w:val="00CA2320"/>
    <w:rsid w:val="00CA5330"/>
    <w:rsid w:val="00CA73E8"/>
    <w:rsid w:val="00CB092C"/>
    <w:rsid w:val="00CB0EF9"/>
    <w:rsid w:val="00CB0F70"/>
    <w:rsid w:val="00CB1A45"/>
    <w:rsid w:val="00CB1BA5"/>
    <w:rsid w:val="00CB1DBF"/>
    <w:rsid w:val="00CB46C1"/>
    <w:rsid w:val="00CB49F9"/>
    <w:rsid w:val="00CB6CAC"/>
    <w:rsid w:val="00CB727B"/>
    <w:rsid w:val="00CB775E"/>
    <w:rsid w:val="00CB79A3"/>
    <w:rsid w:val="00CC0B25"/>
    <w:rsid w:val="00CC18C7"/>
    <w:rsid w:val="00CC3306"/>
    <w:rsid w:val="00CC35AC"/>
    <w:rsid w:val="00CC4731"/>
    <w:rsid w:val="00CC678F"/>
    <w:rsid w:val="00CC6BAB"/>
    <w:rsid w:val="00CD22C2"/>
    <w:rsid w:val="00CD463C"/>
    <w:rsid w:val="00CD4EBE"/>
    <w:rsid w:val="00CD54BF"/>
    <w:rsid w:val="00CD555A"/>
    <w:rsid w:val="00CD61F6"/>
    <w:rsid w:val="00CD62E7"/>
    <w:rsid w:val="00CD6946"/>
    <w:rsid w:val="00CD6E69"/>
    <w:rsid w:val="00CD71F8"/>
    <w:rsid w:val="00CE3B3E"/>
    <w:rsid w:val="00CE40EE"/>
    <w:rsid w:val="00CE7D02"/>
    <w:rsid w:val="00CF0457"/>
    <w:rsid w:val="00CF33D5"/>
    <w:rsid w:val="00D00178"/>
    <w:rsid w:val="00D00939"/>
    <w:rsid w:val="00D01F58"/>
    <w:rsid w:val="00D03721"/>
    <w:rsid w:val="00D041A0"/>
    <w:rsid w:val="00D04C51"/>
    <w:rsid w:val="00D05ACC"/>
    <w:rsid w:val="00D078EC"/>
    <w:rsid w:val="00D10D1B"/>
    <w:rsid w:val="00D11B05"/>
    <w:rsid w:val="00D13703"/>
    <w:rsid w:val="00D13E45"/>
    <w:rsid w:val="00D14685"/>
    <w:rsid w:val="00D206E9"/>
    <w:rsid w:val="00D22037"/>
    <w:rsid w:val="00D22FD2"/>
    <w:rsid w:val="00D23AE4"/>
    <w:rsid w:val="00D23F87"/>
    <w:rsid w:val="00D2430F"/>
    <w:rsid w:val="00D24CEA"/>
    <w:rsid w:val="00D31A38"/>
    <w:rsid w:val="00D31D0E"/>
    <w:rsid w:val="00D34563"/>
    <w:rsid w:val="00D3458D"/>
    <w:rsid w:val="00D35FA6"/>
    <w:rsid w:val="00D3710F"/>
    <w:rsid w:val="00D37876"/>
    <w:rsid w:val="00D40236"/>
    <w:rsid w:val="00D41535"/>
    <w:rsid w:val="00D41D86"/>
    <w:rsid w:val="00D430FB"/>
    <w:rsid w:val="00D43DAE"/>
    <w:rsid w:val="00D44506"/>
    <w:rsid w:val="00D44E36"/>
    <w:rsid w:val="00D45A8A"/>
    <w:rsid w:val="00D4641F"/>
    <w:rsid w:val="00D4663B"/>
    <w:rsid w:val="00D46947"/>
    <w:rsid w:val="00D51977"/>
    <w:rsid w:val="00D51EFF"/>
    <w:rsid w:val="00D53CB0"/>
    <w:rsid w:val="00D567A2"/>
    <w:rsid w:val="00D56FCE"/>
    <w:rsid w:val="00D61170"/>
    <w:rsid w:val="00D617DF"/>
    <w:rsid w:val="00D62B3F"/>
    <w:rsid w:val="00D63CB9"/>
    <w:rsid w:val="00D64C53"/>
    <w:rsid w:val="00D66106"/>
    <w:rsid w:val="00D672F8"/>
    <w:rsid w:val="00D67507"/>
    <w:rsid w:val="00D700CE"/>
    <w:rsid w:val="00D827C2"/>
    <w:rsid w:val="00D83058"/>
    <w:rsid w:val="00D83BA3"/>
    <w:rsid w:val="00D83CAB"/>
    <w:rsid w:val="00D848E7"/>
    <w:rsid w:val="00D85DA8"/>
    <w:rsid w:val="00D87743"/>
    <w:rsid w:val="00D87A5C"/>
    <w:rsid w:val="00D90B44"/>
    <w:rsid w:val="00D9166D"/>
    <w:rsid w:val="00D91F5F"/>
    <w:rsid w:val="00D936B9"/>
    <w:rsid w:val="00D94B1F"/>
    <w:rsid w:val="00D95477"/>
    <w:rsid w:val="00D95D3A"/>
    <w:rsid w:val="00D9719F"/>
    <w:rsid w:val="00DA28CE"/>
    <w:rsid w:val="00DA3158"/>
    <w:rsid w:val="00DA36FE"/>
    <w:rsid w:val="00DA555F"/>
    <w:rsid w:val="00DA6053"/>
    <w:rsid w:val="00DA6289"/>
    <w:rsid w:val="00DA78A2"/>
    <w:rsid w:val="00DB01B5"/>
    <w:rsid w:val="00DB0269"/>
    <w:rsid w:val="00DB119D"/>
    <w:rsid w:val="00DB285A"/>
    <w:rsid w:val="00DB45CA"/>
    <w:rsid w:val="00DB4D7C"/>
    <w:rsid w:val="00DB7D0F"/>
    <w:rsid w:val="00DC198B"/>
    <w:rsid w:val="00DC1B4F"/>
    <w:rsid w:val="00DC388A"/>
    <w:rsid w:val="00DC6439"/>
    <w:rsid w:val="00DC6EEE"/>
    <w:rsid w:val="00DC7F5B"/>
    <w:rsid w:val="00DD2778"/>
    <w:rsid w:val="00DD2A79"/>
    <w:rsid w:val="00DD4E43"/>
    <w:rsid w:val="00DE17EC"/>
    <w:rsid w:val="00DE184F"/>
    <w:rsid w:val="00DE2008"/>
    <w:rsid w:val="00DE432F"/>
    <w:rsid w:val="00DE611A"/>
    <w:rsid w:val="00DE79C6"/>
    <w:rsid w:val="00DF1324"/>
    <w:rsid w:val="00DF1E80"/>
    <w:rsid w:val="00DF201D"/>
    <w:rsid w:val="00DF2166"/>
    <w:rsid w:val="00DF2C57"/>
    <w:rsid w:val="00DF3D42"/>
    <w:rsid w:val="00DF503C"/>
    <w:rsid w:val="00DF5810"/>
    <w:rsid w:val="00DF7793"/>
    <w:rsid w:val="00E00759"/>
    <w:rsid w:val="00E00B2F"/>
    <w:rsid w:val="00E01324"/>
    <w:rsid w:val="00E01CCA"/>
    <w:rsid w:val="00E037D9"/>
    <w:rsid w:val="00E046A3"/>
    <w:rsid w:val="00E10E40"/>
    <w:rsid w:val="00E10EE4"/>
    <w:rsid w:val="00E11A05"/>
    <w:rsid w:val="00E127B8"/>
    <w:rsid w:val="00E136D6"/>
    <w:rsid w:val="00E13AAB"/>
    <w:rsid w:val="00E14640"/>
    <w:rsid w:val="00E14DE2"/>
    <w:rsid w:val="00E16C57"/>
    <w:rsid w:val="00E1744E"/>
    <w:rsid w:val="00E2103B"/>
    <w:rsid w:val="00E22D49"/>
    <w:rsid w:val="00E22ED4"/>
    <w:rsid w:val="00E23545"/>
    <w:rsid w:val="00E236CD"/>
    <w:rsid w:val="00E24F5B"/>
    <w:rsid w:val="00E272E7"/>
    <w:rsid w:val="00E27A62"/>
    <w:rsid w:val="00E30CC5"/>
    <w:rsid w:val="00E30F09"/>
    <w:rsid w:val="00E323BA"/>
    <w:rsid w:val="00E33E3C"/>
    <w:rsid w:val="00E3794A"/>
    <w:rsid w:val="00E40742"/>
    <w:rsid w:val="00E40F7C"/>
    <w:rsid w:val="00E413D4"/>
    <w:rsid w:val="00E435EB"/>
    <w:rsid w:val="00E4461A"/>
    <w:rsid w:val="00E46683"/>
    <w:rsid w:val="00E470FF"/>
    <w:rsid w:val="00E50A25"/>
    <w:rsid w:val="00E51075"/>
    <w:rsid w:val="00E51107"/>
    <w:rsid w:val="00E5118B"/>
    <w:rsid w:val="00E520DB"/>
    <w:rsid w:val="00E53C86"/>
    <w:rsid w:val="00E60E20"/>
    <w:rsid w:val="00E63747"/>
    <w:rsid w:val="00E639B4"/>
    <w:rsid w:val="00E64007"/>
    <w:rsid w:val="00E64A35"/>
    <w:rsid w:val="00E64F84"/>
    <w:rsid w:val="00E6516E"/>
    <w:rsid w:val="00E7237C"/>
    <w:rsid w:val="00E73540"/>
    <w:rsid w:val="00E73839"/>
    <w:rsid w:val="00E742C5"/>
    <w:rsid w:val="00E7455D"/>
    <w:rsid w:val="00E74662"/>
    <w:rsid w:val="00E75E3B"/>
    <w:rsid w:val="00E763C1"/>
    <w:rsid w:val="00E77936"/>
    <w:rsid w:val="00E80BB2"/>
    <w:rsid w:val="00E81F4B"/>
    <w:rsid w:val="00E83A12"/>
    <w:rsid w:val="00E878AD"/>
    <w:rsid w:val="00E9173C"/>
    <w:rsid w:val="00E9458A"/>
    <w:rsid w:val="00E948B2"/>
    <w:rsid w:val="00E96A3E"/>
    <w:rsid w:val="00E96FE2"/>
    <w:rsid w:val="00E97543"/>
    <w:rsid w:val="00E9793B"/>
    <w:rsid w:val="00EA1C1D"/>
    <w:rsid w:val="00EA2075"/>
    <w:rsid w:val="00EA714E"/>
    <w:rsid w:val="00EB1131"/>
    <w:rsid w:val="00EB24FA"/>
    <w:rsid w:val="00EB2780"/>
    <w:rsid w:val="00EB2AFB"/>
    <w:rsid w:val="00EB3993"/>
    <w:rsid w:val="00EB5A76"/>
    <w:rsid w:val="00EB6B79"/>
    <w:rsid w:val="00EC168B"/>
    <w:rsid w:val="00EC21E5"/>
    <w:rsid w:val="00EC3513"/>
    <w:rsid w:val="00EC433C"/>
    <w:rsid w:val="00ED1AF9"/>
    <w:rsid w:val="00ED26B4"/>
    <w:rsid w:val="00ED6347"/>
    <w:rsid w:val="00EE3F7C"/>
    <w:rsid w:val="00EE4B5C"/>
    <w:rsid w:val="00EE5146"/>
    <w:rsid w:val="00EE6121"/>
    <w:rsid w:val="00EE78BF"/>
    <w:rsid w:val="00EE7CAA"/>
    <w:rsid w:val="00EF0CBA"/>
    <w:rsid w:val="00EF24AB"/>
    <w:rsid w:val="00EF53F5"/>
    <w:rsid w:val="00EF5565"/>
    <w:rsid w:val="00EF6138"/>
    <w:rsid w:val="00EF6582"/>
    <w:rsid w:val="00EF7672"/>
    <w:rsid w:val="00EF7E13"/>
    <w:rsid w:val="00EF7EE0"/>
    <w:rsid w:val="00F02F68"/>
    <w:rsid w:val="00F02FE1"/>
    <w:rsid w:val="00F050BB"/>
    <w:rsid w:val="00F06C2F"/>
    <w:rsid w:val="00F06F64"/>
    <w:rsid w:val="00F07FF2"/>
    <w:rsid w:val="00F127C9"/>
    <w:rsid w:val="00F13E9B"/>
    <w:rsid w:val="00F15697"/>
    <w:rsid w:val="00F15EDB"/>
    <w:rsid w:val="00F16F45"/>
    <w:rsid w:val="00F20320"/>
    <w:rsid w:val="00F21C31"/>
    <w:rsid w:val="00F22513"/>
    <w:rsid w:val="00F22A95"/>
    <w:rsid w:val="00F23FAE"/>
    <w:rsid w:val="00F258C0"/>
    <w:rsid w:val="00F25AAA"/>
    <w:rsid w:val="00F26925"/>
    <w:rsid w:val="00F3148A"/>
    <w:rsid w:val="00F315E5"/>
    <w:rsid w:val="00F31B73"/>
    <w:rsid w:val="00F32BBF"/>
    <w:rsid w:val="00F333FA"/>
    <w:rsid w:val="00F341C1"/>
    <w:rsid w:val="00F34323"/>
    <w:rsid w:val="00F346EB"/>
    <w:rsid w:val="00F34AE7"/>
    <w:rsid w:val="00F3542A"/>
    <w:rsid w:val="00F35C28"/>
    <w:rsid w:val="00F36ABD"/>
    <w:rsid w:val="00F37249"/>
    <w:rsid w:val="00F372BD"/>
    <w:rsid w:val="00F40513"/>
    <w:rsid w:val="00F449FD"/>
    <w:rsid w:val="00F45FF8"/>
    <w:rsid w:val="00F520D8"/>
    <w:rsid w:val="00F52C56"/>
    <w:rsid w:val="00F53431"/>
    <w:rsid w:val="00F53E21"/>
    <w:rsid w:val="00F53FD5"/>
    <w:rsid w:val="00F54595"/>
    <w:rsid w:val="00F57C54"/>
    <w:rsid w:val="00F57D44"/>
    <w:rsid w:val="00F606DB"/>
    <w:rsid w:val="00F60F37"/>
    <w:rsid w:val="00F61E0E"/>
    <w:rsid w:val="00F645C8"/>
    <w:rsid w:val="00F65114"/>
    <w:rsid w:val="00F673AD"/>
    <w:rsid w:val="00F67810"/>
    <w:rsid w:val="00F67C0E"/>
    <w:rsid w:val="00F714EA"/>
    <w:rsid w:val="00F72DA6"/>
    <w:rsid w:val="00F77037"/>
    <w:rsid w:val="00F77AE3"/>
    <w:rsid w:val="00F77E45"/>
    <w:rsid w:val="00F81EAE"/>
    <w:rsid w:val="00F821A9"/>
    <w:rsid w:val="00F838C6"/>
    <w:rsid w:val="00F84C20"/>
    <w:rsid w:val="00F86218"/>
    <w:rsid w:val="00F86362"/>
    <w:rsid w:val="00F87488"/>
    <w:rsid w:val="00F9251F"/>
    <w:rsid w:val="00F94A47"/>
    <w:rsid w:val="00F959C1"/>
    <w:rsid w:val="00F97519"/>
    <w:rsid w:val="00F97ED3"/>
    <w:rsid w:val="00FA0949"/>
    <w:rsid w:val="00FA2089"/>
    <w:rsid w:val="00FA244F"/>
    <w:rsid w:val="00FA2DBF"/>
    <w:rsid w:val="00FA3D36"/>
    <w:rsid w:val="00FA3FE3"/>
    <w:rsid w:val="00FA47E4"/>
    <w:rsid w:val="00FA4A8E"/>
    <w:rsid w:val="00FA7BE8"/>
    <w:rsid w:val="00FB04AE"/>
    <w:rsid w:val="00FB2BDB"/>
    <w:rsid w:val="00FC094F"/>
    <w:rsid w:val="00FC135D"/>
    <w:rsid w:val="00FC254D"/>
    <w:rsid w:val="00FC2641"/>
    <w:rsid w:val="00FC2D47"/>
    <w:rsid w:val="00FC446D"/>
    <w:rsid w:val="00FC523C"/>
    <w:rsid w:val="00FC538A"/>
    <w:rsid w:val="00FC5682"/>
    <w:rsid w:val="00FC6CAB"/>
    <w:rsid w:val="00FD087C"/>
    <w:rsid w:val="00FD15A2"/>
    <w:rsid w:val="00FD17DE"/>
    <w:rsid w:val="00FD22F2"/>
    <w:rsid w:val="00FD3769"/>
    <w:rsid w:val="00FD38D1"/>
    <w:rsid w:val="00FD51FB"/>
    <w:rsid w:val="00FD7750"/>
    <w:rsid w:val="00FE0254"/>
    <w:rsid w:val="00FE1764"/>
    <w:rsid w:val="00FE1D8A"/>
    <w:rsid w:val="00FE25CC"/>
    <w:rsid w:val="00FE2F67"/>
    <w:rsid w:val="00FE377C"/>
    <w:rsid w:val="00FE537C"/>
    <w:rsid w:val="00FE7004"/>
    <w:rsid w:val="00FE78AB"/>
    <w:rsid w:val="00FF1CDB"/>
    <w:rsid w:val="00FF24BD"/>
    <w:rsid w:val="00FF4012"/>
    <w:rsid w:val="00FF4B18"/>
    <w:rsid w:val="00FF767F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8743A"/>
  <w15:docId w15:val="{7ADE87FA-F815-4C84-9721-FFDEC2FE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BF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810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A3988"/>
    <w:rPr>
      <w:sz w:val="24"/>
    </w:rPr>
  </w:style>
  <w:style w:type="character" w:styleId="a5">
    <w:name w:val="page number"/>
    <w:basedOn w:val="a0"/>
    <w:uiPriority w:val="99"/>
    <w:rsid w:val="00F67810"/>
    <w:rPr>
      <w:rFonts w:cs="Times New Roman"/>
    </w:rPr>
  </w:style>
  <w:style w:type="paragraph" w:styleId="3">
    <w:name w:val="List 3"/>
    <w:basedOn w:val="a"/>
    <w:uiPriority w:val="99"/>
    <w:rsid w:val="00794FE8"/>
    <w:pPr>
      <w:ind w:left="849" w:hanging="283"/>
    </w:pPr>
    <w:rPr>
      <w:sz w:val="26"/>
      <w:szCs w:val="20"/>
    </w:rPr>
  </w:style>
  <w:style w:type="table" w:styleId="a6">
    <w:name w:val="Table Grid"/>
    <w:basedOn w:val="a1"/>
    <w:uiPriority w:val="99"/>
    <w:rsid w:val="00FE1D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uiPriority w:val="99"/>
    <w:rsid w:val="00FE1D8A"/>
    <w:rPr>
      <w:sz w:val="24"/>
      <w:szCs w:val="24"/>
      <w:lang w:val="ru-RU" w:eastAsia="ru-RU"/>
    </w:rPr>
  </w:style>
  <w:style w:type="paragraph" w:customStyle="1" w:styleId="10">
    <w:name w:val="Абзац списка1"/>
    <w:basedOn w:val="a"/>
    <w:uiPriority w:val="99"/>
    <w:rsid w:val="001D47C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A934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934CB"/>
    <w:rPr>
      <w:sz w:val="24"/>
      <w:lang w:val="ru-RU" w:eastAsia="ru-RU"/>
    </w:rPr>
  </w:style>
  <w:style w:type="paragraph" w:styleId="a9">
    <w:name w:val="Balloon Text"/>
    <w:basedOn w:val="a"/>
    <w:link w:val="aa"/>
    <w:uiPriority w:val="99"/>
    <w:rsid w:val="003A3B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3A3BC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82F3A"/>
    <w:pPr>
      <w:ind w:left="720"/>
      <w:contextualSpacing/>
    </w:pPr>
  </w:style>
  <w:style w:type="paragraph" w:customStyle="1" w:styleId="Default">
    <w:name w:val="Default"/>
    <w:uiPriority w:val="99"/>
    <w:rsid w:val="002763F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6C1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ACDC-C8D1-48F1-BAB4-84D7D32B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ПОЯВНЮВАЛЬНА ЗАПИСКА</vt:lpstr>
    </vt:vector>
  </TitlesOfParts>
  <Company>Grizli777</Company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ПОЯВНЮВАЛЬНА ЗАПИСКА</dc:title>
  <dc:subject/>
  <dc:creator>name</dc:creator>
  <cp:keywords/>
  <dc:description/>
  <cp:lastModifiedBy>user</cp:lastModifiedBy>
  <cp:revision>65</cp:revision>
  <cp:lastPrinted>2018-02-23T10:58:00Z</cp:lastPrinted>
  <dcterms:created xsi:type="dcterms:W3CDTF">2018-02-20T06:41:00Z</dcterms:created>
  <dcterms:modified xsi:type="dcterms:W3CDTF">2018-02-23T11:19:00Z</dcterms:modified>
</cp:coreProperties>
</file>