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0EE74" w14:textId="77777777" w:rsidR="009371E5" w:rsidRPr="005B25D8" w:rsidRDefault="005D2A25" w:rsidP="000E5A83">
      <w:pPr>
        <w:pStyle w:val="1"/>
        <w:shd w:val="clear" w:color="auto" w:fill="FFFFFF"/>
        <w:spacing w:before="0"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kix.v97kglvec580" w:colFirst="0" w:colLast="0"/>
      <w:bookmarkStart w:id="1" w:name="_1haxwyn4lp71" w:colFirst="0" w:colLast="0"/>
      <w:bookmarkStart w:id="2" w:name="_GoBack"/>
      <w:bookmarkEnd w:id="0"/>
      <w:bookmarkEnd w:id="1"/>
      <w:bookmarkEnd w:id="2"/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Додаток 1 </w:t>
      </w:r>
    </w:p>
    <w:p w14:paraId="2A75725D" w14:textId="07A0E04B" w:rsidR="009371E5" w:rsidRPr="005B25D8" w:rsidRDefault="005D2A25" w:rsidP="000E5A83">
      <w:pPr>
        <w:shd w:val="clear" w:color="auto" w:fill="FFFFFF"/>
        <w:spacing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до Примірного Положення про систему енергетичного менеджменту в органі місцевого самоврядування </w:t>
      </w:r>
    </w:p>
    <w:p w14:paraId="76B115BA" w14:textId="77777777" w:rsidR="009371E5" w:rsidRPr="005B25D8" w:rsidRDefault="009371E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029B6667" w14:textId="77777777" w:rsidR="009371E5" w:rsidRPr="005B25D8" w:rsidRDefault="009371E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1EB42B34" w14:textId="77777777" w:rsidR="009371E5" w:rsidRPr="005B25D8" w:rsidRDefault="005D2A2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0EA1CB3" w14:textId="77777777" w:rsidR="009371E5" w:rsidRPr="005B25D8" w:rsidRDefault="005D2A2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</w:p>
    <w:p w14:paraId="305BA8FD" w14:textId="77777777" w:rsidR="009371E5" w:rsidRPr="005B25D8" w:rsidRDefault="005D2A2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сільського/селищного/міського голови</w:t>
      </w:r>
    </w:p>
    <w:p w14:paraId="476EC0F6" w14:textId="77777777" w:rsidR="009371E5" w:rsidRPr="005B25D8" w:rsidRDefault="005D2A2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від __ ______ ____</w:t>
      </w:r>
    </w:p>
    <w:p w14:paraId="7EED748B" w14:textId="77777777" w:rsidR="009371E5" w:rsidRPr="005B25D8" w:rsidRDefault="005D2A25" w:rsidP="007A7057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14:paraId="769CF27A" w14:textId="77777777" w:rsidR="009371E5" w:rsidRPr="005B25D8" w:rsidRDefault="005D2A25" w:rsidP="00CA50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0F276E" w14:textId="77777777" w:rsidR="009371E5" w:rsidRPr="005B25D8" w:rsidRDefault="005D2A25" w:rsidP="00CA509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ПОЛОЖЕННЯ</w:t>
      </w:r>
    </w:p>
    <w:p w14:paraId="2668A392" w14:textId="7E3F907E" w:rsidR="009371E5" w:rsidRPr="005B25D8" w:rsidRDefault="005D2A25" w:rsidP="00CA509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про структурний підрозділ енерг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</w:p>
    <w:p w14:paraId="1757CE37" w14:textId="77777777" w:rsidR="009371E5" w:rsidRPr="005B25D8" w:rsidRDefault="005D2A25" w:rsidP="00CA509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_______________ ради</w:t>
      </w:r>
    </w:p>
    <w:p w14:paraId="1E8ED3F9" w14:textId="77777777" w:rsidR="009371E5" w:rsidRPr="005B25D8" w:rsidRDefault="009371E5" w:rsidP="00CA50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6AF94" w14:textId="77777777" w:rsidR="009371E5" w:rsidRPr="005B25D8" w:rsidRDefault="005D2A25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Загальні Положення</w:t>
      </w:r>
    </w:p>
    <w:p w14:paraId="55CFD78E" w14:textId="7903E55F" w:rsidR="00CA5094" w:rsidRPr="005B25D8" w:rsidRDefault="00253BB6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  <w:lang w:val="ru-RU"/>
        </w:rPr>
        <w:t>Це</w:t>
      </w:r>
      <w:r w:rsidRPr="005B25D8">
        <w:rPr>
          <w:rFonts w:ascii="Times New Roman" w:hAnsi="Times New Roman" w:cs="Times New Roman"/>
          <w:sz w:val="28"/>
          <w:szCs w:val="28"/>
        </w:rPr>
        <w:t xml:space="preserve"> Положення визначає повноваження, організацію та порядок діяльності структурного підрозділу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</w:rPr>
        <w:t>енерг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5B25D8">
        <w:rPr>
          <w:rFonts w:ascii="Times New Roman" w:hAnsi="Times New Roman" w:cs="Times New Roman"/>
          <w:sz w:val="28"/>
          <w:szCs w:val="28"/>
        </w:rPr>
        <w:t>менеджменту (далі – структурний підрозділ).</w:t>
      </w:r>
    </w:p>
    <w:p w14:paraId="089C7D5B" w14:textId="77777777" w:rsidR="00CA5094" w:rsidRPr="005B25D8" w:rsidRDefault="005D2A25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 xml:space="preserve">Структурний підрозділ у своїй роботі підконтрольний та підзвітний </w:t>
      </w:r>
      <w:r w:rsidRPr="005B25D8">
        <w:rPr>
          <w:rFonts w:ascii="Times New Roman" w:hAnsi="Times New Roman" w:cs="Times New Roman"/>
          <w:sz w:val="28"/>
          <w:szCs w:val="28"/>
        </w:rPr>
        <w:t>безпосередньо сільському/селищному/міському голові, першому заступнику сільського/селищного/міського голови.</w:t>
      </w:r>
    </w:p>
    <w:p w14:paraId="7931B6D6" w14:textId="3525DD03" w:rsidR="009371E5" w:rsidRPr="005B25D8" w:rsidRDefault="005D2A25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>Структурний підрозділ у своїй діяльності керується Конституцією та Законами України «Про місцеве самоврядування в Україні», «Про службу в органах м</w:t>
      </w:r>
      <w:r w:rsidRPr="005B25D8">
        <w:rPr>
          <w:rFonts w:ascii="Times New Roman" w:hAnsi="Times New Roman" w:cs="Times New Roman"/>
          <w:sz w:val="28"/>
          <w:szCs w:val="28"/>
        </w:rPr>
        <w:t xml:space="preserve">ісцевого самоврядування», «Про запобігання корупції», «Про інвестиційну діяльність», «Про звернення громадян», «Про доступ до публічної інформації», «Про інформацію», «Про енергетичну ефективність», «Про енергетичну ефективність будівель», іншими Законами </w:t>
      </w:r>
      <w:r w:rsidRPr="005B25D8">
        <w:rPr>
          <w:rFonts w:ascii="Times New Roman" w:hAnsi="Times New Roman" w:cs="Times New Roman"/>
          <w:sz w:val="28"/>
          <w:szCs w:val="28"/>
        </w:rPr>
        <w:t>України, актами Президента України та постановами Верховної Ради України, актами Кабінету Міністрів України, іншими актами законодавства України, розпорядженнями голови _______________ обласної державної адміністрації, рішеннями _______________ обласної ра</w:t>
      </w:r>
      <w:r w:rsidRPr="005B25D8">
        <w:rPr>
          <w:rFonts w:ascii="Times New Roman" w:hAnsi="Times New Roman" w:cs="Times New Roman"/>
          <w:sz w:val="28"/>
          <w:szCs w:val="28"/>
        </w:rPr>
        <w:t>ди, рішеннями _______________ сільської/селищної/міської ради та її виконавчого комітету, розпорядженнями сільського/селищного/міського голови та цим Положенням.</w:t>
      </w:r>
    </w:p>
    <w:p w14:paraId="03402DB4" w14:textId="77777777" w:rsidR="009371E5" w:rsidRPr="005B25D8" w:rsidRDefault="005D2A25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>Структурний підрозділ утримується за рахунок коштів бюджету _______________ територіальної гро</w:t>
      </w:r>
      <w:r w:rsidRPr="005B25D8">
        <w:rPr>
          <w:rFonts w:ascii="Times New Roman" w:hAnsi="Times New Roman" w:cs="Times New Roman"/>
          <w:sz w:val="28"/>
          <w:szCs w:val="28"/>
        </w:rPr>
        <w:t>мади (далі – громади).</w:t>
      </w:r>
    </w:p>
    <w:p w14:paraId="50260378" w14:textId="77777777" w:rsidR="009371E5" w:rsidRPr="005B25D8" w:rsidRDefault="005D2A25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>Штатний розпис структурного підрозділу затверджується сільським/селищним/міським головою.</w:t>
      </w:r>
    </w:p>
    <w:p w14:paraId="5D5FEB76" w14:textId="5B9FB77F" w:rsidR="009371E5" w:rsidRPr="005B25D8" w:rsidRDefault="005D2A25">
      <w:pPr>
        <w:pStyle w:val="af1"/>
        <w:numPr>
          <w:ilvl w:val="1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 xml:space="preserve">Структурний підрозділ створюється з метою реалізації повноважень сільської/селищної/міської ради в сфері </w:t>
      </w:r>
      <w:r w:rsidR="00B260BB" w:rsidRPr="005B25D8">
        <w:rPr>
          <w:rFonts w:ascii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hAnsi="Times New Roman" w:cs="Times New Roman"/>
          <w:sz w:val="28"/>
          <w:szCs w:val="28"/>
        </w:rPr>
        <w:t xml:space="preserve">, створення умов для надання якісних послуг з постачання енергії </w:t>
      </w:r>
      <w:r w:rsidR="00B260BB" w:rsidRPr="005B25D8">
        <w:rPr>
          <w:rFonts w:ascii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5B25D8">
        <w:rPr>
          <w:rFonts w:ascii="Times New Roman" w:hAnsi="Times New Roman" w:cs="Times New Roman"/>
          <w:sz w:val="28"/>
          <w:szCs w:val="28"/>
        </w:rPr>
        <w:t>об’єктам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інфраструктури громади.</w:t>
      </w:r>
    </w:p>
    <w:p w14:paraId="43D8E8AE" w14:textId="77777777" w:rsidR="009371E5" w:rsidRPr="005B25D8" w:rsidRDefault="005D2A25" w:rsidP="00CA50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633ABE" w14:textId="77777777" w:rsidR="009371E5" w:rsidRPr="005B25D8" w:rsidRDefault="005D2A25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Структура та організація структурного підрозділу</w:t>
      </w:r>
    </w:p>
    <w:p w14:paraId="40D17B91" w14:textId="57C6809F" w:rsidR="009371E5" w:rsidRPr="005B25D8" w:rsidRDefault="005D2A25">
      <w:pPr>
        <w:pStyle w:val="af1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lastRenderedPageBreak/>
        <w:t>Структурний підрозділ очолює начальник, який призначається на посаду т</w:t>
      </w:r>
      <w:r w:rsidRPr="005B25D8">
        <w:rPr>
          <w:rFonts w:ascii="Times New Roman" w:hAnsi="Times New Roman" w:cs="Times New Roman"/>
          <w:sz w:val="28"/>
          <w:szCs w:val="28"/>
        </w:rPr>
        <w:t>а звільняється з посади сільським/селищним/міським головою у порядку, визначеному законодавством. Начальник структурного підрозділу безпосередньо підпорядкований сільському/селищному/міському голові, першому заступнику сільського/селищного/міського голови.</w:t>
      </w:r>
    </w:p>
    <w:p w14:paraId="3F7E3CEC" w14:textId="3139E1F9" w:rsidR="009371E5" w:rsidRPr="005B25D8" w:rsidRDefault="005D2A25">
      <w:pPr>
        <w:pStyle w:val="af1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 xml:space="preserve">Начальник є посадовою </w:t>
      </w:r>
      <w:r w:rsidR="005F2599" w:rsidRPr="005B25D8">
        <w:rPr>
          <w:rFonts w:ascii="Times New Roman" w:hAnsi="Times New Roman" w:cs="Times New Roman"/>
          <w:sz w:val="28"/>
          <w:szCs w:val="28"/>
          <w:lang w:val="uk-UA"/>
        </w:rPr>
        <w:t xml:space="preserve">(службовою) </w:t>
      </w:r>
      <w:r w:rsidRPr="005B25D8">
        <w:rPr>
          <w:rFonts w:ascii="Times New Roman" w:hAnsi="Times New Roman" w:cs="Times New Roman"/>
          <w:sz w:val="28"/>
          <w:szCs w:val="28"/>
        </w:rPr>
        <w:t>особою, яка під керівництвом сільського/селищного/міського голови, першого заступника сільського/селищного/міського голови</w:t>
      </w:r>
      <w:r w:rsidR="005C3722" w:rsidRPr="005B25D8">
        <w:rPr>
          <w:rFonts w:ascii="Times New Roman" w:hAnsi="Times New Roman" w:cs="Times New Roman"/>
          <w:sz w:val="28"/>
          <w:szCs w:val="28"/>
        </w:rPr>
        <w:t xml:space="preserve"> </w:t>
      </w:r>
      <w:r w:rsidRPr="005B25D8">
        <w:rPr>
          <w:rFonts w:ascii="Times New Roman" w:hAnsi="Times New Roman" w:cs="Times New Roman"/>
          <w:sz w:val="28"/>
          <w:szCs w:val="28"/>
        </w:rPr>
        <w:t>здійснює координацію та методичне керівництво роботи структурного підрозділу.</w:t>
      </w:r>
    </w:p>
    <w:p w14:paraId="68F3FC01" w14:textId="77777777" w:rsidR="009371E5" w:rsidRPr="005B25D8" w:rsidRDefault="005D2A25">
      <w:pPr>
        <w:pStyle w:val="af1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>Працівники структурн</w:t>
      </w:r>
      <w:r w:rsidRPr="005B25D8">
        <w:rPr>
          <w:rFonts w:ascii="Times New Roman" w:hAnsi="Times New Roman" w:cs="Times New Roman"/>
          <w:sz w:val="28"/>
          <w:szCs w:val="28"/>
        </w:rPr>
        <w:t>ого підрозділу призначаються на посади на конкурсних засадах та звільняються з посади сільським/селищним/міським головою відповідно до порядку, визначеного законодавством.</w:t>
      </w:r>
    </w:p>
    <w:p w14:paraId="73179D22" w14:textId="77777777" w:rsidR="009371E5" w:rsidRPr="005B25D8" w:rsidRDefault="005D2A25">
      <w:pPr>
        <w:pStyle w:val="af1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 xml:space="preserve">Обов’язки та вимоги до професійної кваліфікації працівників структурного підрозділу </w:t>
      </w:r>
      <w:r w:rsidRPr="005B25D8">
        <w:rPr>
          <w:rFonts w:ascii="Times New Roman" w:hAnsi="Times New Roman" w:cs="Times New Roman"/>
          <w:sz w:val="28"/>
          <w:szCs w:val="28"/>
        </w:rPr>
        <w:t>визначаються відповідними посадовими інструкціями, що затверджуються сільським/селищним/міським головою.</w:t>
      </w:r>
    </w:p>
    <w:p w14:paraId="6BF41B55" w14:textId="77777777" w:rsidR="009371E5" w:rsidRPr="005B25D8" w:rsidRDefault="005D2A25">
      <w:pPr>
        <w:pStyle w:val="af1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D8">
        <w:rPr>
          <w:rFonts w:ascii="Times New Roman" w:hAnsi="Times New Roman" w:cs="Times New Roman"/>
          <w:sz w:val="28"/>
          <w:szCs w:val="28"/>
        </w:rPr>
        <w:t>Начальник структурного підрозділу:</w:t>
      </w:r>
    </w:p>
    <w:p w14:paraId="0EC980FF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здійснює керівництво діяльністю структурного підрозділу і несе персональну відповідальність за своєчасне і якісне ви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конання поставлених перед структурним підрозділом завдань, здійснення ним своїх функцій;</w:t>
      </w:r>
    </w:p>
    <w:p w14:paraId="6A77B26A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організовує і контролює роботу структурного підрозділу;</w:t>
      </w:r>
    </w:p>
    <w:p w14:paraId="0D046BE5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розподіляє обов’язки між працівниками структурного підрозділу, визначає ступінь їх відповідальності, контролює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їх роботу;</w:t>
      </w:r>
    </w:p>
    <w:p w14:paraId="7DABEC6E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сприяє створенню належних умов праці у структурному підрозділі, забезпечує виконання функціональних обов’язків та дотримання правил трудового розпорядку працівниками структурного підрозділу;</w:t>
      </w:r>
    </w:p>
    <w:p w14:paraId="479A39A9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готує подання щодо представлення працівників структурн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ого підрозділу до заохочення та нагородження, а також про притягнення до дисциплінарної відповідальності;</w:t>
      </w:r>
    </w:p>
    <w:p w14:paraId="02A2F26C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вживає заходів для удосконалення організації та підвищення ефективності роботи структурного підрозділу.</w:t>
      </w:r>
    </w:p>
    <w:p w14:paraId="403ACD89" w14:textId="77777777" w:rsidR="009371E5" w:rsidRPr="005B25D8" w:rsidRDefault="005D2A25" w:rsidP="00CA50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EBD25F" w14:textId="77777777" w:rsidR="009371E5" w:rsidRPr="005B25D8" w:rsidRDefault="005D2A25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Компетенція структурного підрозділу</w:t>
      </w:r>
    </w:p>
    <w:p w14:paraId="1656E4C9" w14:textId="0E8C9661" w:rsidR="00CA5094" w:rsidRPr="005B25D8" w:rsidRDefault="005D2A25">
      <w:pPr>
        <w:pStyle w:val="af0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ний підрозділ взаємодіє з </w:t>
      </w:r>
      <w:r w:rsidR="009D1FDD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виконавчим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D1FDD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, іншими структурними підрозділами, депутатами, постійними комісіями, тимчасовими контрольними комісіями та іншими органами, утвореними сільською/селищною/міською радою, підприємствами, установами,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організаціями незалежно від їх форми власності, об’єднаннями громадян.</w:t>
      </w:r>
    </w:p>
    <w:p w14:paraId="70FD55AE" w14:textId="01438521" w:rsidR="009371E5" w:rsidRPr="005B25D8" w:rsidRDefault="005D2A25">
      <w:pPr>
        <w:pStyle w:val="af0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До компетенції структурного підрозділу відносяться такі повноваження:</w:t>
      </w:r>
    </w:p>
    <w:p w14:paraId="41CCE6C7" w14:textId="526E1DAF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адміністрування (запровадження, координація, удосконалення) системи енерг</w:t>
      </w:r>
      <w:r w:rsidR="00CF5F0E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менеджменту громади;</w:t>
      </w:r>
    </w:p>
    <w:p w14:paraId="6CBE2FCA" w14:textId="1A0DA958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підготовка н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ормативно-правових актів</w:t>
      </w:r>
      <w:r w:rsidR="005C3722"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сільської/селищної/міської ради, які стосуються повноважень структурного підрозділу;</w:t>
      </w:r>
    </w:p>
    <w:p w14:paraId="573C4DDF" w14:textId="32A1A5C0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в межах повноважень здійснення контролю за дотриманням органами виконавчої влади, підприємствами, організаціями, установами, що перебувають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lastRenderedPageBreak/>
        <w:t>у кому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нальній власності територіальної громади</w:t>
      </w:r>
      <w:r w:rsidR="00AC3C3F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Законів України та інших розпорядчих документів органів державної влади </w:t>
      </w:r>
      <w:r w:rsidR="00AC3C3F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сфері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F8436A8" w14:textId="4D324071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участь у формуванні професійних управлінських механізмів у частині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сталого енергетичного розвитку територіальної громади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31B248" w14:textId="39A49786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збору інформації для підготовки проєктів та розробка передпроєктних пропозицій щодо проєктів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сталого енергетичного розвитку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на території _______________ територіальної громади;</w:t>
      </w:r>
    </w:p>
    <w:p w14:paraId="63915988" w14:textId="2B3D2860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розрахунок економії споживання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</w:rPr>
        <w:t>енергії (енергоносіїв) та комунальних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послуг від запроваджених проєктів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24AD64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проведення аналізу енергетичних балансів з оцінкою викидів СО</w:t>
      </w:r>
      <w:r w:rsidRPr="005B25D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окремими об’єктами та в цілому по громаді;</w:t>
      </w:r>
    </w:p>
    <w:p w14:paraId="4C1CC040" w14:textId="73B08D2F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розробка та подання пропозицій щодо залучення інвестицій для реалізації програм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838CF" w14:textId="02A79AA3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ведення каталогу проєктів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, що реалізуються на території громади;</w:t>
      </w:r>
    </w:p>
    <w:p w14:paraId="047823B6" w14:textId="6E790CF9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контроль ефективності реалізації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проєктів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7C31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із застосуванням енергосервісних договорів (ЕСКО);</w:t>
      </w:r>
    </w:p>
    <w:p w14:paraId="0FFEADAD" w14:textId="4A8DFEED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розробка плану діяльності системи енерг</w:t>
      </w:r>
      <w:r w:rsidR="00CF5F0E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менеджменту, Декларації енергетичної політики, місцевого енергетичного плану громади;</w:t>
      </w:r>
    </w:p>
    <w:p w14:paraId="38596DEF" w14:textId="6493D2CA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розробка програм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для виконавчих органів, підприємств, організацій, установ, населення та житлового фонду громади, відповідних розділів програми соціально-економічного розвитку громади;</w:t>
      </w:r>
    </w:p>
    <w:p w14:paraId="59DB4A7B" w14:textId="45E1812F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координація виконання заходів, передбаче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них планом діяльності системи енерг</w:t>
      </w:r>
      <w:r w:rsidR="00CF5F0E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менеджменту, місцевим енергетичним планом, програмами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виконавчих органів, установ, підприємств, організацій, що перебувають у комунальній власності, відповідними роз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ділами програми соціально-економічного розвитку громади, моніторинг та оцінка їх ефективності;</w:t>
      </w:r>
    </w:p>
    <w:p w14:paraId="4CC536A9" w14:textId="643F379F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підготовка звітів про запровадження заходів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_______________ територіальної громади;</w:t>
      </w:r>
    </w:p>
    <w:p w14:paraId="44CED367" w14:textId="672D4CD1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підготовка рекоме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ндацій </w:t>
      </w:r>
      <w:r w:rsidR="001B1366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проєктів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D90E05F" w14:textId="2BFCB1BA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розроблення пропозицій та залучення додаткового фінансування проєктів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, в тому числі грантових та кредитних програм міжнародних організацій та фондів, інших не заборонених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законодавством форм фінансування;</w:t>
      </w:r>
    </w:p>
    <w:p w14:paraId="49FC8111" w14:textId="5B500A54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організація та участь у всеукраїнських, національних, обласних, міських та інших заходах серед зацікавлених сторін (</w:t>
      </w:r>
      <w:r w:rsidR="002079C8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79C8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 співвласників багатоквартирних будинків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lk137823896"/>
      <w:r w:rsidR="00351557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="00351557" w:rsidRPr="005B25D8">
        <w:rPr>
          <w:rFonts w:ascii="Times New Roman" w:eastAsia="Times New Roman" w:hAnsi="Times New Roman" w:cs="Times New Roman"/>
          <w:sz w:val="28"/>
          <w:szCs w:val="28"/>
        </w:rPr>
        <w:t>итлово-будівельн</w:t>
      </w:r>
      <w:r w:rsidR="00351557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51557" w:rsidRPr="005B25D8">
        <w:rPr>
          <w:rFonts w:ascii="Times New Roman" w:eastAsia="Times New Roman" w:hAnsi="Times New Roman" w:cs="Times New Roman"/>
          <w:sz w:val="28"/>
          <w:szCs w:val="28"/>
        </w:rPr>
        <w:t xml:space="preserve"> кооператив</w:t>
      </w:r>
      <w:r w:rsidR="00351557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и, </w:t>
      </w:r>
      <w:bookmarkEnd w:id="3"/>
      <w:r w:rsidRPr="005B25D8">
        <w:rPr>
          <w:rFonts w:ascii="Times New Roman" w:eastAsia="Times New Roman" w:hAnsi="Times New Roman" w:cs="Times New Roman"/>
          <w:sz w:val="28"/>
          <w:szCs w:val="28"/>
        </w:rPr>
        <w:t>бюджетний се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ктор, підприємства, установи, організації комунальної </w:t>
      </w:r>
      <w:r w:rsidR="00F42B5C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форми власності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) з питань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F039DF" w14:textId="6BBBFC11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розрахунок та подання на затвердження показників матеріального стимулювання осіб, що задіяні в системі енерг</w:t>
      </w:r>
      <w:r w:rsidR="00CF5F0E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менеджменту відповідно до</w:t>
      </w:r>
      <w:r w:rsidR="005C3722"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становленого порядку;</w:t>
      </w:r>
    </w:p>
    <w:p w14:paraId="78E911E6" w14:textId="00FB2E85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підготовка </w:t>
      </w:r>
      <w:r w:rsidR="00CA2060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пропозицій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r w:rsidR="00CA2060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притягнення</w:t>
      </w:r>
      <w:r w:rsidR="00B06271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дисциплінарн</w:t>
      </w:r>
      <w:r w:rsidR="00B06271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ої відповідальності</w:t>
      </w:r>
      <w:r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відповідальних осіб структурних підрозділів сільської/селищної/міської ради, керівників установ,</w:t>
      </w:r>
      <w:r w:rsidR="005C3722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та організацій, які систематично порушують вимоги актів у сфері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60A85B" w14:textId="0F4DB5A4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координація</w:t>
      </w:r>
      <w:r w:rsidR="005C3722"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роботи тепло-, електро-, газо-, водопостачальних підприємств територіальної громади щодо питань технічного переоснащення галузі в напрямку запровад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ження енергоефективних технологій і обладнання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, відновлюваних джерел енергії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277204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розгляд та подання висновків щодо інвестиційних програм підприємств, установ та організацій, що перебувають у комунальній власності;</w:t>
      </w:r>
    </w:p>
    <w:p w14:paraId="7F4DDDD0" w14:textId="796255A2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підготовка висновків та виконання експертизи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проєктів щодо запровадження інноваційних енергозберігаючих технологій та </w:t>
      </w:r>
      <w:r w:rsidR="00B260BB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відновлюваних джерел енергії,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дотримання ДСТУ в галузі енергоефективності при капітальних ремонтах, реконструкціях та новому будівництві об’єктів бюджетної та житлової сфери на терито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рії громади.</w:t>
      </w:r>
    </w:p>
    <w:p w14:paraId="69437703" w14:textId="77777777" w:rsidR="009371E5" w:rsidRPr="005B25D8" w:rsidRDefault="009371E5" w:rsidP="00CA50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99112" w14:textId="77777777" w:rsidR="009371E5" w:rsidRPr="005B25D8" w:rsidRDefault="005D2A25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Права структурного підрозділу</w:t>
      </w:r>
    </w:p>
    <w:p w14:paraId="277F375B" w14:textId="77777777" w:rsidR="009371E5" w:rsidRPr="005B25D8" w:rsidRDefault="005D2A25">
      <w:pPr>
        <w:pStyle w:val="af0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Структурний підрозділ має право:</w:t>
      </w:r>
    </w:p>
    <w:p w14:paraId="567B7367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одержувати від виконавчих органів _______________ ради, підприємств, установ, організацій незалежно від їх форми власності документи, довідки, аналітичні записки, інші матеріали,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необхідні для виконання покладених на структурний підрозділ завдань;</w:t>
      </w:r>
    </w:p>
    <w:p w14:paraId="59070BFC" w14:textId="764DD286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інформувати сільського/селищного/міського голову, першого заступника сільського/селищного/міського голови та виконавчий комітет сільської/селищної/міської ради щодо ненадання </w:t>
      </w:r>
      <w:r w:rsidR="00841CE6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несвоєчасного надання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відповідними виконавчими органами сільської/селищної/міської ради, посадовими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(службовими)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особами, комунальними підприємствами, установами, організаціями документів, інших матеріалів, необхідних для вирішення покладених на структурний підрозділ завдань з метою вжиття відповідних заходів реагування;</w:t>
      </w:r>
    </w:p>
    <w:p w14:paraId="7E63AD04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залучати спеціалістів інших органів місцевого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самоврядування, підприємств, установ та організацій (за погодженням з їх керівниками) для розгляду питань, що належать до його компетенції;</w:t>
      </w:r>
    </w:p>
    <w:p w14:paraId="50F176ED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брати участь у засіданнях постійних комісій сільської/селищної/міської ради та виконавчого комітету, нарадах, коміс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іях, робочих групах, утворених сільською/селищною/міською радою, її виконавчими органами та сільським/селищним/міським головою;</w:t>
      </w:r>
    </w:p>
    <w:p w14:paraId="5A6C4155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скликати наради з питань, що належать до компетенції структурного підрозділу;</w:t>
      </w:r>
    </w:p>
    <w:p w14:paraId="06132E8D" w14:textId="1D7BBC6F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в межах компетенції </w:t>
      </w:r>
      <w:r w:rsidR="00724766" w:rsidRPr="005B25D8">
        <w:rPr>
          <w:rFonts w:ascii="Times New Roman" w:eastAsia="Times New Roman" w:hAnsi="Times New Roman" w:cs="Times New Roman"/>
          <w:sz w:val="28"/>
          <w:szCs w:val="28"/>
        </w:rPr>
        <w:t>проводити перевірки</w:t>
      </w:r>
      <w:r w:rsidR="00724766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, моніторинг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з питань, що належать до його компетенції;</w:t>
      </w:r>
    </w:p>
    <w:p w14:paraId="28ED9471" w14:textId="3C81FEBA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 межах компетенції здійснювати контроль за виконанням договірних зобов'язань підприємств, установ і організацій усіх форм власності, суб'єктами господарської діяльності, що уклали договори на виконання робіт, н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адання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послуг, пов’язаних </w:t>
      </w:r>
      <w:r w:rsidR="00476B24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із забезпечення сталого енергетичного розвитку</w:t>
      </w:r>
      <w:r w:rsidR="00476B24" w:rsidRPr="005B2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B24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громади;</w:t>
      </w:r>
    </w:p>
    <w:p w14:paraId="3D6475E3" w14:textId="1CCC7B60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вносити пропозиції сільському/селищному/міському голові, сільській/селищній/міській раді та її виконавчому комітету щодо визначення пріоритетних напрямів та ці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лей економічного та соціального розвитку громади в розрізі питань </w:t>
      </w:r>
      <w:r w:rsidR="00476B24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B6034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вносити пропозиції до проєктів рішень сільської/селищної/міської ради, її виконавчого комітету, розпоряджень сільського/селищного/міського голови та інших нор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мативно-методичних документів, що розробляються іншими виконавчими органами сільської/селищної/міської ради з питань, що належать до компетенції структурного підрозділу.</w:t>
      </w:r>
    </w:p>
    <w:p w14:paraId="19768375" w14:textId="77777777" w:rsidR="009371E5" w:rsidRPr="005B25D8" w:rsidRDefault="005D2A2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вносити пропозиції щодо змін та доповнень до Положення про структурний підрозділ у виз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наченому порядку.</w:t>
      </w:r>
    </w:p>
    <w:p w14:paraId="729DEDCD" w14:textId="77777777" w:rsidR="009371E5" w:rsidRPr="005B25D8" w:rsidRDefault="009371E5" w:rsidP="00CA509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B8CA8F" w14:textId="4A34EDE5" w:rsidR="009371E5" w:rsidRPr="005B25D8" w:rsidRDefault="005D2A25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>Відповідальність посадових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(службових)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осіб структурного підрозділу</w:t>
      </w:r>
    </w:p>
    <w:p w14:paraId="5A38AAC2" w14:textId="60E48880" w:rsidR="00CA5094" w:rsidRPr="005B25D8" w:rsidRDefault="005D2A25">
      <w:pPr>
        <w:pStyle w:val="af0"/>
        <w:numPr>
          <w:ilvl w:val="1"/>
          <w:numId w:val="6"/>
        </w:numPr>
        <w:shd w:val="clear" w:color="auto" w:fill="FFFFFF"/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Посадові 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>(службов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особи повинні сумлінно виконувати свої службові обов’язки, шанобливо ставитися до громадян, керівників і співробітників, дотримуватися високої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культури спілкування, не допускати дій і вчинків, які можуть зашкодити інтересам чи негативно вплинути на репутацію сільської/селищної/міської ради, її виконавчих органів та посадових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>(службов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осіб.</w:t>
      </w:r>
    </w:p>
    <w:p w14:paraId="7C227A35" w14:textId="4940B7B1" w:rsidR="009371E5" w:rsidRPr="005B25D8" w:rsidRDefault="005D2A25">
      <w:pPr>
        <w:pStyle w:val="af0"/>
        <w:numPr>
          <w:ilvl w:val="1"/>
          <w:numId w:val="6"/>
        </w:numPr>
        <w:shd w:val="clear" w:color="auto" w:fill="FFFFFF"/>
        <w:spacing w:line="240" w:lineRule="auto"/>
        <w:ind w:left="0" w:firstLine="5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Посадові 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>(службов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особи структурного підрозділу несу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ть відповідальність згідно з чинним законодавством. Матеріальна шкода, завдана незаконними діями чи бездіяльністю посадових</w:t>
      </w:r>
      <w:r w:rsidR="007721B5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(службових)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 xml:space="preserve"> осіб структурного підрозділу при здійсненні ними своїх повноважень, відшкодовується у встановленому законодавством поряд</w:t>
      </w:r>
      <w:r w:rsidRPr="005B25D8">
        <w:rPr>
          <w:rFonts w:ascii="Times New Roman" w:eastAsia="Times New Roman" w:hAnsi="Times New Roman" w:cs="Times New Roman"/>
          <w:sz w:val="28"/>
          <w:szCs w:val="28"/>
        </w:rPr>
        <w:t>ку</w:t>
      </w:r>
      <w:bookmarkStart w:id="4" w:name="_rtnsgj4wirvx" w:colFirst="0" w:colLast="0"/>
      <w:bookmarkStart w:id="5" w:name="kix.5ig7vxjzgigo" w:colFirst="0" w:colLast="0"/>
      <w:bookmarkEnd w:id="4"/>
      <w:bookmarkEnd w:id="5"/>
      <w:r w:rsidR="00CA5094" w:rsidRPr="005B25D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99B4AE0" w14:textId="77777777" w:rsidR="00A14042" w:rsidRPr="005B25D8" w:rsidRDefault="00A14042" w:rsidP="00A140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1C655" w14:textId="77777777" w:rsidR="00A14042" w:rsidRPr="005B25D8" w:rsidRDefault="00A14042" w:rsidP="00A140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9B508" w14:textId="54B5A198" w:rsidR="00A14042" w:rsidRPr="00A14042" w:rsidRDefault="00A14042" w:rsidP="00A140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B25D8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sectPr w:rsidR="00A14042" w:rsidRPr="00A14042" w:rsidSect="00CA5094">
      <w:headerReference w:type="default" r:id="rId7"/>
      <w:pgSz w:w="11909" w:h="16834"/>
      <w:pgMar w:top="850" w:right="850" w:bottom="850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8015" w14:textId="77777777" w:rsidR="005D2A25" w:rsidRDefault="005D2A25" w:rsidP="00CA5094">
      <w:pPr>
        <w:spacing w:line="240" w:lineRule="auto"/>
      </w:pPr>
      <w:r>
        <w:separator/>
      </w:r>
    </w:p>
  </w:endnote>
  <w:endnote w:type="continuationSeparator" w:id="0">
    <w:p w14:paraId="2A1B19C4" w14:textId="77777777" w:rsidR="005D2A25" w:rsidRDefault="005D2A25" w:rsidP="00CA5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7BBB9" w14:textId="77777777" w:rsidR="005D2A25" w:rsidRDefault="005D2A25" w:rsidP="00CA5094">
      <w:pPr>
        <w:spacing w:line="240" w:lineRule="auto"/>
      </w:pPr>
      <w:r>
        <w:separator/>
      </w:r>
    </w:p>
  </w:footnote>
  <w:footnote w:type="continuationSeparator" w:id="0">
    <w:p w14:paraId="0BA79D01" w14:textId="77777777" w:rsidR="005D2A25" w:rsidRDefault="005D2A25" w:rsidP="00CA5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767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C1F642" w14:textId="2C543315" w:rsidR="00CA5094" w:rsidRPr="00CA5094" w:rsidRDefault="00CA509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50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0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0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B71" w:rsidRPr="00B43B71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CA50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440F20" w14:textId="77777777" w:rsidR="00CA5094" w:rsidRDefault="00CA50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A83"/>
    <w:multiLevelType w:val="multilevel"/>
    <w:tmpl w:val="C7E08BA0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87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011944"/>
    <w:multiLevelType w:val="multilevel"/>
    <w:tmpl w:val="100AA10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87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EB0463"/>
    <w:multiLevelType w:val="hybridMultilevel"/>
    <w:tmpl w:val="D090D9F2"/>
    <w:lvl w:ilvl="0" w:tplc="0422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736C625A">
      <w:start w:val="1"/>
      <w:numFmt w:val="decimal"/>
      <w:lvlText w:val="1.%2."/>
      <w:lvlJc w:val="left"/>
      <w:pPr>
        <w:ind w:left="2574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67F15F7D"/>
    <w:multiLevelType w:val="multilevel"/>
    <w:tmpl w:val="1B7E22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87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791507"/>
    <w:multiLevelType w:val="multilevel"/>
    <w:tmpl w:val="D82E1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947C93"/>
    <w:multiLevelType w:val="multilevel"/>
    <w:tmpl w:val="E7EC0D0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5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0E5A83"/>
    <w:rsid w:val="001079B1"/>
    <w:rsid w:val="001B1366"/>
    <w:rsid w:val="002079C8"/>
    <w:rsid w:val="0022396D"/>
    <w:rsid w:val="0023511D"/>
    <w:rsid w:val="00253BB6"/>
    <w:rsid w:val="002C4D06"/>
    <w:rsid w:val="002F5362"/>
    <w:rsid w:val="00351557"/>
    <w:rsid w:val="00387E36"/>
    <w:rsid w:val="00423575"/>
    <w:rsid w:val="00472BB2"/>
    <w:rsid w:val="00476B24"/>
    <w:rsid w:val="004A0FAB"/>
    <w:rsid w:val="004F7715"/>
    <w:rsid w:val="005269FE"/>
    <w:rsid w:val="005A5AF8"/>
    <w:rsid w:val="005B25D8"/>
    <w:rsid w:val="005C3722"/>
    <w:rsid w:val="005D2A25"/>
    <w:rsid w:val="005D3864"/>
    <w:rsid w:val="005F2599"/>
    <w:rsid w:val="00724766"/>
    <w:rsid w:val="00753F97"/>
    <w:rsid w:val="007721B5"/>
    <w:rsid w:val="007A7057"/>
    <w:rsid w:val="007B1A70"/>
    <w:rsid w:val="007F2DD5"/>
    <w:rsid w:val="00841CE6"/>
    <w:rsid w:val="009371E5"/>
    <w:rsid w:val="00967C31"/>
    <w:rsid w:val="009D1FDD"/>
    <w:rsid w:val="009F76CC"/>
    <w:rsid w:val="009F77E4"/>
    <w:rsid w:val="00A14042"/>
    <w:rsid w:val="00A742CF"/>
    <w:rsid w:val="00A75466"/>
    <w:rsid w:val="00AC3C3F"/>
    <w:rsid w:val="00B06271"/>
    <w:rsid w:val="00B260BB"/>
    <w:rsid w:val="00B34F34"/>
    <w:rsid w:val="00B43B71"/>
    <w:rsid w:val="00B712EB"/>
    <w:rsid w:val="00C46D6C"/>
    <w:rsid w:val="00CA2060"/>
    <w:rsid w:val="00CA5094"/>
    <w:rsid w:val="00CC1925"/>
    <w:rsid w:val="00CF5F0E"/>
    <w:rsid w:val="00D20BDC"/>
    <w:rsid w:val="00D8470F"/>
    <w:rsid w:val="00E05E99"/>
    <w:rsid w:val="00E75875"/>
    <w:rsid w:val="00F42B5C"/>
    <w:rsid w:val="00F51617"/>
    <w:rsid w:val="00FB224A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5094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A5094"/>
  </w:style>
  <w:style w:type="paragraph" w:styleId="ae">
    <w:name w:val="footer"/>
    <w:basedOn w:val="a"/>
    <w:link w:val="af"/>
    <w:uiPriority w:val="99"/>
    <w:unhideWhenUsed/>
    <w:rsid w:val="00CA5094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A5094"/>
  </w:style>
  <w:style w:type="paragraph" w:styleId="af0">
    <w:name w:val="List Paragraph"/>
    <w:basedOn w:val="a"/>
    <w:uiPriority w:val="34"/>
    <w:qFormat/>
    <w:rsid w:val="00CA5094"/>
    <w:pPr>
      <w:ind w:left="720"/>
      <w:contextualSpacing/>
    </w:pPr>
  </w:style>
  <w:style w:type="paragraph" w:styleId="af1">
    <w:name w:val="No Spacing"/>
    <w:uiPriority w:val="1"/>
    <w:qFormat/>
    <w:rsid w:val="00CA5094"/>
    <w:pPr>
      <w:spacing w:line="240" w:lineRule="auto"/>
    </w:p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9F76CC"/>
    <w:rPr>
      <w:b/>
      <w:bCs/>
    </w:rPr>
  </w:style>
  <w:style w:type="character" w:customStyle="1" w:styleId="af3">
    <w:name w:val="Тема примітки Знак"/>
    <w:basedOn w:val="a9"/>
    <w:link w:val="af2"/>
    <w:uiPriority w:val="99"/>
    <w:semiHidden/>
    <w:rsid w:val="009F76C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A742C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2023-06-19T12:21:00Z</dcterms:created>
  <dcterms:modified xsi:type="dcterms:W3CDTF">2023-06-19T12:21:00Z</dcterms:modified>
</cp:coreProperties>
</file>