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A07E" w14:textId="5C2703DA" w:rsidR="00DD32EB" w:rsidRPr="004223C8" w:rsidRDefault="00036EFA" w:rsidP="0026591D">
      <w:pPr>
        <w:spacing w:line="247" w:lineRule="auto"/>
        <w:jc w:val="center"/>
        <w:rPr>
          <w:b/>
        </w:rPr>
      </w:pPr>
      <w:r>
        <w:rPr>
          <w:b/>
        </w:rPr>
        <w:t>ПОЯСНЮВАЛЬНА ЗАПИСКА</w:t>
      </w:r>
      <w:r>
        <w:rPr>
          <w:b/>
        </w:rPr>
        <w:br/>
      </w:r>
      <w:r w:rsidR="0071261F">
        <w:rPr>
          <w:b/>
        </w:rPr>
        <w:t>до проє</w:t>
      </w:r>
      <w:r w:rsidR="00DD32EB" w:rsidRPr="00036EFA">
        <w:rPr>
          <w:b/>
        </w:rPr>
        <w:t xml:space="preserve">кту постанови Кабінету Міністрів України </w:t>
      </w:r>
      <w:r w:rsidR="00DD32EB" w:rsidRPr="004223C8">
        <w:rPr>
          <w:b/>
        </w:rPr>
        <w:t>«</w:t>
      </w:r>
      <w:r w:rsidR="008219F5" w:rsidRPr="008219F5">
        <w:rPr>
          <w:b/>
        </w:rPr>
        <w:t>Деякі питання компенсації інвестицій, внесених суб’єктами господарювання у стратегічні об’єкти портової інфраструктури, що є об’єктами державної власності</w:t>
      </w:r>
      <w:r w:rsidR="00DD32EB" w:rsidRPr="004223C8">
        <w:rPr>
          <w:b/>
        </w:rPr>
        <w:t>»</w:t>
      </w:r>
    </w:p>
    <w:p w14:paraId="4121D77E" w14:textId="77777777" w:rsidR="00036EFA" w:rsidRDefault="00036EFA" w:rsidP="0026591D">
      <w:pPr>
        <w:spacing w:line="247" w:lineRule="auto"/>
      </w:pPr>
    </w:p>
    <w:p w14:paraId="4A54CED2" w14:textId="77777777" w:rsidR="00036EFA" w:rsidRDefault="00036EFA" w:rsidP="0026591D">
      <w:pPr>
        <w:spacing w:line="247" w:lineRule="auto"/>
      </w:pPr>
    </w:p>
    <w:p w14:paraId="328F2428" w14:textId="77777777" w:rsidR="00DD32EB" w:rsidRPr="00036EFA" w:rsidRDefault="00DD32EB" w:rsidP="00A12079">
      <w:pPr>
        <w:keepNext/>
        <w:ind w:firstLine="567"/>
        <w:jc w:val="both"/>
        <w:rPr>
          <w:b/>
        </w:rPr>
      </w:pPr>
      <w:r w:rsidRPr="00036EFA">
        <w:rPr>
          <w:b/>
        </w:rPr>
        <w:t>1.</w:t>
      </w:r>
      <w:r w:rsidR="00036EFA" w:rsidRPr="00036EFA">
        <w:rPr>
          <w:b/>
        </w:rPr>
        <w:t> </w:t>
      </w:r>
      <w:r w:rsidR="00450512">
        <w:rPr>
          <w:b/>
        </w:rPr>
        <w:t>Мета</w:t>
      </w:r>
    </w:p>
    <w:p w14:paraId="386AF284" w14:textId="5E6E5DAD" w:rsidR="00DD32EB" w:rsidRDefault="00DD32EB" w:rsidP="00313E0A">
      <w:pPr>
        <w:ind w:firstLine="567"/>
        <w:jc w:val="both"/>
      </w:pPr>
      <w:r>
        <w:t xml:space="preserve">Метою прийняття </w:t>
      </w:r>
      <w:r w:rsidR="004223C8" w:rsidRPr="004223C8">
        <w:t xml:space="preserve">проєкту </w:t>
      </w:r>
      <w:r>
        <w:t>постанови Кабінету Міністрів України «</w:t>
      </w:r>
      <w:r w:rsidR="008219F5" w:rsidRPr="008219F5">
        <w:t>Деякі питання компенсації інвестицій, внесених суб’єктами господарювання у стратегічні об’єкти портової інфраструктури, що є об’єктами державної власності</w:t>
      </w:r>
      <w:r w:rsidR="00313E0A">
        <w:t xml:space="preserve">» </w:t>
      </w:r>
      <w:r w:rsidR="001D5775">
        <w:t>(далі –</w:t>
      </w:r>
      <w:r>
        <w:t xml:space="preserve"> про</w:t>
      </w:r>
      <w:r w:rsidR="0071261F">
        <w:t>є</w:t>
      </w:r>
      <w:r>
        <w:t>кт акта)</w:t>
      </w:r>
      <w:r w:rsidR="0080215D">
        <w:t>,</w:t>
      </w:r>
      <w:r>
        <w:t xml:space="preserve"> є </w:t>
      </w:r>
      <w:r w:rsidR="00313E0A">
        <w:t>забезпечення реалізації статті 27 Закону України «Про морські порти України»</w:t>
      </w:r>
      <w:r w:rsidR="00313E0A" w:rsidRPr="00313E0A">
        <w:t xml:space="preserve"> (далі </w:t>
      </w:r>
      <w:r w:rsidR="00313E0A">
        <w:t>–</w:t>
      </w:r>
      <w:r w:rsidR="00313E0A" w:rsidRPr="00313E0A">
        <w:t xml:space="preserve"> Закон)</w:t>
      </w:r>
      <w:r>
        <w:t>.</w:t>
      </w:r>
    </w:p>
    <w:p w14:paraId="79E67F93" w14:textId="77777777" w:rsidR="00036EFA" w:rsidRDefault="00036EFA" w:rsidP="0026591D">
      <w:pPr>
        <w:spacing w:line="247" w:lineRule="auto"/>
        <w:ind w:firstLine="567"/>
        <w:jc w:val="both"/>
      </w:pPr>
    </w:p>
    <w:p w14:paraId="1AB93180" w14:textId="77777777" w:rsidR="00DD32EB" w:rsidRPr="00036EFA" w:rsidRDefault="00DD32EB" w:rsidP="00A12079">
      <w:pPr>
        <w:keepNext/>
        <w:ind w:firstLine="567"/>
        <w:jc w:val="both"/>
        <w:rPr>
          <w:b/>
        </w:rPr>
      </w:pPr>
      <w:r w:rsidRPr="00036EFA">
        <w:rPr>
          <w:b/>
        </w:rPr>
        <w:t>2.</w:t>
      </w:r>
      <w:r w:rsidR="00036EFA" w:rsidRPr="00036EFA">
        <w:rPr>
          <w:b/>
        </w:rPr>
        <w:t> </w:t>
      </w:r>
      <w:r w:rsidR="00D973E3" w:rsidRPr="00D973E3">
        <w:rPr>
          <w:b/>
          <w:bCs/>
          <w:shd w:val="clear" w:color="auto" w:fill="FFFFFF"/>
        </w:rPr>
        <w:t>Обґрунтування необхідності прийняття акта</w:t>
      </w:r>
    </w:p>
    <w:p w14:paraId="24731ABA" w14:textId="77777777" w:rsidR="00313E0A" w:rsidRPr="00313E0A" w:rsidRDefault="00313E0A" w:rsidP="00313E0A">
      <w:pPr>
        <w:ind w:firstLine="567"/>
        <w:jc w:val="both"/>
      </w:pPr>
      <w:r w:rsidRPr="00313E0A">
        <w:t xml:space="preserve">Відповідно до </w:t>
      </w:r>
      <w:r w:rsidR="00093CE4">
        <w:t xml:space="preserve">статті 27 Закону </w:t>
      </w:r>
      <w:r w:rsidRPr="00313E0A">
        <w:t>компенсація інвестицій, внесених суб’єктами господарювання у стратегічні об’єкти портової інфраструктури, що є об’єктами державної власності, здійснюється на підставі відповідних договорів, що укладаються адміністрацією морських портів України та інвесторами в порядку та на умовах, визначених Кабінетом Міністрів України.</w:t>
      </w:r>
      <w:bookmarkStart w:id="0" w:name="n267"/>
      <w:bookmarkEnd w:id="0"/>
    </w:p>
    <w:p w14:paraId="6A3097E3" w14:textId="79469946" w:rsidR="00313E0A" w:rsidRPr="00313E0A" w:rsidRDefault="00313E0A" w:rsidP="00313E0A">
      <w:pPr>
        <w:ind w:firstLine="567"/>
        <w:jc w:val="both"/>
      </w:pPr>
      <w:r w:rsidRPr="00313E0A">
        <w:t>Інвестування у стратегічні об’єкти портової інфраструктури може передбачати ремонт, модернізацію, реконструкцію або будівництво таких об’єктів.</w:t>
      </w:r>
    </w:p>
    <w:p w14:paraId="4DACC228" w14:textId="25C2E01E" w:rsidR="00093CE4" w:rsidRPr="00313E0A" w:rsidRDefault="00313E0A" w:rsidP="00313E0A">
      <w:pPr>
        <w:ind w:firstLine="567"/>
        <w:jc w:val="both"/>
      </w:pPr>
      <w:bookmarkStart w:id="1" w:name="n268"/>
      <w:bookmarkEnd w:id="1"/>
      <w:r w:rsidRPr="00313E0A">
        <w:t>Джерелами компенсації інвестицій у стратегічні об’єкти портової інфраструктури можуть бути портові збори, що справляються адміністрацією морських портів України, та інші джерела, не заборонені законодавством.</w:t>
      </w:r>
    </w:p>
    <w:p w14:paraId="6887F055" w14:textId="77777777" w:rsidR="00313E0A" w:rsidRDefault="00313E0A" w:rsidP="0026591D">
      <w:pPr>
        <w:spacing w:line="247" w:lineRule="auto"/>
        <w:ind w:firstLine="567"/>
        <w:jc w:val="both"/>
      </w:pPr>
      <w:r w:rsidRPr="00313E0A">
        <w:rPr>
          <w:szCs w:val="28"/>
        </w:rPr>
        <w:t xml:space="preserve">Також, </w:t>
      </w:r>
      <w:r>
        <w:rPr>
          <w:szCs w:val="28"/>
        </w:rPr>
        <w:t>у</w:t>
      </w:r>
      <w:r w:rsidR="00346A74" w:rsidRPr="008B044C">
        <w:rPr>
          <w:szCs w:val="28"/>
        </w:rPr>
        <w:t xml:space="preserve"> зв’язку з військовою агресією </w:t>
      </w:r>
      <w:r w:rsidR="00007502">
        <w:rPr>
          <w:szCs w:val="28"/>
        </w:rPr>
        <w:t>р</w:t>
      </w:r>
      <w:r w:rsidR="00007502" w:rsidRPr="008B044C">
        <w:rPr>
          <w:szCs w:val="28"/>
        </w:rPr>
        <w:t xml:space="preserve">осійської </w:t>
      </w:r>
      <w:r w:rsidR="00007502">
        <w:rPr>
          <w:szCs w:val="28"/>
        </w:rPr>
        <w:t>ф</w:t>
      </w:r>
      <w:r w:rsidR="00007502" w:rsidRPr="008B044C">
        <w:rPr>
          <w:szCs w:val="28"/>
        </w:rPr>
        <w:t xml:space="preserve">едерації </w:t>
      </w:r>
      <w:r w:rsidR="00346A74" w:rsidRPr="008B044C">
        <w:rPr>
          <w:szCs w:val="28"/>
        </w:rPr>
        <w:t>проти України</w:t>
      </w:r>
      <w:r w:rsidR="00BA0B46">
        <w:rPr>
          <w:szCs w:val="28"/>
        </w:rPr>
        <w:t>,</w:t>
      </w:r>
      <w:r w:rsidR="00346A74">
        <w:t xml:space="preserve"> </w:t>
      </w:r>
      <w:r w:rsidR="00E61873">
        <w:t>н</w:t>
      </w:r>
      <w:r w:rsidR="00DD32EB">
        <w:t xml:space="preserve">ині </w:t>
      </w:r>
      <w:r w:rsidR="00346A74">
        <w:t>як ніколи</w:t>
      </w:r>
      <w:r w:rsidR="00BA0B46">
        <w:t>,</w:t>
      </w:r>
      <w:r w:rsidR="00346A74">
        <w:t xml:space="preserve"> </w:t>
      </w:r>
      <w:r w:rsidR="00DD32EB">
        <w:t>існує проблема недостатньог</w:t>
      </w:r>
      <w:r>
        <w:t>о фінансування морської галузі</w:t>
      </w:r>
      <w:r w:rsidR="00DD32EB">
        <w:t>,</w:t>
      </w:r>
      <w:r>
        <w:t xml:space="preserve"> що призводить до браку коштів</w:t>
      </w:r>
      <w:r w:rsidR="00DD32EB">
        <w:t xml:space="preserve"> державного підприємства «Адміністрація морських портів України» (далі </w:t>
      </w:r>
      <w:r w:rsidR="001D5775">
        <w:t>–</w:t>
      </w:r>
      <w:r w:rsidR="00DD32EB">
        <w:t xml:space="preserve"> ДП</w:t>
      </w:r>
      <w:r w:rsidR="001D5775">
        <w:t> </w:t>
      </w:r>
      <w:r>
        <w:t>«АМПУ»</w:t>
      </w:r>
      <w:r w:rsidR="00DD32EB">
        <w:t xml:space="preserve">). </w:t>
      </w:r>
    </w:p>
    <w:p w14:paraId="262B93B0" w14:textId="77777777" w:rsidR="00313E0A" w:rsidRDefault="00DD32EB" w:rsidP="0026591D">
      <w:pPr>
        <w:spacing w:line="247" w:lineRule="auto"/>
        <w:ind w:firstLine="567"/>
        <w:jc w:val="both"/>
      </w:pPr>
      <w:r>
        <w:t>ДП</w:t>
      </w:r>
      <w:r w:rsidR="001D5775">
        <w:t> </w:t>
      </w:r>
      <w:r>
        <w:t>«АМПУ» відповідно до статті 15 Закону утворено з метою, серед іншого, утримання та забезпечення ефективного використання державного майна, переданого їй в господарське відання, у тому числі модернізації, ремонту, реконструкції та будівництва гідротехнічних споруд, інших об</w:t>
      </w:r>
      <w:r w:rsidR="00CC1D11">
        <w:t>’</w:t>
      </w:r>
      <w:r>
        <w:t>єктів портової інфраструктури, розташованих у межах територі</w:t>
      </w:r>
      <w:r w:rsidR="00313E0A">
        <w:t>ї та акваторії морського порту.</w:t>
      </w:r>
    </w:p>
    <w:p w14:paraId="77A15D62" w14:textId="12C39F90" w:rsidR="00DD32EB" w:rsidRPr="005436D8" w:rsidRDefault="00DD32EB" w:rsidP="0026591D">
      <w:pPr>
        <w:spacing w:line="247" w:lineRule="auto"/>
        <w:ind w:firstLine="567"/>
        <w:jc w:val="both"/>
      </w:pPr>
      <w:r>
        <w:t>Також</w:t>
      </w:r>
      <w:r w:rsidR="00BA0B46">
        <w:t>,</w:t>
      </w:r>
      <w:r>
        <w:t xml:space="preserve"> </w:t>
      </w:r>
      <w:r w:rsidR="00313E0A">
        <w:t>ДП «АМПУ» повинно</w:t>
      </w:r>
      <w:r>
        <w:t xml:space="preserve"> забезпечувати реалі</w:t>
      </w:r>
      <w:r w:rsidR="00313E0A">
        <w:t>зацію завдань, покладених на нього</w:t>
      </w:r>
      <w:r>
        <w:t>, відповідно до Національної транспортної стратегії України на період до 2030 року, схваленої розпорядженням Кабінету Міністрів України від 30</w:t>
      </w:r>
      <w:r w:rsidR="00007502">
        <w:t xml:space="preserve"> травня </w:t>
      </w:r>
      <w:r>
        <w:t xml:space="preserve">2018 </w:t>
      </w:r>
      <w:r w:rsidR="00007502">
        <w:t xml:space="preserve">р. </w:t>
      </w:r>
      <w:r>
        <w:t>№</w:t>
      </w:r>
      <w:r w:rsidR="001D5775">
        <w:t> </w:t>
      </w:r>
      <w:r>
        <w:t xml:space="preserve">430, Стратегії розвитку морських портів України до </w:t>
      </w:r>
      <w:r w:rsidR="00313E0A">
        <w:br/>
      </w:r>
      <w:r>
        <w:t xml:space="preserve">2038 року, затвердженої розпорядженням Кабінету Міністрів України від </w:t>
      </w:r>
      <w:r w:rsidR="00313E0A">
        <w:br/>
      </w:r>
      <w:r>
        <w:t>11</w:t>
      </w:r>
      <w:r w:rsidR="00007502">
        <w:t xml:space="preserve"> липня </w:t>
      </w:r>
      <w:r>
        <w:t xml:space="preserve">2013 </w:t>
      </w:r>
      <w:r w:rsidR="00007502">
        <w:t xml:space="preserve">р. </w:t>
      </w:r>
      <w:r>
        <w:t>№</w:t>
      </w:r>
      <w:r w:rsidR="001D5775">
        <w:t> </w:t>
      </w:r>
      <w:r>
        <w:t>548.</w:t>
      </w:r>
    </w:p>
    <w:p w14:paraId="0488652D" w14:textId="0A55A523" w:rsidR="00DD32EB" w:rsidRDefault="00DD32EB" w:rsidP="0026591D">
      <w:pPr>
        <w:spacing w:line="247" w:lineRule="auto"/>
        <w:ind w:firstLine="567"/>
        <w:jc w:val="both"/>
      </w:pPr>
      <w:r>
        <w:lastRenderedPageBreak/>
        <w:t>Ряд про</w:t>
      </w:r>
      <w:r w:rsidR="0071261F">
        <w:t>є</w:t>
      </w:r>
      <w:r>
        <w:t>ктів будівництва, реалізація яких передбачена зазначеними нормативно-правовими актами, є предметами вже укладених ДП</w:t>
      </w:r>
      <w:r w:rsidR="001D5775">
        <w:t> </w:t>
      </w:r>
      <w:r>
        <w:t>«АМПУ» договорів, однак через брак коштів та дивідендну політику держави немає можливості реалізувати навіть частини цих про</w:t>
      </w:r>
      <w:r w:rsidR="0071261F">
        <w:t>є</w:t>
      </w:r>
      <w:r>
        <w:t>ктів.</w:t>
      </w:r>
    </w:p>
    <w:p w14:paraId="7F9E2A76" w14:textId="39AEE62A" w:rsidR="00DD32EB" w:rsidRPr="00B336EF" w:rsidRDefault="00DD32EB" w:rsidP="0026591D">
      <w:pPr>
        <w:spacing w:line="247" w:lineRule="auto"/>
        <w:ind w:firstLine="567"/>
        <w:jc w:val="both"/>
      </w:pPr>
      <w:r>
        <w:t xml:space="preserve">Окрім цього, перед </w:t>
      </w:r>
      <w:r w:rsidR="00313E0A">
        <w:t xml:space="preserve">ДП «АМПУ» </w:t>
      </w:r>
      <w:r>
        <w:t>гостро стоїть питання необхідності реконструкції та підтримки у належному стані портової інфраструктури, у тому числі причальної. Зокрема, на балансі ДП</w:t>
      </w:r>
      <w:r w:rsidR="001D5775">
        <w:t> </w:t>
      </w:r>
      <w:r>
        <w:t>«АМПУ» обліковується 265 причалів (вантажні, допоміжні, пасажирські), розташовані в 13 морських портах України, серед яких: 20 не придатні до нормальної експлуатації; 37 потребують значних капіталовкладень в найближчі 5 років; більше 50 працюють з низькою економічною ефективністю</w:t>
      </w:r>
      <w:r w:rsidR="00007502">
        <w:t xml:space="preserve"> </w:t>
      </w:r>
      <w:r w:rsidR="00B336EF">
        <w:rPr>
          <w:szCs w:val="28"/>
        </w:rPr>
        <w:t>(наведені дані станом до 24.02.2022)</w:t>
      </w:r>
      <w:r w:rsidR="00B336EF" w:rsidRPr="005B216E">
        <w:rPr>
          <w:szCs w:val="28"/>
        </w:rPr>
        <w:t>.</w:t>
      </w:r>
    </w:p>
    <w:p w14:paraId="71CFFD21" w14:textId="48E7DF1A" w:rsidR="00DD32EB" w:rsidRDefault="00DD32EB" w:rsidP="0026591D">
      <w:pPr>
        <w:spacing w:line="247" w:lineRule="auto"/>
        <w:ind w:firstLine="567"/>
        <w:jc w:val="both"/>
      </w:pPr>
      <w:r>
        <w:t>Оскільки</w:t>
      </w:r>
      <w:r w:rsidR="00BA0B46">
        <w:t>,</w:t>
      </w:r>
      <w:r w:rsidR="00313E0A">
        <w:t xml:space="preserve"> переважній</w:t>
      </w:r>
      <w:r>
        <w:t xml:space="preserve"> біль</w:t>
      </w:r>
      <w:r w:rsidR="00313E0A">
        <w:t>шості</w:t>
      </w:r>
      <w:r>
        <w:t xml:space="preserve"> </w:t>
      </w:r>
      <w:r w:rsidRPr="00D43A63">
        <w:t>причалів більше 50 років, виникає</w:t>
      </w:r>
      <w:r>
        <w:t xml:space="preserve"> необхідність відновлення їх технічного стану шляхом здійснення капітального ремонту або реконструкції. Постійне відкладання цих робіт через брак коштів з часом зумовить загальне погіршення їх технічного стану, збільшення кількості причалів з обмеженим режимом експлуатації і навантажень, а також збільшення кількості непридатних до нормальної експлуатації причалів, які на цей час генерують кошти, частина з яких відраховується до державного бюджету у вигляді дивідендів.</w:t>
      </w:r>
    </w:p>
    <w:p w14:paraId="0AB78E6F" w14:textId="00EA2AA4" w:rsidR="00007502" w:rsidRDefault="001D3D5E" w:rsidP="001D3D5E">
      <w:pPr>
        <w:ind w:firstLine="567"/>
        <w:jc w:val="both"/>
        <w:rPr>
          <w:rStyle w:val="docdata"/>
          <w:szCs w:val="28"/>
        </w:rPr>
      </w:pPr>
      <w:r w:rsidRPr="00364F6F">
        <w:rPr>
          <w:rStyle w:val="docdata"/>
          <w:szCs w:val="28"/>
        </w:rPr>
        <w:t xml:space="preserve">За попередніми розрахунками, в період до початку військових дій на території України, потреба ДП «АМПУ» у фінансуванні проектів з реконструкції, модернізації та будівництва лише причалів (понад 48 проектів, з яких 36 з реконструкції та модернізації) оцінювалась на рівні 12 млрд грн </w:t>
      </w:r>
      <w:r w:rsidR="00313E0A">
        <w:rPr>
          <w:rStyle w:val="docdata"/>
          <w:szCs w:val="28"/>
        </w:rPr>
        <w:br/>
      </w:r>
      <w:r w:rsidRPr="00364F6F">
        <w:rPr>
          <w:rStyle w:val="docdata"/>
          <w:szCs w:val="28"/>
        </w:rPr>
        <w:t>на 4 роки.</w:t>
      </w:r>
    </w:p>
    <w:p w14:paraId="47C9B67A" w14:textId="77777777" w:rsidR="00DD32EB" w:rsidRDefault="00DD32EB" w:rsidP="00007502">
      <w:pPr>
        <w:spacing w:line="247" w:lineRule="auto"/>
        <w:ind w:firstLine="567"/>
        <w:jc w:val="both"/>
      </w:pPr>
      <w:r>
        <w:t>Відповідно до Закону до стратегічних об</w:t>
      </w:r>
      <w:r w:rsidR="00CC1D11">
        <w:t>’</w:t>
      </w:r>
      <w:r>
        <w:t>єктів портової інфраструктури також належать акваторії, пірси, інші види причальних споруд, моли, дамби, хвилеломи, інші берегозахисні споруди, підводні споруди штучного та природного походження, у тому числі канали, операційні акваторії причалів, якірні стоянки, залізничні та автомобільні під</w:t>
      </w:r>
      <w:r w:rsidR="00CC1D11">
        <w:t>’</w:t>
      </w:r>
      <w:r>
        <w:t>їзні шляхи, лінії зв</w:t>
      </w:r>
      <w:r w:rsidR="00CC1D11">
        <w:t>’</w:t>
      </w:r>
      <w:r>
        <w:t>язку, засоби тепло-, газо-, водо- та електропостачання, інженерні комунікації, інші об</w:t>
      </w:r>
      <w:r w:rsidR="00CC1D11">
        <w:t>’</w:t>
      </w:r>
      <w:r>
        <w:t>єкти, що забезпечують діяльність двох і більше суб</w:t>
      </w:r>
      <w:r w:rsidR="00CC1D11">
        <w:t>’</w:t>
      </w:r>
      <w:r>
        <w:t>єктів господарювання у морському порту.</w:t>
      </w:r>
    </w:p>
    <w:p w14:paraId="206A5178" w14:textId="059ECD29" w:rsidR="00DD32EB" w:rsidRPr="00313E0A" w:rsidRDefault="00DD32EB" w:rsidP="0026591D">
      <w:pPr>
        <w:spacing w:line="247" w:lineRule="auto"/>
        <w:ind w:firstLine="567"/>
        <w:jc w:val="both"/>
        <w:rPr>
          <w:lang w:bidi="ar-DZ"/>
        </w:rPr>
      </w:pPr>
      <w:r>
        <w:t xml:space="preserve">З огляду на </w:t>
      </w:r>
      <w:r w:rsidR="00BA0B46">
        <w:t xml:space="preserve">зазначене, </w:t>
      </w:r>
      <w:r w:rsidR="00313E0A" w:rsidRPr="00313E0A">
        <w:rPr>
          <w:lang w:bidi="ar-DZ"/>
        </w:rPr>
        <w:t>виникла необхідність розроблення Мінінфраструктури проєкту акта</w:t>
      </w:r>
      <w:r w:rsidRPr="00313E0A">
        <w:rPr>
          <w:lang w:bidi="ar-DZ"/>
        </w:rPr>
        <w:t>.</w:t>
      </w:r>
    </w:p>
    <w:p w14:paraId="1BEC3860" w14:textId="575596A3" w:rsidR="002905D7" w:rsidRPr="00313E0A" w:rsidRDefault="002905D7" w:rsidP="00A12079">
      <w:pPr>
        <w:spacing w:line="247" w:lineRule="auto"/>
        <w:jc w:val="both"/>
        <w:rPr>
          <w:szCs w:val="28"/>
          <w:lang w:bidi="ar-DZ"/>
        </w:rPr>
      </w:pPr>
    </w:p>
    <w:p w14:paraId="43A58569" w14:textId="2BB5F357" w:rsidR="00DD32EB" w:rsidRPr="00313E0A" w:rsidRDefault="00DD32EB" w:rsidP="00A76BF2">
      <w:pPr>
        <w:spacing w:line="247" w:lineRule="auto"/>
        <w:ind w:firstLine="567"/>
        <w:jc w:val="both"/>
        <w:rPr>
          <w:b/>
          <w:lang w:bidi="ar-DZ"/>
        </w:rPr>
      </w:pPr>
      <w:r w:rsidRPr="00313E0A">
        <w:rPr>
          <w:b/>
          <w:lang w:bidi="ar-DZ"/>
        </w:rPr>
        <w:t>3.</w:t>
      </w:r>
      <w:r w:rsidR="00036EFA" w:rsidRPr="00313E0A">
        <w:rPr>
          <w:b/>
          <w:lang w:bidi="ar-DZ"/>
        </w:rPr>
        <w:t> </w:t>
      </w:r>
      <w:r w:rsidR="00212A91" w:rsidRPr="00313E0A">
        <w:rPr>
          <w:b/>
          <w:lang w:bidi="ar-DZ"/>
        </w:rPr>
        <w:t>Основні положення</w:t>
      </w:r>
      <w:r w:rsidRPr="00313E0A">
        <w:rPr>
          <w:b/>
          <w:lang w:bidi="ar-DZ"/>
        </w:rPr>
        <w:t xml:space="preserve"> про</w:t>
      </w:r>
      <w:r w:rsidR="004223C8">
        <w:rPr>
          <w:b/>
          <w:lang w:bidi="ar-DZ"/>
        </w:rPr>
        <w:t>е</w:t>
      </w:r>
      <w:r w:rsidRPr="00313E0A">
        <w:rPr>
          <w:b/>
          <w:lang w:bidi="ar-DZ"/>
        </w:rPr>
        <w:t>кту акта</w:t>
      </w:r>
    </w:p>
    <w:p w14:paraId="506C4637" w14:textId="742DB90D" w:rsidR="004223C8" w:rsidRPr="006862ED" w:rsidRDefault="00DD32EB" w:rsidP="004223C8">
      <w:pPr>
        <w:spacing w:line="242" w:lineRule="auto"/>
        <w:ind w:firstLine="567"/>
        <w:jc w:val="both"/>
      </w:pPr>
      <w:r>
        <w:t>Про</w:t>
      </w:r>
      <w:r w:rsidR="0071261F">
        <w:t>є</w:t>
      </w:r>
      <w:r>
        <w:t xml:space="preserve">кт акта передбачає </w:t>
      </w:r>
      <w:r w:rsidR="004223C8">
        <w:t>визначення</w:t>
      </w:r>
      <w:r w:rsidR="004223C8" w:rsidRPr="006862ED">
        <w:t xml:space="preserve"> механізм</w:t>
      </w:r>
      <w:r w:rsidR="004223C8" w:rsidRPr="004223C8">
        <w:t>у</w:t>
      </w:r>
      <w:r w:rsidR="004223C8" w:rsidRPr="006862ED">
        <w:t xml:space="preserve"> компенсації інвестицій, </w:t>
      </w:r>
      <w:r w:rsidR="004223C8">
        <w:t>в</w:t>
      </w:r>
      <w:r w:rsidR="004223C8" w:rsidRPr="006862ED">
        <w:t>несених суб’єктами г</w:t>
      </w:r>
      <w:r w:rsidR="004223C8">
        <w:t>осподарювання (інвесторами</w:t>
      </w:r>
      <w:r w:rsidR="004223C8" w:rsidRPr="006862ED">
        <w:t>) у стратегічні об’єкти портової інфраструктури, що є об’єктами державної власності</w:t>
      </w:r>
      <w:r w:rsidR="004223C8">
        <w:t xml:space="preserve">,  та умови </w:t>
      </w:r>
      <w:r w:rsidR="004223C8" w:rsidRPr="00055B85">
        <w:t xml:space="preserve">укладання договорів, на підставі яких здійснюється </w:t>
      </w:r>
      <w:r w:rsidR="004223C8">
        <w:t xml:space="preserve">така </w:t>
      </w:r>
      <w:r w:rsidR="004223C8" w:rsidRPr="00055B85">
        <w:t>компенсація інвестицій</w:t>
      </w:r>
      <w:r w:rsidR="004223C8" w:rsidRPr="006862ED">
        <w:t>.</w:t>
      </w:r>
    </w:p>
    <w:p w14:paraId="74F08283" w14:textId="377CBD6D" w:rsidR="00DD32EB" w:rsidRPr="004223C8" w:rsidRDefault="00DD32EB" w:rsidP="0026591D">
      <w:pPr>
        <w:spacing w:line="247" w:lineRule="auto"/>
        <w:ind w:firstLine="567"/>
        <w:jc w:val="both"/>
      </w:pPr>
      <w:r>
        <w:lastRenderedPageBreak/>
        <w:t>Джерелом компенсації інвестицій у стратегічні об</w:t>
      </w:r>
      <w:r w:rsidR="00CC1D11">
        <w:t>’</w:t>
      </w:r>
      <w:r>
        <w:t xml:space="preserve">єкти портової інфраструктури можуть бути портові збори, що справляються Адміністрацією </w:t>
      </w:r>
      <w:r w:rsidRPr="004223C8">
        <w:t>морських портів України та інші джерел</w:t>
      </w:r>
      <w:r w:rsidR="004223C8" w:rsidRPr="004223C8">
        <w:t xml:space="preserve">а, не заборонені законодавством, що </w:t>
      </w:r>
      <w:r w:rsidR="004223C8">
        <w:rPr>
          <w:lang w:val="ru-RU"/>
        </w:rPr>
        <w:t xml:space="preserve">також </w:t>
      </w:r>
      <w:r w:rsidR="004223C8" w:rsidRPr="004223C8">
        <w:t>встановлено частиною третьою статті27 Закону.</w:t>
      </w:r>
    </w:p>
    <w:p w14:paraId="1849EF27" w14:textId="77777777" w:rsidR="005978BB" w:rsidRPr="004223C8" w:rsidRDefault="005978BB" w:rsidP="00696F6B">
      <w:pPr>
        <w:spacing w:line="247" w:lineRule="auto"/>
        <w:ind w:firstLine="567"/>
        <w:jc w:val="both"/>
        <w:rPr>
          <w:strike/>
          <w:szCs w:val="28"/>
        </w:rPr>
      </w:pPr>
    </w:p>
    <w:p w14:paraId="676861CA" w14:textId="77777777" w:rsidR="005978BB" w:rsidRPr="005978BB" w:rsidRDefault="005978BB" w:rsidP="00F66C5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78BB">
        <w:rPr>
          <w:rStyle w:val="rvts9"/>
          <w:b/>
          <w:bCs/>
          <w:sz w:val="28"/>
          <w:szCs w:val="28"/>
        </w:rPr>
        <w:t>4. Правові аспекти</w:t>
      </w:r>
    </w:p>
    <w:p w14:paraId="59FED3C8" w14:textId="0CF24797" w:rsidR="00BA0B46" w:rsidRDefault="00BA0B46" w:rsidP="00F66C53">
      <w:pPr>
        <w:ind w:firstLine="567"/>
        <w:jc w:val="both"/>
      </w:pPr>
      <w:bookmarkStart w:id="2" w:name="n3493"/>
      <w:bookmarkEnd w:id="2"/>
      <w:r>
        <w:t>У цій сфері суспільних відносин діють:</w:t>
      </w:r>
    </w:p>
    <w:p w14:paraId="5893AC4F" w14:textId="5DABB2BA" w:rsidR="00BA0B46" w:rsidRDefault="00BA0B46" w:rsidP="00F66C53">
      <w:pPr>
        <w:ind w:firstLine="567"/>
        <w:jc w:val="both"/>
      </w:pPr>
      <w:r>
        <w:t>Цивільний кодекс України;</w:t>
      </w:r>
    </w:p>
    <w:p w14:paraId="1EF46369" w14:textId="0FA4080A" w:rsidR="00BA0B46" w:rsidRDefault="00BA0B46" w:rsidP="00A12079">
      <w:pPr>
        <w:ind w:firstLine="567"/>
        <w:jc w:val="both"/>
      </w:pPr>
      <w:r>
        <w:t>Господарський кодекс України;</w:t>
      </w:r>
    </w:p>
    <w:p w14:paraId="5BF7EC7E" w14:textId="38C0BDE5" w:rsidR="00BA0B46" w:rsidRDefault="00E50261" w:rsidP="00A12079">
      <w:pPr>
        <w:ind w:firstLine="567"/>
        <w:jc w:val="both"/>
      </w:pPr>
      <w:r>
        <w:t>Закон України «Про морські порти України»</w:t>
      </w:r>
      <w:r w:rsidR="00BA0B46">
        <w:t>;</w:t>
      </w:r>
    </w:p>
    <w:p w14:paraId="36DE6F09" w14:textId="77777777" w:rsidR="00A40A17" w:rsidRDefault="00BA0B46" w:rsidP="00A12079">
      <w:pPr>
        <w:ind w:firstLine="567"/>
        <w:jc w:val="both"/>
      </w:pPr>
      <w:r>
        <w:t xml:space="preserve">Закон України </w:t>
      </w:r>
      <w:r w:rsidR="00A40A17" w:rsidRPr="007546CE">
        <w:t>«Про регулювання містобудівної діяльності»</w:t>
      </w:r>
      <w:r w:rsidR="00A40A17" w:rsidRPr="00D43A63">
        <w:t>;</w:t>
      </w:r>
    </w:p>
    <w:p w14:paraId="54ADB0B5" w14:textId="36FBACA2" w:rsidR="00B96E8F" w:rsidRDefault="00A40A17" w:rsidP="00A12079">
      <w:pPr>
        <w:ind w:firstLine="567"/>
        <w:jc w:val="both"/>
      </w:pPr>
      <w:r>
        <w:t>Закон України «Про інвестиційну діяльність»</w:t>
      </w:r>
      <w:r w:rsidRPr="006862ED">
        <w:rPr>
          <w:bCs/>
        </w:rPr>
        <w:t>.</w:t>
      </w:r>
    </w:p>
    <w:p w14:paraId="25129368" w14:textId="77777777" w:rsidR="00B96E8F" w:rsidRDefault="00B96E8F" w:rsidP="00E50261">
      <w:pPr>
        <w:spacing w:line="247" w:lineRule="auto"/>
        <w:ind w:firstLine="567"/>
        <w:jc w:val="both"/>
      </w:pPr>
    </w:p>
    <w:p w14:paraId="2DAC2557" w14:textId="77777777" w:rsidR="00612A48" w:rsidRPr="00612A48" w:rsidRDefault="00612A48" w:rsidP="00A1207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612A48">
        <w:rPr>
          <w:rStyle w:val="rvts9"/>
          <w:b/>
          <w:bCs/>
          <w:sz w:val="28"/>
          <w:szCs w:val="28"/>
        </w:rPr>
        <w:t>5. Фінансово-економічне обґрунтування</w:t>
      </w:r>
    </w:p>
    <w:p w14:paraId="40214BE8" w14:textId="77777777" w:rsidR="00612A48" w:rsidRPr="00612A48" w:rsidRDefault="00B85E3B" w:rsidP="00A1207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3" w:name="n3495"/>
      <w:bookmarkEnd w:id="3"/>
      <w:r w:rsidRPr="00B85E3B">
        <w:rPr>
          <w:sz w:val="28"/>
          <w:szCs w:val="28"/>
        </w:rPr>
        <w:t xml:space="preserve">Реалізація акта не </w:t>
      </w:r>
      <w:r w:rsidR="00612A48" w:rsidRPr="00612A48">
        <w:rPr>
          <w:sz w:val="28"/>
          <w:szCs w:val="28"/>
        </w:rPr>
        <w:t>потребує фінансування з державного чи місцевих бюджетів.</w:t>
      </w:r>
    </w:p>
    <w:p w14:paraId="5869D0D5" w14:textId="77777777" w:rsidR="00036EFA" w:rsidRDefault="00036EFA" w:rsidP="00B85E3B">
      <w:pPr>
        <w:spacing w:line="247" w:lineRule="auto"/>
        <w:jc w:val="both"/>
      </w:pPr>
    </w:p>
    <w:p w14:paraId="6E7D5524" w14:textId="77777777" w:rsidR="00DD32EB" w:rsidRPr="00036EFA" w:rsidRDefault="00BC5C38" w:rsidP="00A12079">
      <w:pPr>
        <w:keepNext/>
        <w:spacing w:line="247" w:lineRule="auto"/>
        <w:ind w:firstLine="567"/>
        <w:jc w:val="both"/>
        <w:rPr>
          <w:b/>
        </w:rPr>
      </w:pPr>
      <w:r>
        <w:rPr>
          <w:b/>
        </w:rPr>
        <w:t>6</w:t>
      </w:r>
      <w:r w:rsidR="00DD32EB" w:rsidRPr="00036EFA">
        <w:rPr>
          <w:b/>
        </w:rPr>
        <w:t>.</w:t>
      </w:r>
      <w:r w:rsidR="00036EFA" w:rsidRPr="00036EFA">
        <w:rPr>
          <w:b/>
        </w:rPr>
        <w:t> </w:t>
      </w:r>
      <w:r w:rsidR="00DD32EB" w:rsidRPr="00036EFA">
        <w:rPr>
          <w:b/>
        </w:rPr>
        <w:t>Позиція заінтересованих сторін</w:t>
      </w:r>
    </w:p>
    <w:p w14:paraId="5CA86407" w14:textId="63018346" w:rsidR="00990DC0" w:rsidRDefault="00990DC0" w:rsidP="00B2668F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B2668F">
        <w:rPr>
          <w:sz w:val="28"/>
          <w:szCs w:val="28"/>
        </w:rPr>
        <w:t xml:space="preserve">Проєкт акта </w:t>
      </w:r>
      <w:r w:rsidR="0098047B">
        <w:rPr>
          <w:sz w:val="28"/>
          <w:szCs w:val="28"/>
        </w:rPr>
        <w:t xml:space="preserve">буде </w:t>
      </w:r>
      <w:r w:rsidRPr="00B2668F">
        <w:rPr>
          <w:sz w:val="28"/>
          <w:szCs w:val="28"/>
        </w:rPr>
        <w:t xml:space="preserve">оприлюднено на офіційному вебсайті Мінінфраструктури </w:t>
      </w:r>
      <w:r w:rsidRPr="005025AD">
        <w:rPr>
          <w:sz w:val="28"/>
          <w:szCs w:val="28"/>
        </w:rPr>
        <w:t>з метою отримання зауважень та пропозицій до нього.</w:t>
      </w:r>
    </w:p>
    <w:p w14:paraId="4C15F829" w14:textId="2DD58739" w:rsidR="004223C8" w:rsidRPr="005025AD" w:rsidRDefault="004223C8" w:rsidP="004223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668F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B2668F">
        <w:rPr>
          <w:sz w:val="28"/>
          <w:szCs w:val="28"/>
        </w:rPr>
        <w:t>кт акта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державної; сфери наукової та науково-технічної діяльності.</w:t>
      </w:r>
    </w:p>
    <w:p w14:paraId="4312355D" w14:textId="77777777" w:rsidR="00036EFA" w:rsidRPr="005025AD" w:rsidRDefault="00036EFA" w:rsidP="0026591D">
      <w:pPr>
        <w:spacing w:line="247" w:lineRule="auto"/>
        <w:ind w:firstLine="567"/>
        <w:jc w:val="both"/>
        <w:rPr>
          <w:szCs w:val="28"/>
        </w:rPr>
      </w:pPr>
    </w:p>
    <w:p w14:paraId="2C95FBF1" w14:textId="77777777" w:rsidR="00F97192" w:rsidRPr="00BD41D8" w:rsidRDefault="00F97192" w:rsidP="00A1207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BD41D8">
        <w:rPr>
          <w:rStyle w:val="rvts9"/>
          <w:b/>
          <w:bCs/>
          <w:sz w:val="28"/>
          <w:szCs w:val="28"/>
        </w:rPr>
        <w:t>7. Оцінка відповідності</w:t>
      </w:r>
    </w:p>
    <w:p w14:paraId="10EF0726" w14:textId="77777777" w:rsidR="00F97192" w:rsidRPr="00BD41D8" w:rsidRDefault="006E4B4E" w:rsidP="002905D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4" w:name="n3501"/>
      <w:bookmarkEnd w:id="4"/>
      <w:r w:rsidRPr="00BD41D8">
        <w:rPr>
          <w:sz w:val="28"/>
          <w:szCs w:val="28"/>
        </w:rPr>
        <w:t>У</w:t>
      </w:r>
      <w:r w:rsidR="00F97192" w:rsidRPr="00BD41D8">
        <w:rPr>
          <w:sz w:val="28"/>
          <w:szCs w:val="28"/>
        </w:rPr>
        <w:t xml:space="preserve"> проекті акта </w:t>
      </w:r>
      <w:r w:rsidRPr="00BD41D8">
        <w:rPr>
          <w:sz w:val="28"/>
          <w:szCs w:val="28"/>
        </w:rPr>
        <w:t xml:space="preserve">відсутні </w:t>
      </w:r>
      <w:r w:rsidR="00F97192" w:rsidRPr="00BD41D8">
        <w:rPr>
          <w:sz w:val="28"/>
          <w:szCs w:val="28"/>
        </w:rPr>
        <w:t>положен</w:t>
      </w:r>
      <w:r w:rsidRPr="00BD41D8">
        <w:rPr>
          <w:sz w:val="28"/>
          <w:szCs w:val="28"/>
        </w:rPr>
        <w:t>ня</w:t>
      </w:r>
      <w:r w:rsidR="00F97192" w:rsidRPr="00BD41D8">
        <w:rPr>
          <w:sz w:val="28"/>
          <w:szCs w:val="28"/>
        </w:rPr>
        <w:t>, що</w:t>
      </w:r>
      <w:bookmarkStart w:id="5" w:name="n3502"/>
      <w:bookmarkEnd w:id="5"/>
      <w:r w:rsidR="00F97192" w:rsidRPr="00BD41D8">
        <w:rPr>
          <w:sz w:val="28"/>
          <w:szCs w:val="28"/>
        </w:rPr>
        <w:t>:</w:t>
      </w:r>
    </w:p>
    <w:p w14:paraId="3CF1F1EE" w14:textId="77777777" w:rsidR="00F97192" w:rsidRPr="00BD41D8" w:rsidRDefault="00F9719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BD41D8"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28DB08FC" w14:textId="77777777" w:rsidR="00F97192" w:rsidRPr="00BD41D8" w:rsidRDefault="00F97192" w:rsidP="00BD41D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6" w:name="n3503"/>
      <w:bookmarkEnd w:id="6"/>
      <w:r w:rsidRPr="00BD41D8"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75F476FF" w14:textId="77777777" w:rsidR="00F97192" w:rsidRPr="00BD41D8" w:rsidRDefault="00F97192" w:rsidP="00BD41D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7" w:name="n3504"/>
      <w:bookmarkEnd w:id="7"/>
      <w:r w:rsidRPr="00BD41D8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3E861178" w14:textId="77777777" w:rsidR="00F97192" w:rsidRPr="00BD41D8" w:rsidRDefault="00F97192" w:rsidP="00BD41D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8" w:name="n3505"/>
      <w:bookmarkEnd w:id="8"/>
      <w:r w:rsidRPr="00BD41D8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3858F3BF" w14:textId="77777777" w:rsidR="00F97192" w:rsidRPr="00BD41D8" w:rsidRDefault="00F97192" w:rsidP="00BD41D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9" w:name="n3506"/>
      <w:bookmarkEnd w:id="9"/>
      <w:r w:rsidRPr="00BD41D8">
        <w:rPr>
          <w:sz w:val="28"/>
          <w:szCs w:val="28"/>
        </w:rPr>
        <w:t>створюють підстави для дискримінації.</w:t>
      </w:r>
    </w:p>
    <w:p w14:paraId="478BC758" w14:textId="6E554C51" w:rsidR="00BD41D8" w:rsidRPr="00BD41D8" w:rsidRDefault="00BD41D8" w:rsidP="00BD41D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10" w:name="n3522"/>
      <w:bookmarkEnd w:id="10"/>
      <w:r w:rsidRPr="00BD41D8">
        <w:rPr>
          <w:sz w:val="28"/>
          <w:szCs w:val="28"/>
        </w:rPr>
        <w:t xml:space="preserve">Проєкт акта </w:t>
      </w:r>
      <w:r w:rsidR="00F66C53">
        <w:rPr>
          <w:sz w:val="28"/>
          <w:szCs w:val="28"/>
        </w:rPr>
        <w:t>буде</w:t>
      </w:r>
      <w:r w:rsidR="00B2668F">
        <w:rPr>
          <w:sz w:val="28"/>
          <w:szCs w:val="28"/>
        </w:rPr>
        <w:t xml:space="preserve"> надіслано </w:t>
      </w:r>
      <w:r w:rsidRPr="00BD41D8">
        <w:rPr>
          <w:sz w:val="28"/>
          <w:szCs w:val="28"/>
        </w:rPr>
        <w:t>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745EBA38" w14:textId="77777777" w:rsidR="002905D7" w:rsidRDefault="002905D7" w:rsidP="0068038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3508"/>
      <w:bookmarkEnd w:id="11"/>
    </w:p>
    <w:p w14:paraId="56A61C31" w14:textId="77777777" w:rsidR="004223C8" w:rsidRDefault="004223C8" w:rsidP="00A1207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b/>
          <w:bCs/>
          <w:sz w:val="28"/>
          <w:szCs w:val="28"/>
        </w:rPr>
      </w:pPr>
    </w:p>
    <w:p w14:paraId="28E09807" w14:textId="446E4DA9" w:rsidR="0068038B" w:rsidRPr="00766AAC" w:rsidRDefault="0068038B" w:rsidP="00A1207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6AAC">
        <w:rPr>
          <w:rStyle w:val="rvts9"/>
          <w:b/>
          <w:bCs/>
          <w:sz w:val="28"/>
          <w:szCs w:val="28"/>
        </w:rPr>
        <w:t>8. Прогноз результатів</w:t>
      </w:r>
    </w:p>
    <w:p w14:paraId="577B83A4" w14:textId="77777777" w:rsidR="002C1405" w:rsidRPr="002C1405" w:rsidRDefault="002C1405" w:rsidP="006C4C5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  <w:bookmarkStart w:id="12" w:name="n3510"/>
      <w:bookmarkStart w:id="13" w:name="n3511"/>
      <w:bookmarkEnd w:id="12"/>
      <w:bookmarkEnd w:id="13"/>
      <w:r w:rsidRPr="002C1405">
        <w:rPr>
          <w:rFonts w:eastAsiaTheme="minorHAnsi" w:cstheme="minorBidi"/>
          <w:sz w:val="28"/>
          <w:szCs w:val="22"/>
          <w:lang w:eastAsia="en-US"/>
        </w:rPr>
        <w:lastRenderedPageBreak/>
        <w:t>Реалізація акта матиме вплив на ринкове середовище, забезпечення захисту прав та інтересів суб’єктів господарювання і держави.</w:t>
      </w:r>
    </w:p>
    <w:p w14:paraId="4B350FFF" w14:textId="25A69150" w:rsidR="00766AAC" w:rsidRPr="004223C8" w:rsidRDefault="002C1405" w:rsidP="004223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  <w:r w:rsidRPr="002C1405">
        <w:rPr>
          <w:rFonts w:eastAsiaTheme="minorHAnsi" w:cstheme="minorBidi"/>
          <w:sz w:val="28"/>
          <w:szCs w:val="22"/>
          <w:lang w:eastAsia="en-US"/>
        </w:rPr>
        <w:t>Реалізація акта не матиме впливу на інтереси громадян; підвищення чи зниження спроможності територіальних громад;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</w:t>
      </w:r>
      <w:r w:rsidR="004223C8">
        <w:rPr>
          <w:rFonts w:eastAsiaTheme="minorHAnsi" w:cstheme="minorBidi"/>
          <w:sz w:val="28"/>
          <w:szCs w:val="22"/>
          <w:lang w:eastAsia="en-US"/>
        </w:rPr>
        <w:t>абруднення атмосферного повітря</w:t>
      </w:r>
      <w:r w:rsidRPr="002C1405">
        <w:rPr>
          <w:rFonts w:eastAsiaTheme="minorHAnsi" w:cstheme="minorBidi"/>
          <w:sz w:val="28"/>
          <w:szCs w:val="22"/>
          <w:lang w:eastAsia="en-US"/>
        </w:rPr>
        <w:t>.</w:t>
      </w:r>
      <w:r w:rsidR="004223C8" w:rsidRPr="004223C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4223C8">
        <w:rPr>
          <w:rFonts w:eastAsiaTheme="minorHAnsi" w:cstheme="minorBidi"/>
          <w:sz w:val="28"/>
          <w:szCs w:val="22"/>
          <w:lang w:eastAsia="en-US"/>
        </w:rPr>
        <w:t>Реалізація акта матиме вплив на інтереси заінтересованих сторін</w:t>
      </w:r>
      <w:r w:rsidR="00F66C53" w:rsidRPr="004223C8">
        <w:rPr>
          <w:rFonts w:eastAsiaTheme="minorHAnsi" w:cstheme="minorBidi"/>
          <w:sz w:val="28"/>
          <w:szCs w:val="22"/>
          <w:lang w:eastAsia="en-US"/>
        </w:rPr>
        <w:t xml:space="preserve"> (інформація </w:t>
      </w:r>
      <w:r w:rsidRPr="004223C8">
        <w:rPr>
          <w:rFonts w:eastAsiaTheme="minorHAnsi" w:cstheme="minorBidi"/>
          <w:sz w:val="28"/>
          <w:szCs w:val="22"/>
          <w:lang w:eastAsia="en-US"/>
        </w:rPr>
        <w:t>додається</w:t>
      </w:r>
      <w:r w:rsidR="00F66C53" w:rsidRPr="004223C8">
        <w:rPr>
          <w:rFonts w:eastAsiaTheme="minorHAnsi" w:cstheme="minorBidi"/>
          <w:sz w:val="28"/>
          <w:szCs w:val="22"/>
          <w:lang w:eastAsia="en-US"/>
        </w:rPr>
        <w:t>)</w:t>
      </w:r>
      <w:r w:rsidRPr="004223C8">
        <w:rPr>
          <w:rFonts w:eastAsiaTheme="minorHAnsi" w:cstheme="minorBidi"/>
          <w:sz w:val="28"/>
          <w:szCs w:val="22"/>
          <w:lang w:eastAsia="en-US"/>
        </w:rPr>
        <w:t>.</w:t>
      </w:r>
    </w:p>
    <w:p w14:paraId="4DB3801A" w14:textId="77777777" w:rsidR="00B2668F" w:rsidRDefault="00B2668F" w:rsidP="00766AAC">
      <w:pPr>
        <w:spacing w:line="247" w:lineRule="auto"/>
        <w:ind w:firstLine="567"/>
        <w:jc w:val="both"/>
      </w:pPr>
    </w:p>
    <w:p w14:paraId="7A4656CF" w14:textId="77777777" w:rsidR="00B2668F" w:rsidRPr="004223C8" w:rsidRDefault="00B2668F" w:rsidP="00766AAC">
      <w:pPr>
        <w:spacing w:line="247" w:lineRule="auto"/>
        <w:ind w:firstLine="567"/>
        <w:jc w:val="both"/>
        <w:rPr>
          <w:lang w:bidi="ar-JO"/>
        </w:rPr>
      </w:pPr>
    </w:p>
    <w:p w14:paraId="03608A6C" w14:textId="77777777" w:rsidR="004223C8" w:rsidRDefault="004223C8" w:rsidP="007546CE">
      <w:pPr>
        <w:rPr>
          <w:lang w:bidi="ar-JO"/>
        </w:rPr>
      </w:pPr>
      <w:r w:rsidRPr="004223C8">
        <w:rPr>
          <w:szCs w:val="28"/>
          <w:lang w:bidi="ar-JO"/>
        </w:rPr>
        <w:t>Виконувач обов’язків</w:t>
      </w:r>
      <w:r w:rsidR="002F22B1" w:rsidRPr="004223C8">
        <w:rPr>
          <w:szCs w:val="28"/>
          <w:lang w:bidi="ar-JO"/>
        </w:rPr>
        <w:t xml:space="preserve"> </w:t>
      </w:r>
      <w:r w:rsidR="00036EFA" w:rsidRPr="004223C8">
        <w:rPr>
          <w:lang w:bidi="ar-JO"/>
        </w:rPr>
        <w:t>Міністр</w:t>
      </w:r>
      <w:r w:rsidRPr="004223C8">
        <w:rPr>
          <w:lang w:bidi="ar-JO"/>
        </w:rPr>
        <w:t>а</w:t>
      </w:r>
      <w:r w:rsidR="00007502" w:rsidRPr="004223C8">
        <w:rPr>
          <w:lang w:bidi="ar-JO"/>
        </w:rPr>
        <w:t xml:space="preserve"> розвитку</w:t>
      </w:r>
      <w:r w:rsidR="00A12079" w:rsidRPr="004223C8">
        <w:rPr>
          <w:lang w:bidi="ar-JO"/>
        </w:rPr>
        <w:t xml:space="preserve"> </w:t>
      </w:r>
    </w:p>
    <w:p w14:paraId="00CD7839" w14:textId="5C677DD5" w:rsidR="00F66C53" w:rsidRPr="004223C8" w:rsidRDefault="002905D7" w:rsidP="007546CE">
      <w:pPr>
        <w:rPr>
          <w:lang w:bidi="ar-JO"/>
        </w:rPr>
      </w:pPr>
      <w:r w:rsidRPr="004223C8">
        <w:rPr>
          <w:lang w:bidi="ar-JO"/>
        </w:rPr>
        <w:t>громад, територій та інфраструктури</w:t>
      </w:r>
      <w:r>
        <w:t xml:space="preserve"> України          </w:t>
      </w:r>
      <w:r w:rsidR="004223C8">
        <w:t xml:space="preserve">            </w:t>
      </w:r>
      <w:r w:rsidR="004223C8">
        <w:rPr>
          <w:lang w:val="ru-RU"/>
        </w:rPr>
        <w:t>Василь ШКУРАКОВ</w:t>
      </w:r>
    </w:p>
    <w:p w14:paraId="1A8A03DC" w14:textId="77777777" w:rsidR="00B2668F" w:rsidRDefault="00B2668F" w:rsidP="007546CE"/>
    <w:p w14:paraId="37C78714" w14:textId="104DC754" w:rsidR="00036EFA" w:rsidRDefault="004223C8" w:rsidP="00BC0D88">
      <w:pPr>
        <w:tabs>
          <w:tab w:val="right" w:pos="9582"/>
        </w:tabs>
      </w:pPr>
      <w:r>
        <w:t xml:space="preserve"> ____ ________</w:t>
      </w:r>
      <w:r w:rsidR="00036EFA">
        <w:t xml:space="preserve">__ </w:t>
      </w:r>
      <w:r w:rsidR="00A12079">
        <w:t xml:space="preserve">2024 </w:t>
      </w:r>
      <w:r w:rsidR="00036EFA">
        <w:t>р.</w:t>
      </w:r>
    </w:p>
    <w:sectPr w:rsidR="00036EFA" w:rsidSect="00DF6FF8">
      <w:headerReference w:type="default" r:id="rId7"/>
      <w:pgSz w:w="11906" w:h="16838" w:code="9"/>
      <w:pgMar w:top="1134" w:right="567" w:bottom="1985" w:left="1701" w:header="56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C9F3" w14:textId="77777777" w:rsidR="00441F73" w:rsidRDefault="00441F73" w:rsidP="00292E3C">
      <w:r>
        <w:separator/>
      </w:r>
    </w:p>
  </w:endnote>
  <w:endnote w:type="continuationSeparator" w:id="0">
    <w:p w14:paraId="483CB053" w14:textId="77777777" w:rsidR="00441F73" w:rsidRDefault="00441F73" w:rsidP="0029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67C2" w14:textId="77777777" w:rsidR="00441F73" w:rsidRDefault="00441F73" w:rsidP="00292E3C">
      <w:r>
        <w:separator/>
      </w:r>
    </w:p>
  </w:footnote>
  <w:footnote w:type="continuationSeparator" w:id="0">
    <w:p w14:paraId="5D292D95" w14:textId="77777777" w:rsidR="00441F73" w:rsidRDefault="00441F73" w:rsidP="0029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567328"/>
      <w:docPartObj>
        <w:docPartGallery w:val="Page Numbers (Top of Page)"/>
        <w:docPartUnique/>
      </w:docPartObj>
    </w:sdtPr>
    <w:sdtContent>
      <w:p w14:paraId="11CF70A1" w14:textId="4842C054" w:rsidR="002A23A8" w:rsidRDefault="002A23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C8" w:rsidRPr="004223C8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EB"/>
    <w:rsid w:val="00000EFC"/>
    <w:rsid w:val="00007502"/>
    <w:rsid w:val="0001212C"/>
    <w:rsid w:val="00022850"/>
    <w:rsid w:val="000342F1"/>
    <w:rsid w:val="0003510A"/>
    <w:rsid w:val="00036EFA"/>
    <w:rsid w:val="00054FFE"/>
    <w:rsid w:val="0006186D"/>
    <w:rsid w:val="0006285B"/>
    <w:rsid w:val="00067F19"/>
    <w:rsid w:val="00082379"/>
    <w:rsid w:val="0008489C"/>
    <w:rsid w:val="00087321"/>
    <w:rsid w:val="0009010C"/>
    <w:rsid w:val="00093CE4"/>
    <w:rsid w:val="000976B6"/>
    <w:rsid w:val="000A5468"/>
    <w:rsid w:val="000B4774"/>
    <w:rsid w:val="000C1208"/>
    <w:rsid w:val="000F2142"/>
    <w:rsid w:val="000F2150"/>
    <w:rsid w:val="000F263B"/>
    <w:rsid w:val="000F3E2B"/>
    <w:rsid w:val="00101275"/>
    <w:rsid w:val="0012104B"/>
    <w:rsid w:val="00122F79"/>
    <w:rsid w:val="001449CD"/>
    <w:rsid w:val="00146E3E"/>
    <w:rsid w:val="001513DB"/>
    <w:rsid w:val="00160C86"/>
    <w:rsid w:val="0016157F"/>
    <w:rsid w:val="00162734"/>
    <w:rsid w:val="0016287F"/>
    <w:rsid w:val="00163F3C"/>
    <w:rsid w:val="00180268"/>
    <w:rsid w:val="00180851"/>
    <w:rsid w:val="001A1BBA"/>
    <w:rsid w:val="001B25F1"/>
    <w:rsid w:val="001B7846"/>
    <w:rsid w:val="001C1126"/>
    <w:rsid w:val="001D3D5E"/>
    <w:rsid w:val="001D5775"/>
    <w:rsid w:val="001E0CAD"/>
    <w:rsid w:val="001F4B08"/>
    <w:rsid w:val="00203DF8"/>
    <w:rsid w:val="00212827"/>
    <w:rsid w:val="00212A91"/>
    <w:rsid w:val="00213A51"/>
    <w:rsid w:val="002233F7"/>
    <w:rsid w:val="00251C68"/>
    <w:rsid w:val="00261CAE"/>
    <w:rsid w:val="0026591D"/>
    <w:rsid w:val="00273E96"/>
    <w:rsid w:val="002826B8"/>
    <w:rsid w:val="002905D7"/>
    <w:rsid w:val="00292E3C"/>
    <w:rsid w:val="002A23A8"/>
    <w:rsid w:val="002A6B6E"/>
    <w:rsid w:val="002C1405"/>
    <w:rsid w:val="002D5458"/>
    <w:rsid w:val="002E2BD0"/>
    <w:rsid w:val="002F22B1"/>
    <w:rsid w:val="00313E0A"/>
    <w:rsid w:val="00321881"/>
    <w:rsid w:val="00323081"/>
    <w:rsid w:val="003333F0"/>
    <w:rsid w:val="0033709A"/>
    <w:rsid w:val="00346A74"/>
    <w:rsid w:val="00347225"/>
    <w:rsid w:val="00362C59"/>
    <w:rsid w:val="00375D31"/>
    <w:rsid w:val="003804C9"/>
    <w:rsid w:val="003840CB"/>
    <w:rsid w:val="00395A28"/>
    <w:rsid w:val="003A3354"/>
    <w:rsid w:val="003A433E"/>
    <w:rsid w:val="003C4BDF"/>
    <w:rsid w:val="003D5BAD"/>
    <w:rsid w:val="004223C8"/>
    <w:rsid w:val="00423188"/>
    <w:rsid w:val="0042407A"/>
    <w:rsid w:val="00430B7B"/>
    <w:rsid w:val="00441F73"/>
    <w:rsid w:val="00450512"/>
    <w:rsid w:val="00461429"/>
    <w:rsid w:val="00462DF2"/>
    <w:rsid w:val="00477B7B"/>
    <w:rsid w:val="00487914"/>
    <w:rsid w:val="004972CF"/>
    <w:rsid w:val="004A57D9"/>
    <w:rsid w:val="004B2455"/>
    <w:rsid w:val="004B45CA"/>
    <w:rsid w:val="004D2418"/>
    <w:rsid w:val="004F2856"/>
    <w:rsid w:val="004F666C"/>
    <w:rsid w:val="0050227D"/>
    <w:rsid w:val="005025AD"/>
    <w:rsid w:val="0054225B"/>
    <w:rsid w:val="005436D8"/>
    <w:rsid w:val="00547BF7"/>
    <w:rsid w:val="005527A3"/>
    <w:rsid w:val="005553C2"/>
    <w:rsid w:val="005611C2"/>
    <w:rsid w:val="00561C2E"/>
    <w:rsid w:val="0056597A"/>
    <w:rsid w:val="005934D0"/>
    <w:rsid w:val="005964A9"/>
    <w:rsid w:val="00597111"/>
    <w:rsid w:val="005978BB"/>
    <w:rsid w:val="005A6233"/>
    <w:rsid w:val="005B11E4"/>
    <w:rsid w:val="005B28A3"/>
    <w:rsid w:val="005B7253"/>
    <w:rsid w:val="005C1325"/>
    <w:rsid w:val="005E3D28"/>
    <w:rsid w:val="00612A48"/>
    <w:rsid w:val="00614F5E"/>
    <w:rsid w:val="00625E10"/>
    <w:rsid w:val="00654D45"/>
    <w:rsid w:val="00667C13"/>
    <w:rsid w:val="00671A61"/>
    <w:rsid w:val="0068038B"/>
    <w:rsid w:val="00686389"/>
    <w:rsid w:val="00687235"/>
    <w:rsid w:val="00696F6B"/>
    <w:rsid w:val="006A6EDC"/>
    <w:rsid w:val="006A7D80"/>
    <w:rsid w:val="006B0480"/>
    <w:rsid w:val="006C2C2F"/>
    <w:rsid w:val="006C49AE"/>
    <w:rsid w:val="006C4C5B"/>
    <w:rsid w:val="006D31DF"/>
    <w:rsid w:val="006E4B4E"/>
    <w:rsid w:val="006E4E3B"/>
    <w:rsid w:val="006E6F68"/>
    <w:rsid w:val="006F1F5D"/>
    <w:rsid w:val="006F4AB9"/>
    <w:rsid w:val="0070481A"/>
    <w:rsid w:val="0071261F"/>
    <w:rsid w:val="0071354C"/>
    <w:rsid w:val="00727B2F"/>
    <w:rsid w:val="007372BC"/>
    <w:rsid w:val="0075133B"/>
    <w:rsid w:val="007546CE"/>
    <w:rsid w:val="00760C0B"/>
    <w:rsid w:val="00766AAC"/>
    <w:rsid w:val="00790CFE"/>
    <w:rsid w:val="00793952"/>
    <w:rsid w:val="007A04A2"/>
    <w:rsid w:val="007B0DD6"/>
    <w:rsid w:val="007C33BD"/>
    <w:rsid w:val="007C72DA"/>
    <w:rsid w:val="007D1192"/>
    <w:rsid w:val="007D34A9"/>
    <w:rsid w:val="0080215D"/>
    <w:rsid w:val="008219F5"/>
    <w:rsid w:val="00822B53"/>
    <w:rsid w:val="00852C29"/>
    <w:rsid w:val="008928CA"/>
    <w:rsid w:val="008A58A3"/>
    <w:rsid w:val="008B3807"/>
    <w:rsid w:val="008B5DB9"/>
    <w:rsid w:val="008B5FC8"/>
    <w:rsid w:val="008D66DB"/>
    <w:rsid w:val="008E43A3"/>
    <w:rsid w:val="00901D78"/>
    <w:rsid w:val="00902CD7"/>
    <w:rsid w:val="00931811"/>
    <w:rsid w:val="00953AB8"/>
    <w:rsid w:val="0095433E"/>
    <w:rsid w:val="00971461"/>
    <w:rsid w:val="00975AC1"/>
    <w:rsid w:val="0097797F"/>
    <w:rsid w:val="0098047B"/>
    <w:rsid w:val="00990DC0"/>
    <w:rsid w:val="009D198F"/>
    <w:rsid w:val="009D6974"/>
    <w:rsid w:val="009D71E7"/>
    <w:rsid w:val="009D735A"/>
    <w:rsid w:val="009F728B"/>
    <w:rsid w:val="00A12079"/>
    <w:rsid w:val="00A20573"/>
    <w:rsid w:val="00A30745"/>
    <w:rsid w:val="00A30870"/>
    <w:rsid w:val="00A40A17"/>
    <w:rsid w:val="00A41319"/>
    <w:rsid w:val="00A5501F"/>
    <w:rsid w:val="00A76BF2"/>
    <w:rsid w:val="00A8001B"/>
    <w:rsid w:val="00A8663C"/>
    <w:rsid w:val="00A91C2B"/>
    <w:rsid w:val="00AB047E"/>
    <w:rsid w:val="00AE00DF"/>
    <w:rsid w:val="00AE5D96"/>
    <w:rsid w:val="00AE739B"/>
    <w:rsid w:val="00B013C1"/>
    <w:rsid w:val="00B0316C"/>
    <w:rsid w:val="00B04350"/>
    <w:rsid w:val="00B23D62"/>
    <w:rsid w:val="00B2668F"/>
    <w:rsid w:val="00B336EF"/>
    <w:rsid w:val="00B47E27"/>
    <w:rsid w:val="00B611A3"/>
    <w:rsid w:val="00B85E3B"/>
    <w:rsid w:val="00B934BA"/>
    <w:rsid w:val="00B93B05"/>
    <w:rsid w:val="00B96E8F"/>
    <w:rsid w:val="00BA0B46"/>
    <w:rsid w:val="00BA2021"/>
    <w:rsid w:val="00BA2A56"/>
    <w:rsid w:val="00BB181F"/>
    <w:rsid w:val="00BC0D88"/>
    <w:rsid w:val="00BC5C38"/>
    <w:rsid w:val="00BD41D8"/>
    <w:rsid w:val="00C00E87"/>
    <w:rsid w:val="00C23941"/>
    <w:rsid w:val="00C45DA2"/>
    <w:rsid w:val="00C548BC"/>
    <w:rsid w:val="00C65849"/>
    <w:rsid w:val="00C85D6B"/>
    <w:rsid w:val="00CA1824"/>
    <w:rsid w:val="00CA65D5"/>
    <w:rsid w:val="00CC1D11"/>
    <w:rsid w:val="00CC2343"/>
    <w:rsid w:val="00CE0994"/>
    <w:rsid w:val="00CE59DC"/>
    <w:rsid w:val="00CF5A3C"/>
    <w:rsid w:val="00D01455"/>
    <w:rsid w:val="00D167C9"/>
    <w:rsid w:val="00D30119"/>
    <w:rsid w:val="00D37487"/>
    <w:rsid w:val="00D43522"/>
    <w:rsid w:val="00D43A63"/>
    <w:rsid w:val="00D44716"/>
    <w:rsid w:val="00D5132C"/>
    <w:rsid w:val="00D6374C"/>
    <w:rsid w:val="00D651C2"/>
    <w:rsid w:val="00D761EB"/>
    <w:rsid w:val="00D8017E"/>
    <w:rsid w:val="00D901FF"/>
    <w:rsid w:val="00D973E3"/>
    <w:rsid w:val="00DB79B1"/>
    <w:rsid w:val="00DD32EB"/>
    <w:rsid w:val="00DE08E5"/>
    <w:rsid w:val="00DE120E"/>
    <w:rsid w:val="00DE58BD"/>
    <w:rsid w:val="00DF451C"/>
    <w:rsid w:val="00DF4BED"/>
    <w:rsid w:val="00DF6FF8"/>
    <w:rsid w:val="00E21574"/>
    <w:rsid w:val="00E31D63"/>
    <w:rsid w:val="00E44DEF"/>
    <w:rsid w:val="00E50261"/>
    <w:rsid w:val="00E5087D"/>
    <w:rsid w:val="00E561AE"/>
    <w:rsid w:val="00E61873"/>
    <w:rsid w:val="00E62429"/>
    <w:rsid w:val="00E7540F"/>
    <w:rsid w:val="00E75F19"/>
    <w:rsid w:val="00EA7837"/>
    <w:rsid w:val="00EC429D"/>
    <w:rsid w:val="00EF3AF2"/>
    <w:rsid w:val="00EF5AA7"/>
    <w:rsid w:val="00F17AD0"/>
    <w:rsid w:val="00F26BEF"/>
    <w:rsid w:val="00F3207C"/>
    <w:rsid w:val="00F66C53"/>
    <w:rsid w:val="00F80BC7"/>
    <w:rsid w:val="00F863E5"/>
    <w:rsid w:val="00F97192"/>
    <w:rsid w:val="00FC63F0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7FE"/>
  <w15:chartTrackingRefBased/>
  <w15:docId w15:val="{906C18E3-D039-4C16-B11E-055CC861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A9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E3C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292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E3C"/>
    <w:rPr>
      <w:rFonts w:ascii="Times New Roman" w:hAnsi="Times New Roman"/>
      <w:sz w:val="28"/>
      <w:lang w:val="uk-UA"/>
    </w:rPr>
  </w:style>
  <w:style w:type="table" w:styleId="a7">
    <w:name w:val="Table Grid"/>
    <w:basedOn w:val="a1"/>
    <w:uiPriority w:val="39"/>
    <w:rsid w:val="00CC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5978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5978BB"/>
  </w:style>
  <w:style w:type="character" w:styleId="a8">
    <w:name w:val="Hyperlink"/>
    <w:basedOn w:val="a0"/>
    <w:uiPriority w:val="99"/>
    <w:semiHidden/>
    <w:unhideWhenUsed/>
    <w:rsid w:val="00612A48"/>
    <w:rPr>
      <w:color w:val="0000FF"/>
      <w:u w:val="single"/>
    </w:rPr>
  </w:style>
  <w:style w:type="paragraph" w:styleId="a9">
    <w:name w:val="Revision"/>
    <w:hidden/>
    <w:uiPriority w:val="99"/>
    <w:semiHidden/>
    <w:rsid w:val="00E75F19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customStyle="1" w:styleId="docdata">
    <w:name w:val="docdata"/>
    <w:aliases w:val="docy,v5,2685,baiaagaaboqcaaadoayaaavgbgaaaaaaaaaaaaaaaaaaaaaaaaaaaaaaaaaaaaaaaaaaaaaaaaaaaaaaaaaaaaaaaaaaaaaaaaaaaaaaaaaaaaaaaaaaaaaaaaaaaaaaaaaaaaaaaaaaaaaaaaaaaaaaaaaaaaaaaaaaaaaaaaaaaaaaaaaaaaaaaaaaaaaaaaaaaaaaaaaaaaaaaaaaaaaaaaaaaaaaaaaaaaaa"/>
    <w:basedOn w:val="a0"/>
    <w:rsid w:val="001D3D5E"/>
  </w:style>
  <w:style w:type="paragraph" w:styleId="aa">
    <w:name w:val="Balloon Text"/>
    <w:basedOn w:val="a"/>
    <w:link w:val="ab"/>
    <w:uiPriority w:val="99"/>
    <w:semiHidden/>
    <w:unhideWhenUsed/>
    <w:rsid w:val="002905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05D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289C-40A4-4C71-9F32-49BE13F7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Ребенок Александр Сергеевич</dc:creator>
  <cp:keywords/>
  <dc:description/>
  <cp:lastModifiedBy>Сергій Василига</cp:lastModifiedBy>
  <cp:revision>33</cp:revision>
  <dcterms:created xsi:type="dcterms:W3CDTF">2023-01-09T16:46:00Z</dcterms:created>
  <dcterms:modified xsi:type="dcterms:W3CDTF">2024-08-13T12:05:00Z</dcterms:modified>
</cp:coreProperties>
</file>