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3B2F9" w14:textId="35EF8483" w:rsidR="002E7E5B" w:rsidRPr="00AD6805" w:rsidRDefault="002E7E5B" w:rsidP="00A30564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AD6805">
        <w:rPr>
          <w:rFonts w:eastAsia="Times New Roman"/>
          <w:b/>
          <w:bCs/>
          <w:caps/>
          <w:color w:val="000000"/>
          <w:sz w:val="28"/>
          <w:szCs w:val="28"/>
          <w:lang w:val="uk-UA" w:eastAsia="ru-RU"/>
        </w:rPr>
        <w:t>Аналіз регуляторного впливу</w:t>
      </w:r>
    </w:p>
    <w:p w14:paraId="1E5EC637" w14:textId="62F9F09F" w:rsidR="002E7E5B" w:rsidRDefault="002E7E5B" w:rsidP="00A3056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DC7ED8">
        <w:rPr>
          <w:rFonts w:eastAsia="Times New Roman"/>
          <w:b/>
          <w:color w:val="000000"/>
          <w:sz w:val="28"/>
          <w:szCs w:val="28"/>
          <w:lang w:val="uk-UA" w:eastAsia="ru-RU"/>
        </w:rPr>
        <w:t>про</w:t>
      </w:r>
      <w:r w:rsidR="00DC7ED8">
        <w:rPr>
          <w:rFonts w:eastAsia="Times New Roman"/>
          <w:b/>
          <w:color w:val="000000"/>
          <w:sz w:val="28"/>
          <w:szCs w:val="28"/>
          <w:lang w:val="uk-UA" w:eastAsia="ru-RU"/>
        </w:rPr>
        <w:t>є</w:t>
      </w:r>
      <w:r w:rsidRPr="00DC7ED8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кту постанови Кабінету Міністрів України </w:t>
      </w:r>
      <w:r w:rsidR="00ED04A7" w:rsidRPr="00ED04A7">
        <w:rPr>
          <w:b/>
          <w:sz w:val="28"/>
          <w:szCs w:val="28"/>
          <w:lang w:val="uk-UA"/>
        </w:rPr>
        <w:t>«</w:t>
      </w:r>
      <w:r w:rsidR="00917087" w:rsidRPr="00917087">
        <w:rPr>
          <w:b/>
          <w:sz w:val="28"/>
          <w:szCs w:val="28"/>
          <w:lang w:val="uk-UA"/>
        </w:rPr>
        <w:t>Деякі питання компенсації інвестицій, внесених суб’єктами господарювання у стратегічні об’єкти портової інфраструктури, що є об’єктами державної власності</w:t>
      </w:r>
      <w:r w:rsidR="00ED04A7" w:rsidRPr="00ED04A7">
        <w:rPr>
          <w:b/>
          <w:sz w:val="28"/>
          <w:szCs w:val="28"/>
          <w:lang w:val="uk-UA"/>
        </w:rPr>
        <w:t>»</w:t>
      </w:r>
    </w:p>
    <w:p w14:paraId="62B7F91E" w14:textId="77777777" w:rsidR="00ED04A7" w:rsidRPr="005B216E" w:rsidRDefault="00ED04A7" w:rsidP="00ED04A7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14:paraId="34E6FB7B" w14:textId="384EB23D" w:rsidR="002E7E5B" w:rsidRPr="005B216E" w:rsidRDefault="002E7E5B" w:rsidP="00A30564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5B216E">
        <w:rPr>
          <w:b/>
          <w:sz w:val="28"/>
          <w:szCs w:val="28"/>
          <w:lang w:val="uk-UA"/>
        </w:rPr>
        <w:t>І. Визначення проблеми</w:t>
      </w:r>
    </w:p>
    <w:p w14:paraId="3E189F3C" w14:textId="77777777" w:rsidR="004C213B" w:rsidRPr="005B216E" w:rsidRDefault="004C213B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14:paraId="1C4A6CCF" w14:textId="4D294CDF" w:rsidR="002E7E5B" w:rsidRPr="005B216E" w:rsidRDefault="002E7E5B" w:rsidP="00A30564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216E">
        <w:rPr>
          <w:rFonts w:ascii="Times New Roman" w:hAnsi="Times New Roman"/>
          <w:sz w:val="28"/>
          <w:szCs w:val="28"/>
          <w:lang w:eastAsia="ru-RU"/>
        </w:rPr>
        <w:t xml:space="preserve">Частиною першою статті 27 Закону України «Про морські порти України» (далі – Закон) передбачено, що компенсація інвестицій, внесених суб’єктами господарювання у стратегічні об’єкти портової інфраструктури, що є об’єктами державної власності, здійснюється на підставі відповідних договорів, що укладаються </w:t>
      </w:r>
      <w:r w:rsidR="006021AB" w:rsidRPr="005B216E">
        <w:rPr>
          <w:rFonts w:ascii="Times New Roman" w:hAnsi="Times New Roman"/>
          <w:sz w:val="28"/>
          <w:szCs w:val="28"/>
          <w:lang w:eastAsia="ru-RU"/>
        </w:rPr>
        <w:t>державним підприємством</w:t>
      </w:r>
      <w:r w:rsidR="0046032B" w:rsidRPr="005B216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B216E">
        <w:rPr>
          <w:rFonts w:ascii="Times New Roman" w:hAnsi="Times New Roman"/>
          <w:sz w:val="28"/>
          <w:szCs w:val="28"/>
          <w:lang w:eastAsia="ru-RU"/>
        </w:rPr>
        <w:t>Адмініст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>раці</w:t>
      </w:r>
      <w:r w:rsidR="006021AB" w:rsidRPr="005B216E">
        <w:rPr>
          <w:rFonts w:ascii="Times New Roman" w:hAnsi="Times New Roman"/>
          <w:sz w:val="28"/>
          <w:szCs w:val="28"/>
          <w:lang w:eastAsia="ru-RU"/>
        </w:rPr>
        <w:t>я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 xml:space="preserve"> морських портів України</w:t>
      </w:r>
      <w:r w:rsidR="0046032B" w:rsidRPr="005B216E">
        <w:rPr>
          <w:rFonts w:ascii="Times New Roman" w:hAnsi="Times New Roman"/>
          <w:sz w:val="28"/>
          <w:szCs w:val="28"/>
          <w:lang w:eastAsia="ru-RU"/>
        </w:rPr>
        <w:t>»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16E">
        <w:rPr>
          <w:rFonts w:ascii="Times New Roman" w:hAnsi="Times New Roman"/>
          <w:sz w:val="28"/>
          <w:szCs w:val="28"/>
          <w:lang w:eastAsia="ru-RU"/>
        </w:rPr>
        <w:t xml:space="preserve">(далі – </w:t>
      </w:r>
      <w:r w:rsidR="0046032B" w:rsidRPr="005B216E">
        <w:rPr>
          <w:rFonts w:ascii="Times New Roman" w:hAnsi="Times New Roman"/>
          <w:sz w:val="28"/>
          <w:szCs w:val="28"/>
          <w:lang w:eastAsia="ru-RU"/>
        </w:rPr>
        <w:t>ДП «</w:t>
      </w:r>
      <w:r w:rsidRPr="005B216E">
        <w:rPr>
          <w:rFonts w:ascii="Times New Roman" w:hAnsi="Times New Roman"/>
          <w:sz w:val="28"/>
          <w:szCs w:val="28"/>
          <w:lang w:eastAsia="ru-RU"/>
        </w:rPr>
        <w:t>АМПУ</w:t>
      </w:r>
      <w:r w:rsidR="0046032B" w:rsidRPr="005B216E">
        <w:rPr>
          <w:rFonts w:ascii="Times New Roman" w:hAnsi="Times New Roman"/>
          <w:sz w:val="28"/>
          <w:szCs w:val="28"/>
          <w:lang w:eastAsia="ru-RU"/>
        </w:rPr>
        <w:t>»</w:t>
      </w:r>
      <w:r w:rsidRPr="005B216E">
        <w:rPr>
          <w:rFonts w:ascii="Times New Roman" w:hAnsi="Times New Roman"/>
          <w:sz w:val="28"/>
          <w:szCs w:val="28"/>
          <w:lang w:eastAsia="ru-RU"/>
        </w:rPr>
        <w:t>) та інвесторами в порядку та на умовах, визначених Кабінетом Міністрів України.</w:t>
      </w:r>
    </w:p>
    <w:p w14:paraId="382F2CB9" w14:textId="7D6A6FBD" w:rsidR="002E7E5B" w:rsidRPr="005B216E" w:rsidRDefault="002E7E5B" w:rsidP="00A30564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B216E">
        <w:rPr>
          <w:rFonts w:ascii="Times New Roman" w:hAnsi="Times New Roman"/>
          <w:sz w:val="28"/>
          <w:szCs w:val="28"/>
          <w:lang w:eastAsia="ru-RU"/>
        </w:rPr>
        <w:t>На виконання вищезазначен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 xml:space="preserve">их положень Закону </w:t>
      </w:r>
      <w:r w:rsidR="00806990" w:rsidRPr="00561287">
        <w:rPr>
          <w:rFonts w:ascii="Times New Roman" w:hAnsi="Times New Roman"/>
          <w:sz w:val="28"/>
          <w:szCs w:val="28"/>
        </w:rPr>
        <w:t>Мінінфраструктури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216E">
        <w:rPr>
          <w:rFonts w:ascii="Times New Roman" w:hAnsi="Times New Roman"/>
          <w:sz w:val="28"/>
          <w:szCs w:val="28"/>
          <w:lang w:eastAsia="ru-RU"/>
        </w:rPr>
        <w:t>розроб</w:t>
      </w:r>
      <w:r w:rsidR="00D80C2C" w:rsidRPr="005B216E">
        <w:rPr>
          <w:rFonts w:ascii="Times New Roman" w:hAnsi="Times New Roman"/>
          <w:sz w:val="28"/>
          <w:szCs w:val="28"/>
          <w:lang w:eastAsia="ru-RU"/>
        </w:rPr>
        <w:t>ило</w:t>
      </w:r>
      <w:r w:rsidRPr="005B216E">
        <w:rPr>
          <w:rFonts w:ascii="Times New Roman" w:hAnsi="Times New Roman"/>
          <w:sz w:val="28"/>
          <w:szCs w:val="28"/>
          <w:lang w:eastAsia="ru-RU"/>
        </w:rPr>
        <w:t xml:space="preserve"> про</w:t>
      </w:r>
      <w:r w:rsidR="008740D1">
        <w:rPr>
          <w:rFonts w:ascii="Times New Roman" w:hAnsi="Times New Roman"/>
          <w:sz w:val="28"/>
          <w:szCs w:val="28"/>
          <w:lang w:eastAsia="ru-RU"/>
        </w:rPr>
        <w:t>є</w:t>
      </w:r>
      <w:r w:rsidRPr="005B216E">
        <w:rPr>
          <w:rFonts w:ascii="Times New Roman" w:hAnsi="Times New Roman"/>
          <w:sz w:val="28"/>
          <w:szCs w:val="28"/>
          <w:lang w:eastAsia="ru-RU"/>
        </w:rPr>
        <w:t xml:space="preserve">кт постанови Кабінету Міністрів України </w:t>
      </w:r>
      <w:r w:rsidR="00ED04A7" w:rsidRPr="00ED04A7">
        <w:rPr>
          <w:rFonts w:ascii="Times New Roman" w:hAnsi="Times New Roman"/>
          <w:sz w:val="28"/>
          <w:szCs w:val="28"/>
          <w:lang w:eastAsia="ru-RU"/>
        </w:rPr>
        <w:t>«</w:t>
      </w:r>
      <w:r w:rsidR="00917087" w:rsidRPr="00917087">
        <w:rPr>
          <w:rFonts w:ascii="Times New Roman" w:hAnsi="Times New Roman"/>
          <w:sz w:val="28"/>
          <w:szCs w:val="28"/>
          <w:lang w:eastAsia="ru-RU"/>
        </w:rPr>
        <w:t>Деякі питання компенсації інвестицій, внесених суб’єктами господарювання у стратегічні об’єкти портової інфраструктури, що є об’єктами державної власності</w:t>
      </w:r>
      <w:r w:rsidR="00ED04A7" w:rsidRPr="00ED04A7">
        <w:rPr>
          <w:rFonts w:ascii="Times New Roman" w:hAnsi="Times New Roman"/>
          <w:sz w:val="28"/>
          <w:szCs w:val="28"/>
          <w:lang w:eastAsia="ru-RU"/>
        </w:rPr>
        <w:t>»</w:t>
      </w:r>
      <w:r w:rsidR="001A72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2072" w:rsidRPr="005B216E">
        <w:rPr>
          <w:rFonts w:ascii="Times New Roman" w:hAnsi="Times New Roman"/>
          <w:sz w:val="28"/>
          <w:szCs w:val="28"/>
          <w:lang w:eastAsia="ru-RU"/>
        </w:rPr>
        <w:t>(далі – про</w:t>
      </w:r>
      <w:r w:rsidR="00232072">
        <w:rPr>
          <w:rFonts w:ascii="Times New Roman" w:hAnsi="Times New Roman"/>
          <w:sz w:val="28"/>
          <w:szCs w:val="28"/>
          <w:lang w:eastAsia="ru-RU"/>
        </w:rPr>
        <w:t>є</w:t>
      </w:r>
      <w:r w:rsidR="00232072" w:rsidRPr="005B216E">
        <w:rPr>
          <w:rFonts w:ascii="Times New Roman" w:hAnsi="Times New Roman"/>
          <w:sz w:val="28"/>
          <w:szCs w:val="28"/>
          <w:lang w:eastAsia="ru-RU"/>
        </w:rPr>
        <w:t>кт акта)</w:t>
      </w:r>
      <w:r w:rsidR="002320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53938">
        <w:rPr>
          <w:rFonts w:ascii="Times New Roman" w:hAnsi="Times New Roman"/>
          <w:sz w:val="28"/>
          <w:szCs w:val="28"/>
          <w:lang w:eastAsia="ru-RU"/>
        </w:rPr>
        <w:t xml:space="preserve">яка затверджує </w:t>
      </w:r>
      <w:r w:rsidR="00ED04A7" w:rsidRPr="00ED04A7">
        <w:rPr>
          <w:rFonts w:ascii="Times New Roman" w:hAnsi="Times New Roman"/>
          <w:sz w:val="28"/>
          <w:szCs w:val="28"/>
          <w:lang w:eastAsia="ru-RU"/>
        </w:rPr>
        <w:t>Порядок та умови укладання договорів, на підставі яких здійснюється компенсація інвестицій, внесених суб’єктами господарювання у стратегічні об’єкти портової інфраструктури, що є об’єктами державної власності</w:t>
      </w:r>
      <w:r w:rsidR="00232072">
        <w:rPr>
          <w:rFonts w:ascii="Times New Roman" w:hAnsi="Times New Roman"/>
          <w:sz w:val="28"/>
          <w:szCs w:val="28"/>
          <w:lang w:eastAsia="ru-RU"/>
        </w:rPr>
        <w:t>.</w:t>
      </w:r>
      <w:r w:rsidR="00FE75F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DC30E2F" w14:textId="76BB3868" w:rsidR="00867647" w:rsidRDefault="002E7E5B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E6179">
        <w:rPr>
          <w:sz w:val="28"/>
          <w:szCs w:val="28"/>
          <w:lang w:val="uk-UA" w:eastAsia="ru-RU"/>
        </w:rPr>
        <w:t>Проблема, яку передбачається розв’язати шляхом державного регулювання,</w:t>
      </w:r>
      <w:r w:rsidR="00796ECE">
        <w:rPr>
          <w:sz w:val="28"/>
          <w:szCs w:val="28"/>
          <w:lang w:val="uk-UA" w:eastAsia="ru-RU"/>
        </w:rPr>
        <w:t xml:space="preserve"> є брак коштів в ДП «АМПУ» на реалізацію затверджених проєктів через   </w:t>
      </w:r>
      <w:r w:rsidR="00796ECE" w:rsidRPr="00AE434A">
        <w:rPr>
          <w:sz w:val="28"/>
          <w:szCs w:val="28"/>
          <w:lang w:val="uk-UA"/>
        </w:rPr>
        <w:t>недостатн</w:t>
      </w:r>
      <w:r w:rsidR="00796ECE">
        <w:rPr>
          <w:sz w:val="28"/>
          <w:szCs w:val="28"/>
          <w:lang w:val="uk-UA"/>
        </w:rPr>
        <w:t>є</w:t>
      </w:r>
      <w:r w:rsidR="00796ECE" w:rsidRPr="00AE434A">
        <w:rPr>
          <w:sz w:val="28"/>
          <w:szCs w:val="28"/>
          <w:lang w:val="uk-UA"/>
        </w:rPr>
        <w:t xml:space="preserve"> фінансування морської галузі</w:t>
      </w:r>
      <w:r w:rsidR="00796ECE">
        <w:rPr>
          <w:sz w:val="28"/>
          <w:szCs w:val="28"/>
          <w:lang w:val="uk-UA"/>
        </w:rPr>
        <w:t xml:space="preserve">. Вирішення цієї проблеми </w:t>
      </w:r>
      <w:r w:rsidRPr="008E6179">
        <w:rPr>
          <w:sz w:val="28"/>
          <w:szCs w:val="28"/>
          <w:lang w:val="uk-UA" w:eastAsia="ru-RU"/>
        </w:rPr>
        <w:t xml:space="preserve">полягає у встановленні прозорого порядку та визначенні умов, на підставі яких </w:t>
      </w:r>
      <w:r w:rsidR="00B43C15" w:rsidRPr="008E6179">
        <w:rPr>
          <w:sz w:val="28"/>
          <w:szCs w:val="28"/>
          <w:lang w:val="uk-UA" w:eastAsia="ru-RU"/>
        </w:rPr>
        <w:t>ДП</w:t>
      </w:r>
      <w:r w:rsidR="002265A8">
        <w:rPr>
          <w:sz w:val="28"/>
          <w:szCs w:val="28"/>
          <w:lang w:val="uk-UA" w:eastAsia="ru-RU"/>
        </w:rPr>
        <w:t> </w:t>
      </w:r>
      <w:r w:rsidR="00B43C15" w:rsidRPr="008E6179">
        <w:rPr>
          <w:sz w:val="28"/>
          <w:szCs w:val="28"/>
          <w:lang w:val="uk-UA" w:eastAsia="ru-RU"/>
        </w:rPr>
        <w:t>«</w:t>
      </w:r>
      <w:r w:rsidRPr="008E6179">
        <w:rPr>
          <w:sz w:val="28"/>
          <w:szCs w:val="28"/>
          <w:lang w:val="uk-UA" w:eastAsia="ru-RU"/>
        </w:rPr>
        <w:t>АМПУ</w:t>
      </w:r>
      <w:r w:rsidR="00B43C15" w:rsidRPr="008E6179">
        <w:rPr>
          <w:sz w:val="28"/>
          <w:szCs w:val="28"/>
          <w:lang w:val="uk-UA" w:eastAsia="ru-RU"/>
        </w:rPr>
        <w:t>»</w:t>
      </w:r>
      <w:r w:rsidRPr="008E6179">
        <w:rPr>
          <w:sz w:val="28"/>
          <w:szCs w:val="28"/>
          <w:lang w:val="uk-UA" w:eastAsia="ru-RU"/>
        </w:rPr>
        <w:t xml:space="preserve"> здійснюватиме суб’є</w:t>
      </w:r>
      <w:r w:rsidR="005A49C2" w:rsidRPr="008E6179">
        <w:rPr>
          <w:sz w:val="28"/>
          <w:szCs w:val="28"/>
          <w:lang w:val="uk-UA" w:eastAsia="ru-RU"/>
        </w:rPr>
        <w:t xml:space="preserve">ктам господарювання компенсацію </w:t>
      </w:r>
      <w:r w:rsidR="00B43C15" w:rsidRPr="008E6179">
        <w:rPr>
          <w:sz w:val="28"/>
          <w:szCs w:val="28"/>
          <w:shd w:val="clear" w:color="auto" w:fill="FFFFFF"/>
          <w:lang w:val="uk-UA" w:eastAsia="uk-UA"/>
        </w:rPr>
        <w:t xml:space="preserve">внесених суб’єктами господарювання (далі - інвестори) інвестицій у фінансування робіт з ремонту, </w:t>
      </w:r>
      <w:r w:rsidR="00B43C15" w:rsidRPr="008E6179">
        <w:rPr>
          <w:sz w:val="28"/>
          <w:szCs w:val="28"/>
          <w:lang w:val="uk-UA"/>
        </w:rPr>
        <w:t>модернізації, реконструкції або будівництва стратегічних об’єктів портової інфраструктури</w:t>
      </w:r>
      <w:r w:rsidR="00B43C15" w:rsidRPr="008E6179">
        <w:rPr>
          <w:sz w:val="28"/>
          <w:szCs w:val="28"/>
          <w:shd w:val="clear" w:color="auto" w:fill="FFFFFF"/>
          <w:lang w:val="uk-UA" w:eastAsia="uk-UA"/>
        </w:rPr>
        <w:t>, що є об’єктами державної власност</w:t>
      </w:r>
      <w:r w:rsidR="005A49C2" w:rsidRPr="008E6179">
        <w:rPr>
          <w:sz w:val="28"/>
          <w:szCs w:val="28"/>
          <w:shd w:val="clear" w:color="auto" w:fill="FFFFFF"/>
          <w:lang w:val="uk-UA" w:eastAsia="uk-UA"/>
        </w:rPr>
        <w:t>і (далі – об’єкти інвестування)</w:t>
      </w:r>
      <w:r w:rsidR="00BF2AAF">
        <w:rPr>
          <w:sz w:val="28"/>
          <w:szCs w:val="28"/>
          <w:shd w:val="clear" w:color="auto" w:fill="FFFFFF"/>
          <w:lang w:val="uk-UA" w:eastAsia="uk-UA"/>
        </w:rPr>
        <w:t>.</w:t>
      </w:r>
      <w:r w:rsidR="008E6179" w:rsidRPr="008E6179"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33ED68DB" w14:textId="3B32D2E4" w:rsidR="00F26944" w:rsidRPr="005B216E" w:rsidRDefault="00DA409E" w:rsidP="0067565A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 w:rsidRPr="00AE434A">
        <w:rPr>
          <w:sz w:val="28"/>
          <w:szCs w:val="28"/>
          <w:lang w:val="uk-UA"/>
        </w:rPr>
        <w:t xml:space="preserve">У зв’язку з військовою агресією </w:t>
      </w:r>
      <w:r w:rsidR="00364F6F">
        <w:rPr>
          <w:sz w:val="28"/>
          <w:szCs w:val="28"/>
          <w:lang w:val="uk-UA"/>
        </w:rPr>
        <w:t>р</w:t>
      </w:r>
      <w:r w:rsidRPr="00AE434A">
        <w:rPr>
          <w:sz w:val="28"/>
          <w:szCs w:val="28"/>
          <w:lang w:val="uk-UA"/>
        </w:rPr>
        <w:t xml:space="preserve">осійської </w:t>
      </w:r>
      <w:r w:rsidR="00364F6F">
        <w:rPr>
          <w:sz w:val="28"/>
          <w:szCs w:val="28"/>
          <w:lang w:val="uk-UA"/>
        </w:rPr>
        <w:t>ф</w:t>
      </w:r>
      <w:r w:rsidRPr="00AE434A">
        <w:rPr>
          <w:sz w:val="28"/>
          <w:szCs w:val="28"/>
          <w:lang w:val="uk-UA"/>
        </w:rPr>
        <w:t xml:space="preserve">едерації проти України нині як ніколи гостро існує проблема недостатнього фінансування морської галузі, </w:t>
      </w:r>
      <w:r w:rsidR="00862168" w:rsidRPr="00AE434A">
        <w:rPr>
          <w:rStyle w:val="docdata"/>
          <w:sz w:val="28"/>
          <w:szCs w:val="28"/>
          <w:lang w:val="uk-UA"/>
        </w:rPr>
        <w:t xml:space="preserve">що призводить до відпливу коштів з </w:t>
      </w:r>
      <w:r w:rsidR="002265A8" w:rsidRPr="00AE434A">
        <w:rPr>
          <w:rStyle w:val="docdata"/>
          <w:sz w:val="28"/>
          <w:szCs w:val="28"/>
          <w:lang w:val="uk-UA"/>
        </w:rPr>
        <w:t>ДП</w:t>
      </w:r>
      <w:r w:rsidR="002265A8">
        <w:rPr>
          <w:rStyle w:val="docdata"/>
          <w:sz w:val="28"/>
          <w:szCs w:val="28"/>
          <w:lang w:val="uk-UA"/>
        </w:rPr>
        <w:t> </w:t>
      </w:r>
      <w:r w:rsidR="002265A8" w:rsidRPr="00AE434A">
        <w:rPr>
          <w:rStyle w:val="docdata"/>
          <w:sz w:val="28"/>
          <w:szCs w:val="28"/>
          <w:lang w:val="uk-UA"/>
        </w:rPr>
        <w:t>«АМПУ»</w:t>
      </w:r>
      <w:r w:rsidR="00862168" w:rsidRPr="00AE434A">
        <w:rPr>
          <w:rStyle w:val="docdata"/>
          <w:sz w:val="28"/>
          <w:szCs w:val="28"/>
          <w:lang w:val="uk-UA"/>
        </w:rPr>
        <w:t>. Разом з цим, ДП</w:t>
      </w:r>
      <w:r w:rsidR="002265A8">
        <w:rPr>
          <w:rStyle w:val="docdata"/>
          <w:sz w:val="28"/>
          <w:szCs w:val="28"/>
          <w:lang w:val="uk-UA"/>
        </w:rPr>
        <w:t> </w:t>
      </w:r>
      <w:r w:rsidR="00862168" w:rsidRPr="00AE434A">
        <w:rPr>
          <w:rStyle w:val="docdata"/>
          <w:sz w:val="28"/>
          <w:szCs w:val="28"/>
          <w:lang w:val="uk-UA"/>
        </w:rPr>
        <w:t>«АМПУ» повинно</w:t>
      </w:r>
      <w:r w:rsidR="00862168" w:rsidRPr="005B216E">
        <w:rPr>
          <w:rStyle w:val="docdata"/>
          <w:sz w:val="28"/>
          <w:szCs w:val="28"/>
          <w:lang w:val="uk-UA"/>
        </w:rPr>
        <w:t xml:space="preserve"> забезпечувати реалізацію завдань, покладених на неї, відповідно до  Національної транспортної стратегії України на період до 2030 року, схваленої розпорядженням Кабінету Міністрів України від 30</w:t>
      </w:r>
      <w:r w:rsidR="00364F6F">
        <w:rPr>
          <w:rStyle w:val="docdata"/>
          <w:sz w:val="28"/>
          <w:szCs w:val="28"/>
          <w:lang w:val="uk-UA"/>
        </w:rPr>
        <w:t xml:space="preserve"> травня </w:t>
      </w:r>
      <w:r w:rsidR="00862168" w:rsidRPr="005B216E">
        <w:rPr>
          <w:rStyle w:val="docdata"/>
          <w:sz w:val="28"/>
          <w:szCs w:val="28"/>
          <w:lang w:val="uk-UA"/>
        </w:rPr>
        <w:t xml:space="preserve">2018 </w:t>
      </w:r>
      <w:r w:rsidR="00364F6F">
        <w:rPr>
          <w:rStyle w:val="docdata"/>
          <w:sz w:val="28"/>
          <w:szCs w:val="28"/>
          <w:lang w:val="uk-UA"/>
        </w:rPr>
        <w:t xml:space="preserve">р. </w:t>
      </w:r>
      <w:r w:rsidR="00862168" w:rsidRPr="005B216E">
        <w:rPr>
          <w:rStyle w:val="docdata"/>
          <w:sz w:val="28"/>
          <w:szCs w:val="28"/>
          <w:lang w:val="uk-UA"/>
        </w:rPr>
        <w:t>№ 430</w:t>
      </w:r>
      <w:r w:rsidR="0067565A">
        <w:rPr>
          <w:rStyle w:val="docdata"/>
          <w:sz w:val="28"/>
          <w:szCs w:val="28"/>
          <w:lang w:val="uk-UA"/>
        </w:rPr>
        <w:t>,</w:t>
      </w:r>
      <w:r w:rsidR="00364F6F">
        <w:rPr>
          <w:rStyle w:val="docdata"/>
          <w:sz w:val="28"/>
          <w:szCs w:val="28"/>
          <w:lang w:val="uk-UA"/>
        </w:rPr>
        <w:t xml:space="preserve"> та</w:t>
      </w:r>
      <w:r w:rsidR="00862168" w:rsidRPr="005B216E">
        <w:rPr>
          <w:rStyle w:val="docdata"/>
          <w:sz w:val="28"/>
          <w:szCs w:val="28"/>
          <w:lang w:val="uk-UA"/>
        </w:rPr>
        <w:t xml:space="preserve"> Стратегії розвитку морських портів України до 2038 року, затвердженої розпорядженням Кабінету Міністрів України від 11</w:t>
      </w:r>
      <w:r w:rsidR="00364F6F">
        <w:rPr>
          <w:rStyle w:val="docdata"/>
          <w:sz w:val="28"/>
          <w:szCs w:val="28"/>
          <w:lang w:val="uk-UA"/>
        </w:rPr>
        <w:t xml:space="preserve"> липня </w:t>
      </w:r>
      <w:r w:rsidR="00862168" w:rsidRPr="005B216E">
        <w:rPr>
          <w:rStyle w:val="docdata"/>
          <w:sz w:val="28"/>
          <w:szCs w:val="28"/>
          <w:lang w:val="uk-UA"/>
        </w:rPr>
        <w:t xml:space="preserve">2013 </w:t>
      </w:r>
      <w:r w:rsidR="00364F6F">
        <w:rPr>
          <w:rStyle w:val="docdata"/>
          <w:sz w:val="28"/>
          <w:szCs w:val="28"/>
          <w:lang w:val="uk-UA"/>
        </w:rPr>
        <w:t xml:space="preserve">р. </w:t>
      </w:r>
      <w:r w:rsidR="00862168" w:rsidRPr="005B216E">
        <w:rPr>
          <w:rStyle w:val="docdata"/>
          <w:sz w:val="28"/>
          <w:szCs w:val="28"/>
          <w:lang w:val="uk-UA"/>
        </w:rPr>
        <w:t>№ 548</w:t>
      </w:r>
      <w:r w:rsidR="00364F6F">
        <w:rPr>
          <w:rStyle w:val="docdata"/>
          <w:sz w:val="28"/>
          <w:szCs w:val="28"/>
          <w:lang w:val="uk-UA"/>
        </w:rPr>
        <w:t xml:space="preserve"> </w:t>
      </w:r>
      <w:r w:rsidR="00364F6F" w:rsidRPr="00364F6F">
        <w:rPr>
          <w:rStyle w:val="docdata"/>
          <w:sz w:val="28"/>
          <w:szCs w:val="28"/>
          <w:lang w:val="uk-UA"/>
        </w:rPr>
        <w:t>(в редакції розпорядження Кабінету Міністрів України</w:t>
      </w:r>
      <w:r w:rsidR="00364F6F">
        <w:rPr>
          <w:rStyle w:val="docdata"/>
          <w:sz w:val="28"/>
          <w:szCs w:val="28"/>
          <w:lang w:val="uk-UA"/>
        </w:rPr>
        <w:t xml:space="preserve"> </w:t>
      </w:r>
      <w:r w:rsidR="00364F6F" w:rsidRPr="00364F6F">
        <w:rPr>
          <w:rStyle w:val="docdata"/>
          <w:sz w:val="28"/>
          <w:szCs w:val="28"/>
          <w:lang w:val="uk-UA"/>
        </w:rPr>
        <w:t xml:space="preserve">від 23 грудня 2020 р. </w:t>
      </w:r>
      <w:r w:rsidR="00364F6F">
        <w:rPr>
          <w:rStyle w:val="docdata"/>
          <w:sz w:val="28"/>
          <w:szCs w:val="28"/>
          <w:lang w:val="uk-UA"/>
        </w:rPr>
        <w:br/>
      </w:r>
      <w:r w:rsidR="00364F6F" w:rsidRPr="00364F6F">
        <w:rPr>
          <w:rStyle w:val="docdata"/>
          <w:sz w:val="28"/>
          <w:szCs w:val="28"/>
          <w:lang w:val="uk-UA"/>
        </w:rPr>
        <w:t>№ 1634)</w:t>
      </w:r>
      <w:r w:rsidR="00862168" w:rsidRPr="005B216E">
        <w:rPr>
          <w:rStyle w:val="docdata"/>
          <w:sz w:val="28"/>
          <w:szCs w:val="28"/>
          <w:lang w:val="uk-UA"/>
        </w:rPr>
        <w:t xml:space="preserve">. </w:t>
      </w:r>
    </w:p>
    <w:p w14:paraId="568930E7" w14:textId="527E824F" w:rsidR="005A49C2" w:rsidRPr="005B216E" w:rsidRDefault="00F26944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lastRenderedPageBreak/>
        <w:t xml:space="preserve">Окрім того, </w:t>
      </w:r>
      <w:r w:rsidR="005A49C2" w:rsidRPr="005B216E">
        <w:rPr>
          <w:sz w:val="28"/>
          <w:szCs w:val="28"/>
          <w:lang w:val="uk-UA"/>
        </w:rPr>
        <w:t xml:space="preserve">перед </w:t>
      </w:r>
      <w:r w:rsidR="009D4FC3">
        <w:rPr>
          <w:sz w:val="28"/>
          <w:szCs w:val="28"/>
          <w:lang w:val="uk-UA"/>
        </w:rPr>
        <w:t>ДП «АМПУ»</w:t>
      </w:r>
      <w:r w:rsidR="005A49C2" w:rsidRPr="005B216E">
        <w:rPr>
          <w:sz w:val="28"/>
          <w:szCs w:val="28"/>
          <w:lang w:val="uk-UA"/>
        </w:rPr>
        <w:t xml:space="preserve"> гостро стоїть питання браку коштів для реалізації про</w:t>
      </w:r>
      <w:r w:rsidR="00926051">
        <w:rPr>
          <w:sz w:val="28"/>
          <w:szCs w:val="28"/>
          <w:lang w:val="uk-UA"/>
        </w:rPr>
        <w:t>є</w:t>
      </w:r>
      <w:r w:rsidR="005A49C2" w:rsidRPr="005B216E">
        <w:rPr>
          <w:sz w:val="28"/>
          <w:szCs w:val="28"/>
          <w:lang w:val="uk-UA"/>
        </w:rPr>
        <w:t xml:space="preserve">ктів реконструкції та підтримки </w:t>
      </w:r>
      <w:r w:rsidR="00536985" w:rsidRPr="005B216E">
        <w:rPr>
          <w:sz w:val="28"/>
          <w:szCs w:val="28"/>
          <w:lang w:val="uk-UA"/>
        </w:rPr>
        <w:t>портової</w:t>
      </w:r>
      <w:r w:rsidR="005A49C2" w:rsidRPr="005B216E">
        <w:rPr>
          <w:sz w:val="28"/>
          <w:szCs w:val="28"/>
          <w:lang w:val="uk-UA"/>
        </w:rPr>
        <w:t xml:space="preserve"> інфраструктури</w:t>
      </w:r>
      <w:r w:rsidR="00536985" w:rsidRPr="005B216E">
        <w:rPr>
          <w:sz w:val="28"/>
          <w:szCs w:val="28"/>
          <w:lang w:val="uk-UA"/>
        </w:rPr>
        <w:t>, у тому числі причальної</w:t>
      </w:r>
      <w:r w:rsidR="005A49C2" w:rsidRPr="005B216E">
        <w:rPr>
          <w:sz w:val="28"/>
          <w:szCs w:val="28"/>
          <w:lang w:val="uk-UA"/>
        </w:rPr>
        <w:t xml:space="preserve">. </w:t>
      </w:r>
      <w:r w:rsidR="00536985" w:rsidRPr="005B216E">
        <w:rPr>
          <w:sz w:val="28"/>
          <w:szCs w:val="28"/>
          <w:lang w:val="uk-UA"/>
        </w:rPr>
        <w:t>Так, наприклад, н</w:t>
      </w:r>
      <w:r w:rsidR="005A49C2" w:rsidRPr="005B216E">
        <w:rPr>
          <w:sz w:val="28"/>
          <w:szCs w:val="28"/>
          <w:lang w:val="uk-UA"/>
        </w:rPr>
        <w:t>а балансі ДП «</w:t>
      </w:r>
      <w:r w:rsidR="00536985" w:rsidRPr="005B216E">
        <w:rPr>
          <w:sz w:val="28"/>
          <w:szCs w:val="28"/>
          <w:lang w:val="uk-UA" w:eastAsia="ru-RU"/>
        </w:rPr>
        <w:t>АМПУ</w:t>
      </w:r>
      <w:r w:rsidR="005A49C2" w:rsidRPr="005B216E">
        <w:rPr>
          <w:sz w:val="28"/>
          <w:szCs w:val="28"/>
          <w:lang w:val="uk-UA"/>
        </w:rPr>
        <w:t>» обліковуються 265</w:t>
      </w:r>
      <w:r w:rsidR="002265A8">
        <w:rPr>
          <w:sz w:val="28"/>
          <w:szCs w:val="28"/>
          <w:lang w:val="uk-UA"/>
        </w:rPr>
        <w:t> </w:t>
      </w:r>
      <w:r w:rsidR="005A49C2" w:rsidRPr="005B216E">
        <w:rPr>
          <w:sz w:val="28"/>
          <w:szCs w:val="28"/>
          <w:lang w:val="uk-UA"/>
        </w:rPr>
        <w:t xml:space="preserve">причалів (вантажні, допоміжні, пасажирські), розташовані в 13 морських портах України, з яких: 20 - не придатні до нормальної експлуатації; </w:t>
      </w:r>
      <w:r w:rsidR="0067565A">
        <w:rPr>
          <w:sz w:val="28"/>
          <w:szCs w:val="28"/>
          <w:lang w:val="uk-UA"/>
        </w:rPr>
        <w:br/>
      </w:r>
      <w:r w:rsidR="005A49C2" w:rsidRPr="005B216E">
        <w:rPr>
          <w:sz w:val="28"/>
          <w:szCs w:val="28"/>
          <w:lang w:val="uk-UA"/>
        </w:rPr>
        <w:t xml:space="preserve">37 - потребують значних капіталовкладень в найближчі 5 років; більше </w:t>
      </w:r>
      <w:r w:rsidR="0067565A">
        <w:rPr>
          <w:sz w:val="28"/>
          <w:szCs w:val="28"/>
          <w:lang w:val="uk-UA"/>
        </w:rPr>
        <w:br/>
      </w:r>
      <w:r w:rsidR="005A49C2" w:rsidRPr="005B216E">
        <w:rPr>
          <w:sz w:val="28"/>
          <w:szCs w:val="28"/>
          <w:lang w:val="uk-UA"/>
        </w:rPr>
        <w:t>50 - працюють з низькою економічною ефективністю</w:t>
      </w:r>
      <w:r w:rsidR="00BD4FF2">
        <w:rPr>
          <w:sz w:val="28"/>
          <w:szCs w:val="28"/>
          <w:lang w:val="uk-UA"/>
        </w:rPr>
        <w:t xml:space="preserve"> (наведені дані </w:t>
      </w:r>
      <w:r w:rsidR="001544D8">
        <w:rPr>
          <w:sz w:val="28"/>
          <w:szCs w:val="28"/>
          <w:lang w:val="uk-UA"/>
        </w:rPr>
        <w:t>станом до 24.02.2022)</w:t>
      </w:r>
      <w:r w:rsidR="005A49C2" w:rsidRPr="005B216E">
        <w:rPr>
          <w:sz w:val="28"/>
          <w:szCs w:val="28"/>
          <w:lang w:val="uk-UA"/>
        </w:rPr>
        <w:t>.</w:t>
      </w:r>
      <w:r w:rsidR="00C23AEB">
        <w:rPr>
          <w:sz w:val="28"/>
          <w:szCs w:val="28"/>
          <w:lang w:val="uk-UA"/>
        </w:rPr>
        <w:t xml:space="preserve"> </w:t>
      </w:r>
    </w:p>
    <w:p w14:paraId="6825E402" w14:textId="33CDD11B" w:rsidR="005A49C2" w:rsidRPr="00364F6F" w:rsidRDefault="005A49C2" w:rsidP="0067565A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t>Переважна більшість причалів експлуатуються вже понад 25 років</w:t>
      </w:r>
      <w:r w:rsidR="0067565A">
        <w:rPr>
          <w:sz w:val="28"/>
          <w:szCs w:val="28"/>
          <w:lang w:val="uk-UA"/>
        </w:rPr>
        <w:t xml:space="preserve">, значній кількості </w:t>
      </w:r>
      <w:r w:rsidRPr="005B216E">
        <w:rPr>
          <w:sz w:val="28"/>
          <w:szCs w:val="28"/>
          <w:lang w:val="uk-UA"/>
        </w:rPr>
        <w:t>яких більше 50 років, що обумовлює необхідність відновлення їх технічного стану шляхом ремонту або реконструкції. Така ситуація з часом може зумовити загальне погіршення технічного стану причалів, збільшення кількості причалів з обмеженнями режиму експлуатації і навантажень, а також збільшення кількості непридатних до нормальної експлуатації причалів, які на даний час генерують кошти, відсоток від яких сплачується до державного бюджету у вигляді дивідендів.</w:t>
      </w:r>
    </w:p>
    <w:p w14:paraId="46F5BBE2" w14:textId="5073366B" w:rsidR="00F53575" w:rsidRPr="00364F6F" w:rsidRDefault="00F53575" w:rsidP="00A30564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 w:rsidRPr="00364F6F">
        <w:rPr>
          <w:rStyle w:val="docdata"/>
          <w:sz w:val="28"/>
          <w:szCs w:val="28"/>
          <w:lang w:val="uk-UA"/>
        </w:rPr>
        <w:t>За попередніми розрахунками, в період до початку військових дій на території України, потреба ДП «АМПУ» у фінансуванні про</w:t>
      </w:r>
      <w:r w:rsidR="00926051">
        <w:rPr>
          <w:rStyle w:val="docdata"/>
          <w:sz w:val="28"/>
          <w:szCs w:val="28"/>
          <w:lang w:val="uk-UA"/>
        </w:rPr>
        <w:t>є</w:t>
      </w:r>
      <w:r w:rsidRPr="00364F6F">
        <w:rPr>
          <w:rStyle w:val="docdata"/>
          <w:sz w:val="28"/>
          <w:szCs w:val="28"/>
          <w:lang w:val="uk-UA"/>
        </w:rPr>
        <w:t>ктів з реконструкції, модернізації та будівництва лише причалів (понад 48 про</w:t>
      </w:r>
      <w:r w:rsidR="00926051">
        <w:rPr>
          <w:rStyle w:val="docdata"/>
          <w:sz w:val="28"/>
          <w:szCs w:val="28"/>
          <w:lang w:val="uk-UA"/>
        </w:rPr>
        <w:t>є</w:t>
      </w:r>
      <w:r w:rsidRPr="00364F6F">
        <w:rPr>
          <w:rStyle w:val="docdata"/>
          <w:sz w:val="28"/>
          <w:szCs w:val="28"/>
          <w:lang w:val="uk-UA"/>
        </w:rPr>
        <w:t>ктів, з яких 36 з реконструкції та модернізації) оцінювалась на рівні 12 млрд грн на 4 рок</w:t>
      </w:r>
      <w:r w:rsidR="00364F6F" w:rsidRPr="00364F6F">
        <w:rPr>
          <w:rStyle w:val="docdata"/>
          <w:sz w:val="28"/>
          <w:szCs w:val="28"/>
          <w:lang w:val="uk-UA"/>
        </w:rPr>
        <w:t>и</w:t>
      </w:r>
      <w:r w:rsidRPr="00364F6F">
        <w:rPr>
          <w:rStyle w:val="docdata"/>
          <w:sz w:val="28"/>
          <w:szCs w:val="28"/>
          <w:lang w:val="uk-UA"/>
        </w:rPr>
        <w:t>.</w:t>
      </w:r>
    </w:p>
    <w:p w14:paraId="341C70A7" w14:textId="69776BFB" w:rsidR="00F53575" w:rsidRPr="00364F6F" w:rsidRDefault="00F53575" w:rsidP="00A30564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 w:rsidRPr="00364F6F">
        <w:rPr>
          <w:rStyle w:val="docdata"/>
          <w:sz w:val="28"/>
          <w:szCs w:val="28"/>
          <w:lang w:val="uk-UA"/>
        </w:rPr>
        <w:t xml:space="preserve">Проте враховуючи окупацію </w:t>
      </w:r>
      <w:r w:rsidR="00ED04A7">
        <w:rPr>
          <w:rStyle w:val="docdata"/>
          <w:sz w:val="28"/>
          <w:szCs w:val="28"/>
          <w:lang w:val="uk-UA"/>
        </w:rPr>
        <w:t>3</w:t>
      </w:r>
      <w:r w:rsidRPr="00364F6F">
        <w:rPr>
          <w:rStyle w:val="docdata"/>
          <w:sz w:val="28"/>
          <w:szCs w:val="28"/>
          <w:lang w:val="uk-UA"/>
        </w:rPr>
        <w:t xml:space="preserve"> континентальних морських портів, а також наявність постійних ракетних ударів збоку російської федерації по території України, в тому числі південних регіонів зростає кількість пошкоджених об’єктів інфраструктури. </w:t>
      </w:r>
    </w:p>
    <w:p w14:paraId="0A646347" w14:textId="43A7D70D" w:rsidR="005A6FCE" w:rsidRPr="00364F6F" w:rsidRDefault="00F53575" w:rsidP="0067565A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 w:rsidRPr="00364F6F">
        <w:rPr>
          <w:rStyle w:val="docdata"/>
          <w:sz w:val="28"/>
          <w:szCs w:val="28"/>
          <w:lang w:val="uk-UA"/>
        </w:rPr>
        <w:t xml:space="preserve">Оцінку фактичного пошкодженого та знищеного майна, </w:t>
      </w:r>
      <w:r w:rsidR="005A6FCE" w:rsidRPr="00364F6F">
        <w:rPr>
          <w:rStyle w:val="docdata"/>
          <w:sz w:val="28"/>
          <w:szCs w:val="28"/>
          <w:lang w:val="uk-UA"/>
        </w:rPr>
        <w:t xml:space="preserve">в тому чисті стратегічних об’єктів портової інфраструктури можливо буде здійснити після завершення бойових дій на території </w:t>
      </w:r>
      <w:r w:rsidR="00364F6F" w:rsidRPr="00364F6F">
        <w:rPr>
          <w:rStyle w:val="docdata"/>
          <w:sz w:val="28"/>
          <w:szCs w:val="28"/>
          <w:lang w:val="uk-UA"/>
        </w:rPr>
        <w:t>України</w:t>
      </w:r>
      <w:r w:rsidR="0067565A">
        <w:rPr>
          <w:rStyle w:val="docdata"/>
          <w:sz w:val="28"/>
          <w:szCs w:val="28"/>
          <w:lang w:val="uk-UA"/>
        </w:rPr>
        <w:t xml:space="preserve">. Отже, </w:t>
      </w:r>
      <w:r w:rsidR="005A6FCE" w:rsidRPr="00364F6F">
        <w:rPr>
          <w:rStyle w:val="docdata"/>
          <w:sz w:val="28"/>
          <w:szCs w:val="28"/>
          <w:lang w:val="uk-UA"/>
        </w:rPr>
        <w:t>за результатами проведеної оцінк</w:t>
      </w:r>
      <w:r w:rsidR="00364F6F" w:rsidRPr="00364F6F">
        <w:rPr>
          <w:rStyle w:val="docdata"/>
          <w:sz w:val="28"/>
          <w:szCs w:val="28"/>
          <w:lang w:val="uk-UA"/>
        </w:rPr>
        <w:t>и</w:t>
      </w:r>
      <w:r w:rsidR="005A6FCE" w:rsidRPr="00364F6F">
        <w:rPr>
          <w:rStyle w:val="docdata"/>
          <w:sz w:val="28"/>
          <w:szCs w:val="28"/>
          <w:lang w:val="uk-UA"/>
        </w:rPr>
        <w:t xml:space="preserve"> потреба ДП «АМПУ» в фінансуванні не тільки нових та реконструкції наявних об’єктів, а й відновленні і відбудови зруйнованих зросте в декілька разів. </w:t>
      </w:r>
    </w:p>
    <w:p w14:paraId="14BCE8BA" w14:textId="5664E235" w:rsidR="00F53575" w:rsidRPr="00364F6F" w:rsidRDefault="0067565A" w:rsidP="00A30564">
      <w:pPr>
        <w:spacing w:after="0" w:line="240" w:lineRule="auto"/>
        <w:ind w:firstLine="567"/>
        <w:jc w:val="both"/>
        <w:rPr>
          <w:rStyle w:val="docdata"/>
          <w:sz w:val="28"/>
          <w:szCs w:val="28"/>
          <w:lang w:val="uk-UA"/>
        </w:rPr>
      </w:pPr>
      <w:r>
        <w:rPr>
          <w:rStyle w:val="docdata"/>
          <w:sz w:val="28"/>
          <w:szCs w:val="28"/>
          <w:lang w:val="uk-UA"/>
        </w:rPr>
        <w:t>З</w:t>
      </w:r>
      <w:r w:rsidR="005A6FCE" w:rsidRPr="00364F6F">
        <w:rPr>
          <w:rStyle w:val="docdata"/>
          <w:sz w:val="28"/>
          <w:szCs w:val="28"/>
          <w:lang w:val="uk-UA"/>
        </w:rPr>
        <w:t xml:space="preserve">апровадження такого механізму на сьогодні, як ніколи є актуальним і необхідним для відновлення нормального та повноцінного функціонування </w:t>
      </w:r>
      <w:proofErr w:type="spellStart"/>
      <w:r w:rsidR="005A6FCE" w:rsidRPr="00364F6F">
        <w:rPr>
          <w:rStyle w:val="docdata"/>
          <w:sz w:val="28"/>
          <w:szCs w:val="28"/>
          <w:lang w:val="uk-UA"/>
        </w:rPr>
        <w:t>морегосподарського</w:t>
      </w:r>
      <w:proofErr w:type="spellEnd"/>
      <w:r w:rsidR="005A6FCE" w:rsidRPr="00364F6F">
        <w:rPr>
          <w:rStyle w:val="docdata"/>
          <w:sz w:val="28"/>
          <w:szCs w:val="28"/>
          <w:lang w:val="uk-UA"/>
        </w:rPr>
        <w:t xml:space="preserve"> комплексу. </w:t>
      </w:r>
    </w:p>
    <w:p w14:paraId="025177CC" w14:textId="5518415F" w:rsidR="00536985" w:rsidRPr="005B216E" w:rsidRDefault="00536985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t>Окрім причалів, З</w:t>
      </w:r>
      <w:r w:rsidR="00063159">
        <w:rPr>
          <w:sz w:val="28"/>
          <w:szCs w:val="28"/>
          <w:lang w:val="uk-UA"/>
        </w:rPr>
        <w:t xml:space="preserve">акон </w:t>
      </w:r>
      <w:r w:rsidRPr="005B216E">
        <w:rPr>
          <w:sz w:val="28"/>
          <w:szCs w:val="28"/>
          <w:lang w:val="uk-UA"/>
        </w:rPr>
        <w:t>до стратегічних об’єктів портової інфраструктури</w:t>
      </w:r>
      <w:r w:rsidR="00862168" w:rsidRPr="005B216E">
        <w:rPr>
          <w:sz w:val="28"/>
          <w:szCs w:val="28"/>
          <w:lang w:val="uk-UA"/>
        </w:rPr>
        <w:t xml:space="preserve"> </w:t>
      </w:r>
      <w:r w:rsidRPr="005B216E">
        <w:rPr>
          <w:sz w:val="28"/>
          <w:szCs w:val="28"/>
          <w:lang w:val="uk-UA"/>
        </w:rPr>
        <w:t>відносить акваторії, пірси, інші види причальних споруд, моли, дамби, хвилеломи, інші берегозахисні споруди, підводні споруди штучного та природного походження, у тому числі канали, операційні акваторії причалів, якірні стоянки, залізничні та автомобільні під’їзні шляхи, лінії зв’язку, засоби тепло-, газо-, водо- та електропостачання, інженерні комунікації, інші об’єкти, що забезпечують діяльність двох і більше суб’єктів г</w:t>
      </w:r>
      <w:r w:rsidR="00862168" w:rsidRPr="005B216E">
        <w:rPr>
          <w:sz w:val="28"/>
          <w:szCs w:val="28"/>
          <w:lang w:val="uk-UA"/>
        </w:rPr>
        <w:t>осподарювання у морському порту.</w:t>
      </w:r>
    </w:p>
    <w:p w14:paraId="67C9EE41" w14:textId="494B1019" w:rsidR="0067565A" w:rsidRPr="0067565A" w:rsidRDefault="005A49C2" w:rsidP="0067565A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67565A">
        <w:rPr>
          <w:sz w:val="28"/>
          <w:szCs w:val="28"/>
          <w:lang w:val="uk-UA"/>
        </w:rPr>
        <w:lastRenderedPageBreak/>
        <w:t xml:space="preserve">З огляду на </w:t>
      </w:r>
      <w:r w:rsidR="0067565A" w:rsidRPr="0067565A">
        <w:rPr>
          <w:sz w:val="28"/>
          <w:szCs w:val="28"/>
          <w:lang w:val="uk-UA"/>
        </w:rPr>
        <w:t>зазначене,</w:t>
      </w:r>
      <w:r w:rsidRPr="0067565A">
        <w:rPr>
          <w:sz w:val="28"/>
          <w:szCs w:val="28"/>
          <w:lang w:val="uk-UA"/>
        </w:rPr>
        <w:t xml:space="preserve"> Мінінфраструктури </w:t>
      </w:r>
      <w:r w:rsidR="0067565A" w:rsidRPr="0067565A">
        <w:rPr>
          <w:sz w:val="28"/>
          <w:szCs w:val="28"/>
          <w:lang w:val="uk-UA"/>
        </w:rPr>
        <w:t>розроблено проєкт</w:t>
      </w:r>
      <w:r w:rsidR="0067565A">
        <w:rPr>
          <w:sz w:val="28"/>
          <w:szCs w:val="28"/>
          <w:lang w:val="uk-UA"/>
        </w:rPr>
        <w:t xml:space="preserve"> постанови </w:t>
      </w:r>
      <w:r w:rsidR="0067565A" w:rsidRPr="0067565A">
        <w:rPr>
          <w:sz w:val="28"/>
          <w:szCs w:val="28"/>
          <w:lang w:val="uk-UA"/>
        </w:rPr>
        <w:t>Кабінету Міністрів України «Деякі питання компенсації інвестицій, внесених суб’єктами господарювання у стратегічні об’єкти портової інфраструктури, що є об’єктами державної власності»</w:t>
      </w:r>
      <w:r w:rsidR="0067565A">
        <w:rPr>
          <w:sz w:val="28"/>
          <w:szCs w:val="28"/>
          <w:lang w:val="uk-UA"/>
        </w:rPr>
        <w:t xml:space="preserve"> (далі – регуляторний акт).</w:t>
      </w:r>
    </w:p>
    <w:p w14:paraId="5FD01C20" w14:textId="0160B0AC" w:rsidR="00A30564" w:rsidRDefault="00A30564" w:rsidP="0067565A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A37286C" w14:textId="434C43C1" w:rsidR="00D80C2C" w:rsidRPr="009C3AF9" w:rsidRDefault="009C3AF9" w:rsidP="00A30564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color w:val="auto"/>
          <w:sz w:val="28"/>
          <w:szCs w:val="28"/>
          <w:lang w:eastAsia="uk-UA"/>
        </w:rPr>
      </w:pPr>
      <w:r w:rsidRPr="009C3AF9">
        <w:rPr>
          <w:rFonts w:ascii="Times New Roman" w:hAnsi="Times New Roman"/>
          <w:sz w:val="28"/>
          <w:szCs w:val="28"/>
        </w:rPr>
        <w:t>Основні</w:t>
      </w:r>
      <w:r w:rsidRPr="009C3AF9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групи</w:t>
      </w:r>
      <w:r w:rsidRPr="009C3AF9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(підгрупи),</w:t>
      </w:r>
      <w:r w:rsidRPr="009C3AF9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на</w:t>
      </w:r>
      <w:r w:rsidRPr="009C3AF9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які</w:t>
      </w:r>
      <w:r w:rsidRPr="009C3AF9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проблема</w:t>
      </w:r>
      <w:r w:rsidRPr="009C3AF9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9C3AF9">
        <w:rPr>
          <w:rFonts w:ascii="Times New Roman" w:hAnsi="Times New Roman"/>
          <w:sz w:val="28"/>
          <w:szCs w:val="28"/>
        </w:rPr>
        <w:t>справляє</w:t>
      </w:r>
      <w:r w:rsidRPr="009C3AF9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9C3AF9">
        <w:rPr>
          <w:rFonts w:ascii="Times New Roman" w:hAnsi="Times New Roman"/>
          <w:spacing w:val="-2"/>
          <w:sz w:val="28"/>
          <w:szCs w:val="28"/>
        </w:rPr>
        <w:t>вплив</w:t>
      </w:r>
      <w:r w:rsidR="002E7E5B" w:rsidRPr="009C3AF9">
        <w:rPr>
          <w:rFonts w:ascii="Times New Roman" w:hAnsi="Times New Roman"/>
          <w:color w:val="auto"/>
          <w:sz w:val="28"/>
          <w:szCs w:val="28"/>
          <w:lang w:eastAsia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346"/>
        <w:gridCol w:w="3035"/>
      </w:tblGrid>
      <w:tr w:rsidR="002E7E5B" w:rsidRPr="005B216E" w14:paraId="69CE94B1" w14:textId="77777777" w:rsidTr="002A3ABB">
        <w:tc>
          <w:tcPr>
            <w:tcW w:w="3964" w:type="dxa"/>
          </w:tcPr>
          <w:p w14:paraId="41168995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2346" w:type="dxa"/>
          </w:tcPr>
          <w:p w14:paraId="18A8E482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3035" w:type="dxa"/>
          </w:tcPr>
          <w:p w14:paraId="22531EBA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Ні</w:t>
            </w:r>
          </w:p>
        </w:tc>
      </w:tr>
      <w:tr w:rsidR="002E7E5B" w:rsidRPr="005B216E" w14:paraId="69EF64A7" w14:textId="77777777" w:rsidTr="002A3ABB">
        <w:tc>
          <w:tcPr>
            <w:tcW w:w="3964" w:type="dxa"/>
          </w:tcPr>
          <w:p w14:paraId="352B4350" w14:textId="77777777" w:rsidR="002E7E5B" w:rsidRPr="005B216E" w:rsidRDefault="002E7E5B" w:rsidP="003621AF">
            <w:pPr>
              <w:spacing w:after="0" w:line="24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2346" w:type="dxa"/>
          </w:tcPr>
          <w:p w14:paraId="57C214F3" w14:textId="77777777" w:rsidR="002E7E5B" w:rsidRPr="005B216E" w:rsidRDefault="00D80C2C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035" w:type="dxa"/>
          </w:tcPr>
          <w:p w14:paraId="4BAA93A8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2E7E5B" w:rsidRPr="005B216E" w14:paraId="561A405E" w14:textId="77777777" w:rsidTr="002A3ABB">
        <w:tc>
          <w:tcPr>
            <w:tcW w:w="3964" w:type="dxa"/>
          </w:tcPr>
          <w:p w14:paraId="1FF54598" w14:textId="77777777" w:rsidR="002E7E5B" w:rsidRPr="005B216E" w:rsidRDefault="002E7E5B" w:rsidP="003621AF">
            <w:pPr>
              <w:spacing w:after="0" w:line="24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2346" w:type="dxa"/>
          </w:tcPr>
          <w:p w14:paraId="1F7B936A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035" w:type="dxa"/>
          </w:tcPr>
          <w:p w14:paraId="62D31003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2E7E5B" w:rsidRPr="005B216E" w14:paraId="11379C8A" w14:textId="77777777" w:rsidTr="002A3ABB">
        <w:tc>
          <w:tcPr>
            <w:tcW w:w="3964" w:type="dxa"/>
          </w:tcPr>
          <w:p w14:paraId="48244AF6" w14:textId="77777777" w:rsidR="002E7E5B" w:rsidRPr="005B216E" w:rsidRDefault="002E7E5B" w:rsidP="003621AF">
            <w:pPr>
              <w:spacing w:after="0" w:line="24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2346" w:type="dxa"/>
          </w:tcPr>
          <w:p w14:paraId="335CA007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3035" w:type="dxa"/>
          </w:tcPr>
          <w:p w14:paraId="0373EC29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5B216E">
              <w:rPr>
                <w:bCs/>
                <w:sz w:val="28"/>
                <w:szCs w:val="28"/>
                <w:lang w:val="uk-UA"/>
              </w:rPr>
              <w:t>-</w:t>
            </w:r>
          </w:p>
        </w:tc>
      </w:tr>
      <w:tr w:rsidR="002E7E5B" w:rsidRPr="005B216E" w14:paraId="01425C7B" w14:textId="77777777" w:rsidTr="002A3A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2417" w14:textId="77777777" w:rsidR="002E7E5B" w:rsidRPr="005B216E" w:rsidRDefault="002E7E5B" w:rsidP="003621AF">
            <w:pPr>
              <w:spacing w:after="0" w:line="240" w:lineRule="auto"/>
              <w:jc w:val="both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B216E">
              <w:rPr>
                <w:bCs/>
                <w:color w:val="000000" w:themeColor="text1"/>
                <w:sz w:val="28"/>
                <w:szCs w:val="28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448B" w14:textId="77777777" w:rsidR="002E7E5B" w:rsidRPr="005B216E" w:rsidRDefault="002E7E5B" w:rsidP="003621AF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5B216E">
              <w:rPr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7F8F" w14:textId="18AB0848" w:rsidR="002E7E5B" w:rsidRPr="005B216E" w:rsidRDefault="003A5BEC" w:rsidP="003621AF">
            <w:pPr>
              <w:spacing w:after="0" w:line="240" w:lineRule="auto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+</w:t>
            </w:r>
          </w:p>
        </w:tc>
      </w:tr>
    </w:tbl>
    <w:p w14:paraId="3FDFA3DC" w14:textId="77777777" w:rsidR="00BA649B" w:rsidRPr="00BA649B" w:rsidRDefault="00BA649B" w:rsidP="00A30564">
      <w:pPr>
        <w:pStyle w:val="af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BA649B">
        <w:rPr>
          <w:sz w:val="28"/>
          <w:szCs w:val="28"/>
          <w:lang w:val="uk-UA"/>
        </w:rPr>
        <w:t>Врегулювання зазначених проблемних питань не може бути здійснено за допомогою:</w:t>
      </w:r>
    </w:p>
    <w:p w14:paraId="019E0FCF" w14:textId="77777777" w:rsidR="00BA649B" w:rsidRPr="00BA649B" w:rsidRDefault="00BA649B" w:rsidP="00A30564">
      <w:pPr>
        <w:pStyle w:val="af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BA649B">
        <w:rPr>
          <w:sz w:val="28"/>
          <w:szCs w:val="28"/>
          <w:lang w:val="uk-UA"/>
        </w:rPr>
        <w:t>ринкових механізмів, оскільки такі питання регулюються виключно нормативно-правовими актами;</w:t>
      </w:r>
    </w:p>
    <w:p w14:paraId="27D1265B" w14:textId="446A95AE" w:rsidR="00BA649B" w:rsidRPr="00BA649B" w:rsidRDefault="00BA649B" w:rsidP="0067565A">
      <w:pPr>
        <w:pStyle w:val="af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BA649B">
        <w:rPr>
          <w:sz w:val="28"/>
          <w:szCs w:val="28"/>
          <w:lang w:val="uk-UA"/>
        </w:rPr>
        <w:t xml:space="preserve">діючих регуляторних актів, оскільки </w:t>
      </w:r>
      <w:r w:rsidR="0067565A">
        <w:rPr>
          <w:sz w:val="28"/>
          <w:szCs w:val="28"/>
          <w:lang w:val="uk-UA"/>
        </w:rPr>
        <w:t xml:space="preserve">згідно із </w:t>
      </w:r>
      <w:r w:rsidRPr="00BA649B">
        <w:rPr>
          <w:sz w:val="28"/>
          <w:szCs w:val="28"/>
          <w:lang w:val="uk-UA"/>
        </w:rPr>
        <w:t xml:space="preserve">Законом </w:t>
      </w:r>
      <w:r w:rsidRPr="00EA1A60">
        <w:rPr>
          <w:sz w:val="28"/>
          <w:szCs w:val="28"/>
          <w:lang w:val="uk-UA"/>
        </w:rPr>
        <w:t>в</w:t>
      </w:r>
      <w:r w:rsidRPr="00BA649B">
        <w:rPr>
          <w:sz w:val="28"/>
          <w:szCs w:val="28"/>
          <w:lang w:val="uk-UA"/>
        </w:rPr>
        <w:t xml:space="preserve">регулювання порушених питань </w:t>
      </w:r>
      <w:r w:rsidR="0067565A">
        <w:rPr>
          <w:sz w:val="28"/>
          <w:szCs w:val="28"/>
          <w:lang w:val="uk-UA"/>
        </w:rPr>
        <w:t>належить</w:t>
      </w:r>
      <w:r w:rsidRPr="00BA649B">
        <w:rPr>
          <w:sz w:val="28"/>
          <w:szCs w:val="28"/>
          <w:lang w:val="uk-UA"/>
        </w:rPr>
        <w:t xml:space="preserve"> до компетенції Кабінету Міністрів України.</w:t>
      </w:r>
    </w:p>
    <w:p w14:paraId="6654020D" w14:textId="77777777" w:rsidR="00BA649B" w:rsidRPr="00BA649B" w:rsidRDefault="00BA649B" w:rsidP="00A30564">
      <w:pPr>
        <w:widowControl w:val="0"/>
        <w:tabs>
          <w:tab w:val="left" w:pos="674"/>
        </w:tabs>
        <w:spacing w:after="0" w:line="240" w:lineRule="auto"/>
        <w:ind w:firstLine="567"/>
        <w:jc w:val="both"/>
        <w:rPr>
          <w:sz w:val="28"/>
          <w:szCs w:val="28"/>
          <w:lang w:val="uk-UA" w:eastAsia="uk-UA"/>
        </w:rPr>
      </w:pPr>
    </w:p>
    <w:p w14:paraId="1E7BE059" w14:textId="77777777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ІІ. Цілі державного регулювання</w:t>
      </w:r>
    </w:p>
    <w:p w14:paraId="115A8828" w14:textId="77777777" w:rsidR="00B43C15" w:rsidRPr="005B216E" w:rsidRDefault="00B43C15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14:paraId="0B20B3E2" w14:textId="11C8B2AE" w:rsidR="003A5AE1" w:rsidRPr="00561287" w:rsidRDefault="003A5AE1" w:rsidP="00B466D6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561287">
        <w:rPr>
          <w:sz w:val="28"/>
          <w:szCs w:val="28"/>
          <w:lang w:val="uk-UA"/>
        </w:rPr>
        <w:t>Основними цілями прийняття регуляторного акта є:</w:t>
      </w:r>
    </w:p>
    <w:p w14:paraId="535E5552" w14:textId="0489D526" w:rsidR="00EA58CC" w:rsidRDefault="00B466D6" w:rsidP="005C3691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</w:t>
      </w:r>
      <w:r w:rsidR="007970F9" w:rsidRPr="005B216E">
        <w:rPr>
          <w:sz w:val="28"/>
          <w:szCs w:val="28"/>
          <w:lang w:val="uk-UA"/>
        </w:rPr>
        <w:t xml:space="preserve"> механізму, який матиме метою </w:t>
      </w:r>
      <w:r>
        <w:rPr>
          <w:sz w:val="28"/>
          <w:szCs w:val="28"/>
          <w:lang w:val="uk-UA"/>
        </w:rPr>
        <w:t>залучення</w:t>
      </w:r>
      <w:r w:rsidR="007970F9" w:rsidRPr="005B216E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інвесторів</w:t>
      </w:r>
      <w:r>
        <w:rPr>
          <w:sz w:val="28"/>
          <w:szCs w:val="28"/>
          <w:lang w:val="uk-UA" w:eastAsia="ru-RU"/>
        </w:rPr>
        <w:t>, за користування яких</w:t>
      </w:r>
      <w:r w:rsidR="00FB6C6A" w:rsidRPr="005B216E">
        <w:rPr>
          <w:sz w:val="28"/>
          <w:szCs w:val="28"/>
          <w:lang w:val="uk-UA" w:eastAsia="ru-RU"/>
        </w:rPr>
        <w:t xml:space="preserve"> не потребуватиметься виплата відсотків</w:t>
      </w:r>
      <w:r w:rsidR="00596D2E">
        <w:rPr>
          <w:sz w:val="28"/>
          <w:szCs w:val="28"/>
          <w:lang w:val="uk-UA" w:eastAsia="ru-RU"/>
        </w:rPr>
        <w:t>;</w:t>
      </w:r>
      <w:r w:rsidR="00FB6C6A" w:rsidRPr="005B216E">
        <w:rPr>
          <w:sz w:val="28"/>
          <w:szCs w:val="28"/>
          <w:lang w:val="uk-UA" w:eastAsia="ru-RU"/>
        </w:rPr>
        <w:t xml:space="preserve"> </w:t>
      </w:r>
    </w:p>
    <w:p w14:paraId="668F9DE7" w14:textId="0A6DA13C" w:rsidR="00FB6C6A" w:rsidRPr="005B216E" w:rsidRDefault="00E859D7" w:rsidP="00B466D6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створення </w:t>
      </w:r>
      <w:r w:rsidR="00FB6C6A" w:rsidRPr="005B216E">
        <w:rPr>
          <w:sz w:val="28"/>
          <w:szCs w:val="28"/>
          <w:lang w:val="uk-UA" w:eastAsia="ru-RU"/>
        </w:rPr>
        <w:t>можливості розвитку необхідної портової інфраструктури</w:t>
      </w:r>
      <w:r w:rsidR="00596D2E">
        <w:rPr>
          <w:sz w:val="28"/>
          <w:szCs w:val="28"/>
          <w:lang w:val="uk-UA" w:eastAsia="ru-RU"/>
        </w:rPr>
        <w:t>;</w:t>
      </w:r>
    </w:p>
    <w:p w14:paraId="27C5F91F" w14:textId="69F8CEDF" w:rsidR="002E7E5B" w:rsidRPr="005B216E" w:rsidRDefault="007C2B71" w:rsidP="005C3691">
      <w:pPr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створення умов для </w:t>
      </w:r>
      <w:r w:rsidR="007970F9" w:rsidRPr="005B216E">
        <w:rPr>
          <w:rFonts w:eastAsia="Times New Roman"/>
          <w:color w:val="000000"/>
          <w:sz w:val="28"/>
          <w:szCs w:val="28"/>
          <w:lang w:val="uk-UA" w:eastAsia="ru-RU"/>
        </w:rPr>
        <w:t>зростанн</w:t>
      </w:r>
      <w:r>
        <w:rPr>
          <w:rFonts w:eastAsia="Times New Roman"/>
          <w:color w:val="000000"/>
          <w:sz w:val="28"/>
          <w:szCs w:val="28"/>
          <w:lang w:val="uk-UA" w:eastAsia="ru-RU"/>
        </w:rPr>
        <w:t>я</w:t>
      </w:r>
      <w:r w:rsidR="002E7E5B"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приваб</w:t>
      </w:r>
      <w:r w:rsidR="007970F9" w:rsidRPr="005B216E">
        <w:rPr>
          <w:rFonts w:eastAsia="Times New Roman"/>
          <w:color w:val="000000"/>
          <w:sz w:val="28"/>
          <w:szCs w:val="28"/>
          <w:lang w:val="uk-UA" w:eastAsia="ru-RU"/>
        </w:rPr>
        <w:t>ливості</w:t>
      </w:r>
      <w:r w:rsidR="002E7E5B"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інвестиційного клімату </w:t>
      </w:r>
      <w:r w:rsidR="005C3691">
        <w:rPr>
          <w:rFonts w:eastAsia="Times New Roman"/>
          <w:color w:val="000000"/>
          <w:sz w:val="28"/>
          <w:szCs w:val="28"/>
          <w:lang w:val="uk-UA" w:eastAsia="ru-RU"/>
        </w:rPr>
        <w:t>та</w:t>
      </w:r>
      <w:r w:rsidR="002E7E5B"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залучення як іноземних, так і вітчизняних інвесторів до участі в розвитку та модер</w:t>
      </w:r>
      <w:r w:rsidR="005C3691">
        <w:rPr>
          <w:rFonts w:eastAsia="Times New Roman"/>
          <w:color w:val="000000"/>
          <w:sz w:val="28"/>
          <w:szCs w:val="28"/>
          <w:lang w:val="uk-UA" w:eastAsia="ru-RU"/>
        </w:rPr>
        <w:t>нізації портової інфраструктури.</w:t>
      </w:r>
    </w:p>
    <w:p w14:paraId="0428D7D1" w14:textId="77777777" w:rsidR="00CD3A1F" w:rsidRPr="005B216E" w:rsidRDefault="00CD3A1F" w:rsidP="00A30564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</w:p>
    <w:p w14:paraId="318BB223" w14:textId="77777777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color w:val="000000"/>
          <w:sz w:val="28"/>
          <w:szCs w:val="28"/>
          <w:lang w:val="uk-UA" w:eastAsia="ru-RU"/>
        </w:rPr>
        <w:t>ІІІ. Визначення та оцінка альтернативних способів досягнення цілей</w:t>
      </w:r>
    </w:p>
    <w:p w14:paraId="573DC6C0" w14:textId="77777777" w:rsidR="00C124D1" w:rsidRPr="005B216E" w:rsidRDefault="00C124D1" w:rsidP="00A30564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</w:p>
    <w:p w14:paraId="77FE8C03" w14:textId="64A39EAB" w:rsidR="002E7E5B" w:rsidRPr="005B216E" w:rsidRDefault="002E7E5B" w:rsidP="00A30564">
      <w:pPr>
        <w:pStyle w:val="ad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216E">
        <w:rPr>
          <w:rFonts w:ascii="Times New Roman" w:hAnsi="Times New Roman"/>
          <w:sz w:val="28"/>
          <w:szCs w:val="28"/>
        </w:rPr>
        <w:t>Виз</w:t>
      </w:r>
      <w:r w:rsidR="00D80C2C" w:rsidRPr="005B216E">
        <w:rPr>
          <w:rFonts w:ascii="Times New Roman" w:hAnsi="Times New Roman"/>
          <w:sz w:val="28"/>
          <w:szCs w:val="28"/>
        </w:rPr>
        <w:t>начення альтернативних способів</w:t>
      </w:r>
    </w:p>
    <w:p w14:paraId="787FFD71" w14:textId="77777777" w:rsidR="004C213B" w:rsidRPr="005B216E" w:rsidRDefault="004C213B" w:rsidP="004C213B">
      <w:pPr>
        <w:pStyle w:val="ad"/>
        <w:spacing w:after="0" w:line="240" w:lineRule="auto"/>
        <w:ind w:left="106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2E7E5B" w:rsidRPr="005B216E" w14:paraId="0EF9433D" w14:textId="77777777" w:rsidTr="0046032B">
        <w:tc>
          <w:tcPr>
            <w:tcW w:w="3114" w:type="dxa"/>
          </w:tcPr>
          <w:p w14:paraId="7B4E4E3D" w14:textId="77777777" w:rsidR="002E7E5B" w:rsidRPr="00C32340" w:rsidRDefault="002E7E5B" w:rsidP="003621AF">
            <w:pPr>
              <w:spacing w:after="0" w:line="240" w:lineRule="auto"/>
              <w:jc w:val="center"/>
              <w:rPr>
                <w:lang w:val="uk-UA"/>
              </w:rPr>
            </w:pPr>
            <w:r w:rsidRPr="00C32340">
              <w:rPr>
                <w:lang w:val="uk-UA"/>
              </w:rPr>
              <w:t>Вид альтернативи</w:t>
            </w:r>
          </w:p>
        </w:tc>
        <w:tc>
          <w:tcPr>
            <w:tcW w:w="6514" w:type="dxa"/>
          </w:tcPr>
          <w:p w14:paraId="061C83CF" w14:textId="77777777" w:rsidR="002E7E5B" w:rsidRPr="00C32340" w:rsidRDefault="002E7E5B" w:rsidP="003621AF">
            <w:pPr>
              <w:spacing w:after="0" w:line="240" w:lineRule="auto"/>
              <w:jc w:val="center"/>
              <w:rPr>
                <w:lang w:val="uk-UA"/>
              </w:rPr>
            </w:pPr>
            <w:r w:rsidRPr="00C32340">
              <w:rPr>
                <w:lang w:val="uk-UA"/>
              </w:rPr>
              <w:t>Опис альтернативи</w:t>
            </w:r>
          </w:p>
        </w:tc>
      </w:tr>
      <w:tr w:rsidR="002E7E5B" w:rsidRPr="00364F6F" w14:paraId="60C14ED5" w14:textId="77777777" w:rsidTr="0046032B">
        <w:tc>
          <w:tcPr>
            <w:tcW w:w="3114" w:type="dxa"/>
          </w:tcPr>
          <w:p w14:paraId="0B9546FE" w14:textId="0D03736B" w:rsidR="002E7E5B" w:rsidRPr="00C32340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lang w:val="uk-UA"/>
              </w:rPr>
              <w:t>Альтернатива 1.</w:t>
            </w:r>
          </w:p>
          <w:p w14:paraId="586F891D" w14:textId="77777777" w:rsidR="00C32340" w:rsidRPr="00C32340" w:rsidRDefault="00C32340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78D12ADA" w14:textId="11D15EF8" w:rsidR="002E7E5B" w:rsidRPr="00C32340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lang w:val="uk-UA"/>
              </w:rPr>
              <w:t xml:space="preserve">Збереження </w:t>
            </w:r>
            <w:r w:rsidR="0046032B" w:rsidRPr="00C32340">
              <w:rPr>
                <w:lang w:val="uk-UA"/>
              </w:rPr>
              <w:t>чинного регулювання</w:t>
            </w:r>
            <w:r w:rsidR="00642A78" w:rsidRPr="00C32340">
              <w:rPr>
                <w:lang w:val="uk-UA"/>
              </w:rPr>
              <w:t xml:space="preserve"> (фактично, відсутність регулювання)</w:t>
            </w:r>
          </w:p>
        </w:tc>
        <w:tc>
          <w:tcPr>
            <w:tcW w:w="6514" w:type="dxa"/>
          </w:tcPr>
          <w:p w14:paraId="1A844582" w14:textId="04C0D390" w:rsidR="006E57B7" w:rsidRPr="007F5CF3" w:rsidRDefault="00162588" w:rsidP="00131D7A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>Унеможливить:</w:t>
            </w:r>
          </w:p>
          <w:p w14:paraId="7480E7D1" w14:textId="15D43E5B" w:rsidR="00162588" w:rsidRPr="007F5CF3" w:rsidRDefault="001D5DF1" w:rsidP="00131D7A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>виконання вимог Закону</w:t>
            </w:r>
            <w:r w:rsidR="00692FCD" w:rsidRPr="007F5CF3">
              <w:rPr>
                <w:lang w:val="uk-UA"/>
              </w:rPr>
              <w:t>;</w:t>
            </w:r>
            <w:r w:rsidRPr="007F5CF3">
              <w:rPr>
                <w:lang w:val="uk-UA"/>
              </w:rPr>
              <w:t xml:space="preserve"> </w:t>
            </w:r>
          </w:p>
          <w:p w14:paraId="094F655A" w14:textId="0624984C" w:rsidR="00DF6907" w:rsidRPr="007F5CF3" w:rsidRDefault="005C3691" w:rsidP="005C3691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визначення </w:t>
            </w:r>
            <w:r w:rsidR="00DF6907" w:rsidRPr="007F5CF3">
              <w:rPr>
                <w:lang w:val="uk-UA"/>
              </w:rPr>
              <w:t xml:space="preserve">механізму, який матиме метою </w:t>
            </w:r>
            <w:r>
              <w:rPr>
                <w:lang w:val="uk-UA"/>
              </w:rPr>
              <w:t>залучення коштів інвесторів</w:t>
            </w:r>
            <w:r w:rsidR="00DF6907" w:rsidRPr="007F5CF3">
              <w:rPr>
                <w:lang w:val="uk-UA" w:eastAsia="ru-RU"/>
              </w:rPr>
              <w:t xml:space="preserve">, за користування якими не потребуватиметься виплата відсотків; </w:t>
            </w:r>
          </w:p>
          <w:p w14:paraId="1E9DFD28" w14:textId="676B0794" w:rsidR="00DF6907" w:rsidRPr="007F5CF3" w:rsidRDefault="009A0CF7" w:rsidP="009D1D2E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 w:eastAsia="ru-RU"/>
              </w:rPr>
              <w:t>розвит</w:t>
            </w:r>
            <w:r w:rsidR="00F0327A" w:rsidRPr="007F5CF3">
              <w:rPr>
                <w:lang w:val="uk-UA" w:eastAsia="ru-RU"/>
              </w:rPr>
              <w:t>о</w:t>
            </w:r>
            <w:r w:rsidRPr="007F5CF3">
              <w:rPr>
                <w:lang w:val="uk-UA" w:eastAsia="ru-RU"/>
              </w:rPr>
              <w:t>к портової інфраструктури;</w:t>
            </w:r>
          </w:p>
          <w:p w14:paraId="0B65F053" w14:textId="11472BA9" w:rsidR="00A40656" w:rsidRPr="00131D7A" w:rsidRDefault="00BB7410" w:rsidP="00131D7A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 xml:space="preserve">використання коштів від портових зборів на компенсацію інвестицій </w:t>
            </w:r>
            <w:r w:rsidR="00642A78" w:rsidRPr="007F5CF3">
              <w:rPr>
                <w:lang w:val="uk-UA"/>
              </w:rPr>
              <w:t xml:space="preserve">відповідно до Порядку обліку та використання коштів від портових зборів, затвердженого </w:t>
            </w:r>
            <w:r w:rsidR="000E3302">
              <w:rPr>
                <w:lang w:val="uk-UA"/>
              </w:rPr>
              <w:t>н</w:t>
            </w:r>
            <w:r w:rsidR="00642A78" w:rsidRPr="007F5CF3">
              <w:rPr>
                <w:lang w:val="uk-UA"/>
              </w:rPr>
              <w:t xml:space="preserve">аказом </w:t>
            </w:r>
            <w:r w:rsidR="00642A78" w:rsidRPr="007F5CF3">
              <w:rPr>
                <w:lang w:val="uk-UA"/>
              </w:rPr>
              <w:lastRenderedPageBreak/>
              <w:t xml:space="preserve">Міністерства інфраструктури України </w:t>
            </w:r>
            <w:r w:rsidR="000E3302" w:rsidRPr="007F5CF3">
              <w:rPr>
                <w:lang w:val="uk-UA"/>
              </w:rPr>
              <w:t>від 27</w:t>
            </w:r>
            <w:r w:rsidR="000E3302">
              <w:rPr>
                <w:lang w:val="uk-UA"/>
              </w:rPr>
              <w:t xml:space="preserve"> травня </w:t>
            </w:r>
            <w:r w:rsidR="000E3302" w:rsidRPr="007F5CF3">
              <w:rPr>
                <w:lang w:val="uk-UA"/>
              </w:rPr>
              <w:t>2013</w:t>
            </w:r>
            <w:r w:rsidR="000E3302">
              <w:rPr>
                <w:lang w:val="uk-UA"/>
              </w:rPr>
              <w:t xml:space="preserve"> р. </w:t>
            </w:r>
            <w:r w:rsidR="000E3302">
              <w:rPr>
                <w:lang w:val="uk-UA"/>
              </w:rPr>
              <w:br/>
            </w:r>
            <w:r w:rsidR="00642A78" w:rsidRPr="007F5CF3">
              <w:rPr>
                <w:lang w:val="uk-UA"/>
              </w:rPr>
              <w:t>№ 316</w:t>
            </w:r>
            <w:r w:rsidR="00131D7A">
              <w:rPr>
                <w:lang w:val="uk-UA"/>
              </w:rPr>
              <w:t>, з</w:t>
            </w:r>
            <w:r w:rsidR="00131D7A" w:rsidRPr="00131D7A">
              <w:rPr>
                <w:lang w:val="uk-UA"/>
              </w:rPr>
              <w:t>ареєстровано</w:t>
            </w:r>
            <w:r w:rsidR="00131D7A">
              <w:rPr>
                <w:lang w:val="uk-UA"/>
              </w:rPr>
              <w:t>го</w:t>
            </w:r>
            <w:r w:rsidR="00131D7A" w:rsidRPr="00131D7A">
              <w:rPr>
                <w:lang w:val="uk-UA"/>
              </w:rPr>
              <w:t xml:space="preserve"> в Міністерстві</w:t>
            </w:r>
            <w:r w:rsidR="00131D7A">
              <w:rPr>
                <w:lang w:val="uk-UA"/>
              </w:rPr>
              <w:t xml:space="preserve"> </w:t>
            </w:r>
            <w:r w:rsidR="00131D7A" w:rsidRPr="00131D7A">
              <w:rPr>
                <w:lang w:val="uk-UA"/>
              </w:rPr>
              <w:t>юстиції України</w:t>
            </w:r>
            <w:r w:rsidR="00131D7A">
              <w:rPr>
                <w:lang w:val="uk-UA"/>
              </w:rPr>
              <w:t xml:space="preserve"> </w:t>
            </w:r>
            <w:r w:rsidR="00131D7A" w:rsidRPr="00131D7A">
              <w:rPr>
                <w:lang w:val="uk-UA"/>
              </w:rPr>
              <w:t>12 червня 2013 р.</w:t>
            </w:r>
            <w:r w:rsidR="00131D7A">
              <w:rPr>
                <w:lang w:val="uk-UA"/>
              </w:rPr>
              <w:t xml:space="preserve"> </w:t>
            </w:r>
            <w:r w:rsidR="00131D7A" w:rsidRPr="00131D7A">
              <w:rPr>
                <w:lang w:val="uk-UA"/>
              </w:rPr>
              <w:t>за № 930/23462</w:t>
            </w:r>
            <w:r w:rsidR="00131D7A">
              <w:rPr>
                <w:lang w:val="uk-UA"/>
              </w:rPr>
              <w:t xml:space="preserve"> (далі – Порядок)</w:t>
            </w:r>
            <w:r w:rsidR="00B46717" w:rsidRPr="007F5CF3">
              <w:rPr>
                <w:lang w:val="uk-UA"/>
              </w:rPr>
              <w:t>.</w:t>
            </w:r>
          </w:p>
        </w:tc>
      </w:tr>
      <w:tr w:rsidR="002E7E5B" w:rsidRPr="00C32340" w14:paraId="1B3C6466" w14:textId="77777777" w:rsidTr="0046032B">
        <w:tc>
          <w:tcPr>
            <w:tcW w:w="3114" w:type="dxa"/>
          </w:tcPr>
          <w:p w14:paraId="72FA216F" w14:textId="60A620A1" w:rsidR="002E7E5B" w:rsidRPr="00C32340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lang w:val="uk-UA"/>
              </w:rPr>
              <w:lastRenderedPageBreak/>
              <w:t>Альтернатива 2.</w:t>
            </w:r>
          </w:p>
          <w:p w14:paraId="603EB91F" w14:textId="77777777" w:rsidR="00F81088" w:rsidRPr="00C32340" w:rsidRDefault="00F81088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00E19A49" w14:textId="413492C8" w:rsidR="002E7E5B" w:rsidRPr="00C32340" w:rsidRDefault="00E72D40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6514" w:type="dxa"/>
          </w:tcPr>
          <w:p w14:paraId="1F2247E8" w14:textId="77777777" w:rsidR="009A0715" w:rsidRPr="007F5CF3" w:rsidRDefault="009A0715" w:rsidP="009A0715">
            <w:pPr>
              <w:pStyle w:val="TableParagraph"/>
              <w:spacing w:line="236" w:lineRule="exact"/>
              <w:ind w:left="343"/>
              <w:jc w:val="both"/>
              <w:rPr>
                <w:sz w:val="24"/>
                <w:szCs w:val="24"/>
              </w:rPr>
            </w:pPr>
            <w:r w:rsidRPr="007F5CF3">
              <w:rPr>
                <w:sz w:val="24"/>
                <w:szCs w:val="24"/>
              </w:rPr>
              <w:t>Дозволить</w:t>
            </w:r>
            <w:r w:rsidRPr="007F5CF3">
              <w:rPr>
                <w:spacing w:val="7"/>
                <w:sz w:val="24"/>
                <w:szCs w:val="24"/>
              </w:rPr>
              <w:t xml:space="preserve"> </w:t>
            </w:r>
            <w:r w:rsidRPr="007F5CF3">
              <w:rPr>
                <w:spacing w:val="-2"/>
                <w:sz w:val="24"/>
                <w:szCs w:val="24"/>
              </w:rPr>
              <w:t>забезпечити:</w:t>
            </w:r>
          </w:p>
          <w:p w14:paraId="1D7C4C8B" w14:textId="0A68F51D" w:rsidR="007F5CF3" w:rsidRPr="007F5CF3" w:rsidRDefault="007F5CF3" w:rsidP="0005163B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/>
              </w:rPr>
              <w:t xml:space="preserve">виконання вимог Закону; </w:t>
            </w:r>
          </w:p>
          <w:p w14:paraId="4CA14832" w14:textId="7F8790D8" w:rsidR="00DF39C4" w:rsidRPr="005C3691" w:rsidRDefault="005C3691" w:rsidP="005C3691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визначення </w:t>
            </w:r>
            <w:r w:rsidRPr="007F5CF3">
              <w:rPr>
                <w:lang w:val="uk-UA"/>
              </w:rPr>
              <w:t xml:space="preserve">механізму, який матиме метою </w:t>
            </w:r>
            <w:r>
              <w:rPr>
                <w:lang w:val="uk-UA"/>
              </w:rPr>
              <w:t>залучення коштів інвесторів</w:t>
            </w:r>
            <w:r w:rsidRPr="007F5CF3">
              <w:rPr>
                <w:lang w:val="uk-UA" w:eastAsia="ru-RU"/>
              </w:rPr>
              <w:t>, за користування якими не потр</w:t>
            </w:r>
            <w:r>
              <w:rPr>
                <w:lang w:val="uk-UA" w:eastAsia="ru-RU"/>
              </w:rPr>
              <w:t>ебуватиметься виплата відсотків</w:t>
            </w:r>
            <w:r w:rsidR="000E3302" w:rsidRPr="005C3691">
              <w:rPr>
                <w:lang w:val="uk-UA"/>
              </w:rPr>
              <w:t>,</w:t>
            </w:r>
            <w:r>
              <w:rPr>
                <w:lang w:val="uk-UA"/>
              </w:rPr>
              <w:t xml:space="preserve"> а саме: </w:t>
            </w:r>
            <w:r w:rsidR="00DF39C4" w:rsidRPr="005C3691">
              <w:rPr>
                <w:lang w:val="uk-UA"/>
              </w:rPr>
              <w:t>укладення договорів між ДП «АМПУ» та інвесторами, за умовами якого інвестор буде приймати участь у про</w:t>
            </w:r>
            <w:r w:rsidR="00926051" w:rsidRPr="005C3691">
              <w:rPr>
                <w:lang w:val="uk-UA"/>
              </w:rPr>
              <w:t>є</w:t>
            </w:r>
            <w:r w:rsidR="00DF39C4" w:rsidRPr="005C3691">
              <w:rPr>
                <w:lang w:val="uk-UA"/>
              </w:rPr>
              <w:t xml:space="preserve">ктах щодо </w:t>
            </w:r>
            <w:r w:rsidR="00DF39C4" w:rsidRPr="005C3691">
              <w:rPr>
                <w:shd w:val="clear" w:color="auto" w:fill="FFFFFF"/>
                <w:lang w:val="uk-UA" w:eastAsia="uk-UA"/>
              </w:rPr>
              <w:t xml:space="preserve">ремонту, </w:t>
            </w:r>
            <w:r w:rsidR="00DF39C4" w:rsidRPr="005C3691">
              <w:rPr>
                <w:lang w:val="uk-UA"/>
              </w:rPr>
              <w:t>модернізації, реконструкції або будівництва стратегічних об’єктів портової інфраструктури</w:t>
            </w:r>
            <w:r w:rsidR="00DF39C4" w:rsidRPr="005C3691">
              <w:rPr>
                <w:shd w:val="clear" w:color="auto" w:fill="FFFFFF"/>
                <w:lang w:val="uk-UA" w:eastAsia="uk-UA"/>
              </w:rPr>
              <w:t>, що є об’єктами державної власності</w:t>
            </w:r>
            <w:r w:rsidR="006418EF" w:rsidRPr="005C3691">
              <w:rPr>
                <w:shd w:val="clear" w:color="auto" w:fill="FFFFFF"/>
                <w:lang w:val="uk-UA" w:eastAsia="uk-UA"/>
              </w:rPr>
              <w:t>;</w:t>
            </w:r>
          </w:p>
          <w:p w14:paraId="141A1FB6" w14:textId="1CD7F245" w:rsidR="007F5CF3" w:rsidRPr="007F5CF3" w:rsidRDefault="007F5CF3" w:rsidP="009D1D2E">
            <w:pPr>
              <w:spacing w:after="0" w:line="240" w:lineRule="auto"/>
              <w:ind w:firstLine="320"/>
              <w:jc w:val="both"/>
              <w:rPr>
                <w:lang w:val="uk-UA"/>
              </w:rPr>
            </w:pPr>
            <w:r w:rsidRPr="007F5CF3">
              <w:rPr>
                <w:lang w:val="uk-UA" w:eastAsia="ru-RU"/>
              </w:rPr>
              <w:t>розвиток портової інфраструктури;</w:t>
            </w:r>
          </w:p>
          <w:p w14:paraId="76E1774C" w14:textId="25A15764" w:rsidR="00642A78" w:rsidRDefault="00D84F2C" w:rsidP="009D1D2E">
            <w:pPr>
              <w:pStyle w:val="a8"/>
              <w:spacing w:before="0"/>
              <w:ind w:firstLine="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5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цільового використання </w:t>
            </w:r>
            <w:proofErr w:type="spellStart"/>
            <w:r w:rsidR="005C36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коштів</w:t>
            </w:r>
            <w:proofErr w:type="spellEnd"/>
            <w:r w:rsidR="005C36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5C36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="005C36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5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портових зборів</w:t>
            </w:r>
            <w:r w:rsidR="009D1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7F5CF3" w:rsidRPr="007F5CF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</w:t>
            </w:r>
            <w:r w:rsidR="00131D7A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="00D379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1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Варто </w:t>
            </w:r>
            <w:proofErr w:type="spellStart"/>
            <w:r w:rsidR="009D1D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зазначити</w:t>
            </w:r>
            <w:proofErr w:type="spellEnd"/>
            <w:r w:rsidR="00642A78" w:rsidRPr="007F5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що відповідно до положень З</w:t>
            </w:r>
            <w:r w:rsidR="00D379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акону </w:t>
            </w:r>
            <w:r w:rsidR="00642A78" w:rsidRPr="007F5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портові збори мають цільовий характер і можуть бути використані виключно за їх цільовим призначенням. </w:t>
            </w:r>
          </w:p>
          <w:p w14:paraId="69E898D7" w14:textId="25C0F771" w:rsidR="00A7139D" w:rsidRPr="00981C2F" w:rsidRDefault="00A7139D" w:rsidP="00642A78">
            <w:pPr>
              <w:pStyle w:val="a8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01580" w14:textId="02E52FDC" w:rsidR="002E7E5B" w:rsidRPr="005B216E" w:rsidRDefault="002E7E5B" w:rsidP="009D1D2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0A2F4A">
        <w:rPr>
          <w:sz w:val="28"/>
          <w:szCs w:val="28"/>
          <w:lang w:val="uk-UA"/>
        </w:rPr>
        <w:t>Інші</w:t>
      </w:r>
      <w:r w:rsidR="00FA392F" w:rsidRPr="000A2F4A">
        <w:rPr>
          <w:sz w:val="28"/>
          <w:szCs w:val="28"/>
          <w:lang w:val="uk-UA"/>
        </w:rPr>
        <w:t xml:space="preserve"> альтернативні</w:t>
      </w:r>
      <w:r w:rsidRPr="000A2F4A">
        <w:rPr>
          <w:sz w:val="28"/>
          <w:szCs w:val="28"/>
          <w:lang w:val="uk-UA"/>
        </w:rPr>
        <w:t xml:space="preserve"> способи</w:t>
      </w:r>
      <w:r w:rsidR="00FA392F" w:rsidRPr="000A2F4A">
        <w:rPr>
          <w:sz w:val="28"/>
          <w:szCs w:val="28"/>
          <w:lang w:val="uk-UA"/>
        </w:rPr>
        <w:t xml:space="preserve"> досягнення цілей</w:t>
      </w:r>
      <w:r w:rsidR="009D1D2E">
        <w:rPr>
          <w:sz w:val="28"/>
          <w:szCs w:val="28"/>
          <w:lang w:val="uk-UA"/>
        </w:rPr>
        <w:t xml:space="preserve"> </w:t>
      </w:r>
      <w:r w:rsidRPr="000A2F4A">
        <w:rPr>
          <w:sz w:val="28"/>
          <w:szCs w:val="28"/>
          <w:lang w:val="uk-UA"/>
        </w:rPr>
        <w:t xml:space="preserve">є неприйнятними, оскільки вирішення порушеної проблеми </w:t>
      </w:r>
      <w:r w:rsidRPr="004A01FB">
        <w:rPr>
          <w:sz w:val="28"/>
          <w:szCs w:val="28"/>
          <w:lang w:val="uk-UA"/>
        </w:rPr>
        <w:t>лежить</w:t>
      </w:r>
      <w:r w:rsidR="00642A78" w:rsidRPr="004A01FB">
        <w:rPr>
          <w:sz w:val="28"/>
          <w:szCs w:val="28"/>
          <w:lang w:val="uk-UA"/>
        </w:rPr>
        <w:t>,</w:t>
      </w:r>
      <w:r w:rsidRPr="004A01FB">
        <w:rPr>
          <w:sz w:val="28"/>
          <w:szCs w:val="28"/>
          <w:lang w:val="uk-UA"/>
        </w:rPr>
        <w:t xml:space="preserve"> передусім</w:t>
      </w:r>
      <w:r w:rsidR="00642A78" w:rsidRPr="004A01FB">
        <w:rPr>
          <w:sz w:val="28"/>
          <w:szCs w:val="28"/>
          <w:lang w:val="uk-UA"/>
        </w:rPr>
        <w:t>,</w:t>
      </w:r>
      <w:r w:rsidRPr="004A01FB">
        <w:rPr>
          <w:sz w:val="28"/>
          <w:szCs w:val="28"/>
          <w:lang w:val="uk-UA"/>
        </w:rPr>
        <w:t xml:space="preserve"> у правовій площині.</w:t>
      </w:r>
      <w:r w:rsidR="00642A78" w:rsidRPr="004A01FB">
        <w:rPr>
          <w:sz w:val="28"/>
          <w:szCs w:val="28"/>
          <w:lang w:val="uk-UA"/>
        </w:rPr>
        <w:t xml:space="preserve"> Інші види договорів з інвесторами щодо </w:t>
      </w:r>
      <w:r w:rsidR="00FB28E2" w:rsidRPr="004A01FB">
        <w:rPr>
          <w:sz w:val="28"/>
          <w:szCs w:val="28"/>
          <w:lang w:val="uk-UA"/>
        </w:rPr>
        <w:t>р</w:t>
      </w:r>
      <w:r w:rsidR="009D0FC9" w:rsidRPr="004A01FB">
        <w:rPr>
          <w:sz w:val="28"/>
          <w:szCs w:val="28"/>
          <w:lang w:val="uk-UA"/>
        </w:rPr>
        <w:t>емонт</w:t>
      </w:r>
      <w:r w:rsidR="00FB28E2" w:rsidRPr="004A01FB">
        <w:rPr>
          <w:sz w:val="28"/>
          <w:szCs w:val="28"/>
          <w:lang w:val="uk-UA"/>
        </w:rPr>
        <w:t>у</w:t>
      </w:r>
      <w:r w:rsidR="009D0FC9" w:rsidRPr="004A01FB">
        <w:rPr>
          <w:sz w:val="28"/>
          <w:szCs w:val="28"/>
          <w:lang w:val="uk-UA"/>
        </w:rPr>
        <w:t>, модернізаці</w:t>
      </w:r>
      <w:r w:rsidR="00FB28E2" w:rsidRPr="004A01FB">
        <w:rPr>
          <w:sz w:val="28"/>
          <w:szCs w:val="28"/>
          <w:lang w:val="uk-UA"/>
        </w:rPr>
        <w:t>ї</w:t>
      </w:r>
      <w:r w:rsidR="009D0FC9" w:rsidRPr="004A01FB">
        <w:rPr>
          <w:sz w:val="28"/>
          <w:szCs w:val="28"/>
          <w:lang w:val="uk-UA"/>
        </w:rPr>
        <w:t>, реконструкці</w:t>
      </w:r>
      <w:r w:rsidR="00FB28E2" w:rsidRPr="004A01FB">
        <w:rPr>
          <w:sz w:val="28"/>
          <w:szCs w:val="28"/>
          <w:lang w:val="uk-UA"/>
        </w:rPr>
        <w:t>ї</w:t>
      </w:r>
      <w:r w:rsidR="009D0FC9" w:rsidRPr="004A01FB">
        <w:rPr>
          <w:sz w:val="28"/>
          <w:szCs w:val="28"/>
          <w:lang w:val="uk-UA"/>
        </w:rPr>
        <w:t xml:space="preserve"> або будівництв</w:t>
      </w:r>
      <w:r w:rsidR="00FB28E2" w:rsidRPr="004A01FB">
        <w:rPr>
          <w:sz w:val="28"/>
          <w:szCs w:val="28"/>
          <w:lang w:val="uk-UA"/>
        </w:rPr>
        <w:t>а</w:t>
      </w:r>
      <w:r w:rsidR="009D0FC9" w:rsidRPr="004A01FB">
        <w:rPr>
          <w:sz w:val="28"/>
          <w:szCs w:val="28"/>
          <w:lang w:val="uk-UA"/>
        </w:rPr>
        <w:t xml:space="preserve"> </w:t>
      </w:r>
      <w:r w:rsidR="00642A78" w:rsidRPr="004A01FB">
        <w:rPr>
          <w:sz w:val="28"/>
          <w:szCs w:val="28"/>
          <w:lang w:val="uk-UA"/>
        </w:rPr>
        <w:t>стратегічних об’єктів портової інфраструктури, відповідно до державної політики стосовно використання</w:t>
      </w:r>
      <w:r w:rsidR="00642A78" w:rsidRPr="000A2F4A">
        <w:rPr>
          <w:sz w:val="28"/>
          <w:szCs w:val="28"/>
          <w:lang w:val="uk-UA"/>
        </w:rPr>
        <w:t xml:space="preserve"> портових зборів, не дозволяють використання таких коштів для реалізації відповідних про</w:t>
      </w:r>
      <w:r w:rsidR="00926051">
        <w:rPr>
          <w:sz w:val="28"/>
          <w:szCs w:val="28"/>
          <w:lang w:val="uk-UA"/>
        </w:rPr>
        <w:t>є</w:t>
      </w:r>
      <w:r w:rsidR="00642A78" w:rsidRPr="000A2F4A">
        <w:rPr>
          <w:sz w:val="28"/>
          <w:szCs w:val="28"/>
          <w:lang w:val="uk-UA"/>
        </w:rPr>
        <w:t>ктів.</w:t>
      </w:r>
    </w:p>
    <w:p w14:paraId="36E59E40" w14:textId="77777777" w:rsidR="0046032B" w:rsidRPr="005B216E" w:rsidRDefault="0046032B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21F4D36B" w14:textId="77777777" w:rsidR="002E7E5B" w:rsidRPr="005B216E" w:rsidRDefault="002E7E5B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66FDD">
        <w:rPr>
          <w:sz w:val="28"/>
          <w:szCs w:val="28"/>
          <w:lang w:val="uk-UA"/>
        </w:rPr>
        <w:t>2. Оцінка вибраних альтернат</w:t>
      </w:r>
      <w:r w:rsidR="00D80C2C" w:rsidRPr="00266FDD">
        <w:rPr>
          <w:sz w:val="28"/>
          <w:szCs w:val="28"/>
          <w:lang w:val="uk-UA"/>
        </w:rPr>
        <w:t>ивних способів досягнення цілей</w:t>
      </w:r>
    </w:p>
    <w:p w14:paraId="717C34C5" w14:textId="77777777" w:rsidR="003621AF" w:rsidRPr="005B216E" w:rsidRDefault="003621AF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138C244B" w14:textId="4D890C56" w:rsidR="002E7E5B" w:rsidRPr="005B216E" w:rsidRDefault="002E7E5B" w:rsidP="00A30564">
      <w:pPr>
        <w:spacing w:after="0" w:line="240" w:lineRule="auto"/>
        <w:jc w:val="center"/>
        <w:rPr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t>Оцінка вп</w:t>
      </w:r>
      <w:r w:rsidR="00D80C2C" w:rsidRPr="005B216E">
        <w:rPr>
          <w:sz w:val="28"/>
          <w:szCs w:val="28"/>
          <w:lang w:val="uk-UA"/>
        </w:rPr>
        <w:t>ливу на сферу інтересів держави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3239"/>
        <w:gridCol w:w="2837"/>
      </w:tblGrid>
      <w:tr w:rsidR="00642A78" w:rsidRPr="005B216E" w14:paraId="6F7908EC" w14:textId="77777777" w:rsidTr="00A30564">
        <w:tc>
          <w:tcPr>
            <w:tcW w:w="3552" w:type="dxa"/>
          </w:tcPr>
          <w:p w14:paraId="02590D1E" w14:textId="77777777" w:rsidR="002E7E5B" w:rsidRPr="00110F46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110F46">
              <w:rPr>
                <w:bCs/>
                <w:lang w:val="uk-UA"/>
              </w:rPr>
              <w:t>Вид альтернативи</w:t>
            </w:r>
          </w:p>
        </w:tc>
        <w:tc>
          <w:tcPr>
            <w:tcW w:w="3239" w:type="dxa"/>
          </w:tcPr>
          <w:p w14:paraId="2D58F065" w14:textId="77777777" w:rsidR="002E7E5B" w:rsidRPr="00110F46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110F46">
              <w:rPr>
                <w:bCs/>
                <w:lang w:val="uk-UA"/>
              </w:rPr>
              <w:t>Вигоди</w:t>
            </w:r>
          </w:p>
        </w:tc>
        <w:tc>
          <w:tcPr>
            <w:tcW w:w="2837" w:type="dxa"/>
          </w:tcPr>
          <w:p w14:paraId="480B2AE2" w14:textId="77777777" w:rsidR="002E7E5B" w:rsidRPr="00E10E79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E10E79">
              <w:rPr>
                <w:bCs/>
                <w:lang w:val="uk-UA"/>
              </w:rPr>
              <w:t>Витрати</w:t>
            </w:r>
          </w:p>
        </w:tc>
      </w:tr>
      <w:tr w:rsidR="00642A78" w:rsidRPr="00202AD1" w14:paraId="113351D1" w14:textId="77777777" w:rsidTr="00A30564">
        <w:tc>
          <w:tcPr>
            <w:tcW w:w="3552" w:type="dxa"/>
          </w:tcPr>
          <w:p w14:paraId="11584A5C" w14:textId="77777777" w:rsidR="002E7E5B" w:rsidRPr="00110F46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110F46">
              <w:rPr>
                <w:lang w:val="uk-UA"/>
              </w:rPr>
              <w:t>Альтернатива 1.</w:t>
            </w:r>
          </w:p>
          <w:p w14:paraId="03297262" w14:textId="77777777" w:rsidR="002E7E5B" w:rsidRPr="00110F46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110F46">
              <w:rPr>
                <w:lang w:val="uk-UA"/>
              </w:rPr>
              <w:t xml:space="preserve">Збереження </w:t>
            </w:r>
            <w:r w:rsidR="0046032B" w:rsidRPr="00110F46">
              <w:rPr>
                <w:lang w:val="uk-UA"/>
              </w:rPr>
              <w:t>чинного регулювання</w:t>
            </w:r>
          </w:p>
        </w:tc>
        <w:tc>
          <w:tcPr>
            <w:tcW w:w="3239" w:type="dxa"/>
          </w:tcPr>
          <w:p w14:paraId="51FBE045" w14:textId="77777777" w:rsidR="002563C8" w:rsidRDefault="002563C8" w:rsidP="002563C8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</w:p>
          <w:p w14:paraId="567D2A59" w14:textId="77777777" w:rsidR="002563C8" w:rsidRDefault="002563C8" w:rsidP="002563C8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</w:p>
          <w:p w14:paraId="7BCAB309" w14:textId="20783FE6" w:rsidR="002563C8" w:rsidRPr="00561287" w:rsidRDefault="002563C8" w:rsidP="002563C8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  <w:r w:rsidRPr="00561287">
              <w:rPr>
                <w:sz w:val="24"/>
                <w:szCs w:val="24"/>
              </w:rPr>
              <w:t>Відсутні</w:t>
            </w:r>
            <w:r w:rsidR="005A6248">
              <w:rPr>
                <w:sz w:val="24"/>
                <w:szCs w:val="24"/>
              </w:rPr>
              <w:t>,</w:t>
            </w:r>
            <w:r w:rsidRPr="00561287">
              <w:rPr>
                <w:sz w:val="24"/>
                <w:szCs w:val="24"/>
              </w:rPr>
              <w:t xml:space="preserve"> оскільки проблема залишається невирішеною</w:t>
            </w:r>
          </w:p>
          <w:p w14:paraId="6815CD9A" w14:textId="37EF8B95" w:rsidR="002E7E5B" w:rsidRPr="00110F46" w:rsidRDefault="002E7E5B" w:rsidP="003621A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837" w:type="dxa"/>
          </w:tcPr>
          <w:p w14:paraId="4AF9D8F0" w14:textId="69CD1271" w:rsidR="00202AD1" w:rsidRDefault="00B32579" w:rsidP="00131D7A">
            <w:pPr>
              <w:spacing w:after="0" w:line="240" w:lineRule="auto"/>
              <w:ind w:firstLine="18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н</w:t>
            </w:r>
            <w:r w:rsidR="00B05C97" w:rsidRPr="00E10E79">
              <w:rPr>
                <w:rFonts w:eastAsia="Times New Roman"/>
                <w:color w:val="000000"/>
                <w:lang w:val="uk-UA" w:eastAsia="ru-RU"/>
              </w:rPr>
              <w:t>едоотримання приватн</w:t>
            </w:r>
            <w:r w:rsidR="005063B3">
              <w:rPr>
                <w:rFonts w:eastAsia="Times New Roman"/>
                <w:color w:val="000000"/>
                <w:lang w:val="uk-UA" w:eastAsia="ru-RU"/>
              </w:rPr>
              <w:t xml:space="preserve">их інвестицій </w:t>
            </w:r>
            <w:r w:rsidR="00B05C97" w:rsidRPr="00E10E79">
              <w:rPr>
                <w:rFonts w:eastAsia="Times New Roman"/>
                <w:color w:val="000000"/>
                <w:lang w:val="uk-UA" w:eastAsia="ru-RU"/>
              </w:rPr>
              <w:t>у стратегічні об’єкти портової інфраструктури, що є об’єктами державної власності</w:t>
            </w:r>
            <w:r w:rsidR="00202AD1">
              <w:rPr>
                <w:rFonts w:eastAsia="Times New Roman"/>
                <w:color w:val="000000"/>
                <w:lang w:val="uk-UA" w:eastAsia="ru-RU"/>
              </w:rPr>
              <w:t>, як наслідок – недоотримана вигода;</w:t>
            </w:r>
          </w:p>
          <w:p w14:paraId="277D6909" w14:textId="5EEA9D3D" w:rsidR="00A80F3B" w:rsidRPr="00131D7A" w:rsidRDefault="00AF07CC" w:rsidP="00131D7A">
            <w:pPr>
              <w:spacing w:after="0" w:line="240" w:lineRule="auto"/>
              <w:ind w:firstLine="18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</w:t>
            </w:r>
            <w:r w:rsidR="00642A78" w:rsidRPr="00E10E79">
              <w:rPr>
                <w:rFonts w:eastAsia="Times New Roman"/>
                <w:color w:val="000000"/>
                <w:lang w:val="uk-UA" w:eastAsia="ru-RU"/>
              </w:rPr>
              <w:t>алишення динаміки конкурентоспроможності як держави, так і вітчизняного бізнесу на тому ж рівні, що і зараз.</w:t>
            </w:r>
          </w:p>
        </w:tc>
      </w:tr>
      <w:tr w:rsidR="00642A78" w:rsidRPr="005B216E" w14:paraId="2A598CAE" w14:textId="77777777" w:rsidTr="00A30564">
        <w:tc>
          <w:tcPr>
            <w:tcW w:w="3552" w:type="dxa"/>
          </w:tcPr>
          <w:p w14:paraId="78D686B4" w14:textId="01AB458E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110F46">
              <w:rPr>
                <w:lang w:val="uk-UA"/>
              </w:rPr>
              <w:t>Альтернатива 2.</w:t>
            </w:r>
          </w:p>
          <w:p w14:paraId="22981A86" w14:textId="77777777" w:rsidR="00E10E79" w:rsidRPr="00110F46" w:rsidRDefault="00E10E79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58FAA80B" w14:textId="3323C157" w:rsidR="002E7E5B" w:rsidRPr="00110F46" w:rsidRDefault="00E10E79" w:rsidP="003621AF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3239" w:type="dxa"/>
          </w:tcPr>
          <w:p w14:paraId="2D143E5B" w14:textId="699F0DE4" w:rsidR="002E0ADD" w:rsidRDefault="002E0ADD" w:rsidP="00131D7A">
            <w:pPr>
              <w:spacing w:after="0" w:line="240" w:lineRule="auto"/>
              <w:ind w:firstLine="169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Зростання надходжень до бюджетів усіх рівнів;</w:t>
            </w:r>
          </w:p>
          <w:p w14:paraId="42AE73B5" w14:textId="531C714E" w:rsidR="002E0ADD" w:rsidRPr="002E0ADD" w:rsidRDefault="00C05819" w:rsidP="00131D7A">
            <w:pPr>
              <w:spacing w:after="0" w:line="240" w:lineRule="auto"/>
              <w:ind w:firstLine="169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lastRenderedPageBreak/>
              <w:t>зрос</w:t>
            </w:r>
            <w:r w:rsidR="009D1D2E">
              <w:rPr>
                <w:color w:val="000000"/>
                <w:lang w:val="uk-UA" w:eastAsia="ru-RU"/>
              </w:rPr>
              <w:t>тання обсягів інвестицій, в тому числі</w:t>
            </w:r>
            <w:r>
              <w:rPr>
                <w:color w:val="000000"/>
                <w:lang w:val="uk-UA" w:eastAsia="ru-RU"/>
              </w:rPr>
              <w:t xml:space="preserve"> міжнародних;</w:t>
            </w:r>
            <w:r w:rsidR="002E0ADD">
              <w:rPr>
                <w:color w:val="000000"/>
                <w:lang w:val="uk-UA" w:eastAsia="ru-RU"/>
              </w:rPr>
              <w:t xml:space="preserve"> </w:t>
            </w:r>
          </w:p>
          <w:p w14:paraId="29C58EF2" w14:textId="062A19D2" w:rsidR="00515203" w:rsidRDefault="00ED7551" w:rsidP="00131D7A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р</w:t>
            </w:r>
            <w:r w:rsidR="002E7E5B" w:rsidRPr="00110F46">
              <w:rPr>
                <w:rFonts w:eastAsia="Times New Roman"/>
                <w:color w:val="000000"/>
                <w:lang w:val="uk-UA" w:eastAsia="ru-RU"/>
              </w:rPr>
              <w:t>еалізація державної політики щодо залучення приватних інвест</w:t>
            </w:r>
            <w:r w:rsidR="006021AB" w:rsidRPr="00110F46">
              <w:rPr>
                <w:rFonts w:eastAsia="Times New Roman"/>
                <w:color w:val="000000"/>
                <w:lang w:val="uk-UA" w:eastAsia="ru-RU"/>
              </w:rPr>
              <w:t>орів</w:t>
            </w:r>
            <w:r w:rsidR="002E7E5B" w:rsidRPr="00110F46">
              <w:rPr>
                <w:rFonts w:eastAsia="Times New Roman"/>
                <w:color w:val="000000"/>
                <w:lang w:val="uk-UA" w:eastAsia="ru-RU"/>
              </w:rPr>
              <w:t xml:space="preserve"> до участі в ро</w:t>
            </w:r>
            <w:r w:rsidR="00642A78" w:rsidRPr="00110F46">
              <w:rPr>
                <w:rFonts w:eastAsia="Times New Roman"/>
                <w:color w:val="000000"/>
                <w:lang w:val="uk-UA" w:eastAsia="ru-RU"/>
              </w:rPr>
              <w:t>звитку портової інфраструктури призведе до з</w:t>
            </w:r>
            <w:r w:rsidR="002E7E5B" w:rsidRPr="00110F46">
              <w:rPr>
                <w:rFonts w:eastAsia="Times New Roman"/>
                <w:color w:val="000000"/>
                <w:lang w:val="uk-UA" w:eastAsia="ru-RU"/>
              </w:rPr>
              <w:t>більшення доходів від портових зборів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та/або послуг щодо використання суб’єктами господарювання стратегічних об’єктів портової інфраструктури </w:t>
            </w:r>
            <w:r w:rsidR="002E7E5B" w:rsidRPr="00110F46">
              <w:rPr>
                <w:rFonts w:eastAsia="Times New Roman"/>
                <w:color w:val="000000"/>
                <w:lang w:val="uk-UA" w:eastAsia="ru-RU"/>
              </w:rPr>
              <w:t xml:space="preserve"> за рахунок введення в експлуатацію нових об</w:t>
            </w:r>
            <w:r w:rsidR="00D80C2C" w:rsidRPr="00110F46">
              <w:rPr>
                <w:rFonts w:eastAsia="Times New Roman"/>
                <w:color w:val="000000"/>
                <w:lang w:val="uk-UA" w:eastAsia="ru-RU"/>
              </w:rPr>
              <w:t>’єктів портової інфраструктури</w:t>
            </w:r>
            <w:r w:rsidR="00642A78" w:rsidRPr="00110F46">
              <w:rPr>
                <w:rFonts w:eastAsia="Times New Roman"/>
                <w:color w:val="000000"/>
                <w:lang w:val="uk-UA" w:eastAsia="ru-RU"/>
              </w:rPr>
              <w:t xml:space="preserve">, реконструкції і модернізації </w:t>
            </w:r>
            <w:r w:rsidR="00515203">
              <w:rPr>
                <w:rFonts w:eastAsia="Times New Roman"/>
                <w:color w:val="000000"/>
                <w:lang w:val="uk-UA" w:eastAsia="ru-RU"/>
              </w:rPr>
              <w:t>вже існуючих застарілих об’єктів;</w:t>
            </w:r>
          </w:p>
          <w:p w14:paraId="1BF6C89A" w14:textId="182D3142" w:rsidR="00C938BF" w:rsidRDefault="00642A78" w:rsidP="00131D7A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110F46">
              <w:rPr>
                <w:rFonts w:eastAsia="Times New Roman"/>
                <w:color w:val="000000"/>
                <w:lang w:val="uk-UA" w:eastAsia="ru-RU"/>
              </w:rPr>
              <w:t>з</w:t>
            </w:r>
            <w:r w:rsidR="00B05C97" w:rsidRPr="00110F46">
              <w:rPr>
                <w:rFonts w:eastAsia="Times New Roman"/>
                <w:color w:val="000000"/>
                <w:lang w:val="uk-UA" w:eastAsia="ru-RU"/>
              </w:rPr>
              <w:t>ростання</w:t>
            </w:r>
            <w:r w:rsidR="00C938BF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14:paraId="1051F9FD" w14:textId="77777777" w:rsidR="00291BE8" w:rsidRDefault="00B05C97" w:rsidP="00131D7A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110F46">
              <w:rPr>
                <w:rFonts w:eastAsia="Times New Roman"/>
                <w:color w:val="000000"/>
                <w:lang w:val="uk-UA" w:eastAsia="ru-RU"/>
              </w:rPr>
              <w:t>макроекономічних показників за рахунок розвитку інф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>раструктури морських терміналів, сплати податків, утворення в процесі реалізації про</w:t>
            </w:r>
            <w:r w:rsidR="00A972CC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>ктів нових робочих місць</w:t>
            </w:r>
            <w:r w:rsidR="00291BE8">
              <w:rPr>
                <w:rFonts w:eastAsia="Times New Roman"/>
                <w:color w:val="000000"/>
                <w:lang w:val="uk-UA" w:eastAsia="ru-RU"/>
              </w:rPr>
              <w:t>;</w:t>
            </w:r>
          </w:p>
          <w:p w14:paraId="47D200A0" w14:textId="77777777" w:rsidR="009D1D2E" w:rsidRDefault="00291BE8" w:rsidP="00131D7A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р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>озвиток портової інфраструктури, як наслідок, призводить до підвищення конкурентоспроможності українських портів у азовському, чорноморському та придунайському регіонах</w:t>
            </w:r>
            <w:r w:rsidR="00CA5E8B">
              <w:rPr>
                <w:rFonts w:eastAsia="Times New Roman"/>
                <w:color w:val="000000"/>
                <w:lang w:val="uk-UA" w:eastAsia="ru-RU"/>
              </w:rPr>
              <w:t>;</w:t>
            </w:r>
          </w:p>
          <w:p w14:paraId="24EB5380" w14:textId="663985E1" w:rsidR="00291BE8" w:rsidRDefault="005644B8" w:rsidP="00131D7A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покращення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характеристик морських портів (глибина портів, габарити причальної стінки, наявність та якість комунікацій) за рахунок реалізації відповідних інвестиційних про</w:t>
            </w:r>
            <w:r w:rsidR="00926051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>ктів призв</w:t>
            </w:r>
            <w:r w:rsidR="00CA5E8B">
              <w:rPr>
                <w:rFonts w:eastAsia="Times New Roman"/>
                <w:color w:val="000000"/>
                <w:lang w:val="uk-UA" w:eastAsia="ru-RU"/>
              </w:rPr>
              <w:t>еде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до підвищення інвестиційної привабливості тилових площ у морських портах, а отже – і до відповідного збільшення вантажопереробки</w:t>
            </w:r>
            <w:r w:rsidR="00F728A8">
              <w:rPr>
                <w:rFonts w:eastAsia="Times New Roman"/>
                <w:color w:val="000000"/>
                <w:lang w:val="uk-UA" w:eastAsia="ru-RU"/>
              </w:rPr>
              <w:t>;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14:paraId="230D8331" w14:textId="4C129BBA" w:rsidR="00DF118D" w:rsidRPr="00110F46" w:rsidRDefault="00F728A8" w:rsidP="009D1D2E">
            <w:pPr>
              <w:spacing w:after="0" w:line="240" w:lineRule="auto"/>
              <w:ind w:firstLine="16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lastRenderedPageBreak/>
              <w:t>виконання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ДП «АМПУ»  ряд</w:t>
            </w:r>
            <w:r w:rsidR="00520F63">
              <w:rPr>
                <w:rFonts w:eastAsia="Times New Roman"/>
                <w:color w:val="000000"/>
                <w:lang w:val="uk-UA" w:eastAsia="ru-RU"/>
              </w:rPr>
              <w:t>у</w:t>
            </w:r>
            <w:r w:rsidR="00DF118D" w:rsidRPr="00110F46">
              <w:rPr>
                <w:rFonts w:eastAsia="Times New Roman"/>
                <w:color w:val="000000"/>
                <w:lang w:val="uk-UA" w:eastAsia="ru-RU"/>
              </w:rPr>
              <w:t xml:space="preserve"> зобов’язань перед українськими та міжнародними контрагентами, реалізація яких, через брак коштів, можлива лише за наявності </w:t>
            </w:r>
            <w:r w:rsidR="009D1D2E">
              <w:rPr>
                <w:rFonts w:eastAsia="Times New Roman"/>
                <w:color w:val="000000"/>
                <w:lang w:val="uk-UA" w:eastAsia="ru-RU"/>
              </w:rPr>
              <w:t>додаткових джерел фінансування.</w:t>
            </w:r>
          </w:p>
        </w:tc>
        <w:tc>
          <w:tcPr>
            <w:tcW w:w="2837" w:type="dxa"/>
          </w:tcPr>
          <w:p w14:paraId="586EB66E" w14:textId="5A526004" w:rsidR="002E7E5B" w:rsidRPr="00E10E79" w:rsidRDefault="00A80F3B" w:rsidP="00131D7A">
            <w:pPr>
              <w:spacing w:after="0" w:line="240" w:lineRule="auto"/>
              <w:ind w:firstLine="189"/>
              <w:jc w:val="both"/>
              <w:rPr>
                <w:bCs/>
                <w:lang w:val="uk-UA"/>
              </w:rPr>
            </w:pPr>
            <w:r w:rsidRPr="00633FA8">
              <w:rPr>
                <w:bCs/>
                <w:lang w:val="uk-UA"/>
              </w:rPr>
              <w:lastRenderedPageBreak/>
              <w:t xml:space="preserve">Витрати ДП «АМПУ» на 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компенсацію інвестицій, внесених 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lastRenderedPageBreak/>
              <w:t>суб’єктами господарювання у стратегічні об’єкти портової інфраструктури, за рахунок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надходжень від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633FA8">
              <w:rPr>
                <w:lang w:val="uk-UA"/>
              </w:rPr>
              <w:t xml:space="preserve">портових зборів, плат за використання об’єктів портової інфраструктури, </w:t>
            </w:r>
            <w:r w:rsidRPr="00633FA8">
              <w:rPr>
                <w:rStyle w:val="10"/>
                <w:sz w:val="24"/>
                <w:lang w:val="uk-UA" w:eastAsia="uk-UA"/>
              </w:rPr>
              <w:t>плат за послуги ДП «АМПУ». При цьому</w:t>
            </w:r>
            <w:r w:rsidR="009D1D2E">
              <w:rPr>
                <w:rStyle w:val="10"/>
                <w:sz w:val="24"/>
                <w:lang w:val="uk-UA" w:eastAsia="uk-UA"/>
              </w:rPr>
              <w:t>,</w:t>
            </w:r>
            <w:r w:rsidRPr="00633FA8">
              <w:rPr>
                <w:rStyle w:val="10"/>
                <w:sz w:val="24"/>
                <w:lang w:val="uk-UA" w:eastAsia="uk-UA"/>
              </w:rPr>
              <w:t xml:space="preserve"> компенсації підлягатимуть лише кошти, що безпосередньо витрачені на виконання робіт.</w:t>
            </w:r>
          </w:p>
        </w:tc>
      </w:tr>
    </w:tbl>
    <w:p w14:paraId="022CE7D8" w14:textId="77777777" w:rsidR="004C213B" w:rsidRPr="005B216E" w:rsidRDefault="004C213B" w:rsidP="003621A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14:paraId="0AD32589" w14:textId="09DD19A1" w:rsidR="002E7E5B" w:rsidRPr="005B216E" w:rsidRDefault="002E7E5B" w:rsidP="00A30564">
      <w:pPr>
        <w:spacing w:after="0" w:line="240" w:lineRule="auto"/>
        <w:jc w:val="center"/>
        <w:rPr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t>Оцінка впл</w:t>
      </w:r>
      <w:r w:rsidR="00D80C2C" w:rsidRPr="005B216E">
        <w:rPr>
          <w:sz w:val="28"/>
          <w:szCs w:val="28"/>
          <w:lang w:val="uk-UA"/>
        </w:rPr>
        <w:t>иву на сферу інтересів громадян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120"/>
      </w:tblGrid>
      <w:tr w:rsidR="002E7E5B" w:rsidRPr="005B216E" w14:paraId="21101A8C" w14:textId="77777777" w:rsidTr="003621AF">
        <w:tc>
          <w:tcPr>
            <w:tcW w:w="5098" w:type="dxa"/>
          </w:tcPr>
          <w:p w14:paraId="6153A9EC" w14:textId="77777777" w:rsidR="002E7E5B" w:rsidRPr="00774C8D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774C8D">
              <w:rPr>
                <w:bCs/>
                <w:lang w:val="uk-UA"/>
              </w:rPr>
              <w:t>Вид альтернативи</w:t>
            </w:r>
          </w:p>
        </w:tc>
        <w:tc>
          <w:tcPr>
            <w:tcW w:w="2410" w:type="dxa"/>
          </w:tcPr>
          <w:p w14:paraId="61AAA291" w14:textId="77777777" w:rsidR="002E7E5B" w:rsidRPr="00774C8D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774C8D">
              <w:rPr>
                <w:bCs/>
                <w:lang w:val="uk-UA"/>
              </w:rPr>
              <w:t>Вигоди</w:t>
            </w:r>
          </w:p>
        </w:tc>
        <w:tc>
          <w:tcPr>
            <w:tcW w:w="2120" w:type="dxa"/>
          </w:tcPr>
          <w:p w14:paraId="6A2B7ABA" w14:textId="77777777" w:rsidR="002E7E5B" w:rsidRPr="00774C8D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774C8D">
              <w:rPr>
                <w:bCs/>
                <w:lang w:val="uk-UA"/>
              </w:rPr>
              <w:t>Витрати</w:t>
            </w:r>
          </w:p>
        </w:tc>
      </w:tr>
      <w:tr w:rsidR="002E7E5B" w:rsidRPr="005B216E" w14:paraId="5018E49C" w14:textId="77777777" w:rsidTr="003621AF">
        <w:tc>
          <w:tcPr>
            <w:tcW w:w="5098" w:type="dxa"/>
          </w:tcPr>
          <w:p w14:paraId="01D732B2" w14:textId="67A0072D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774C8D">
              <w:rPr>
                <w:lang w:val="uk-UA"/>
              </w:rPr>
              <w:t>Альтернатива 1.</w:t>
            </w:r>
          </w:p>
          <w:p w14:paraId="014038D8" w14:textId="77777777" w:rsidR="003A05CF" w:rsidRPr="00774C8D" w:rsidRDefault="003A05CF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3CC834D8" w14:textId="77777777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774C8D">
              <w:rPr>
                <w:lang w:val="uk-UA"/>
              </w:rPr>
              <w:t xml:space="preserve">Збереження </w:t>
            </w:r>
            <w:r w:rsidR="0046032B" w:rsidRPr="00774C8D">
              <w:rPr>
                <w:lang w:val="uk-UA"/>
              </w:rPr>
              <w:t>чинного регулювання</w:t>
            </w:r>
          </w:p>
          <w:p w14:paraId="37C0953B" w14:textId="11672377" w:rsidR="003A05CF" w:rsidRPr="00774C8D" w:rsidRDefault="003A05CF" w:rsidP="003621AF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2410" w:type="dxa"/>
          </w:tcPr>
          <w:p w14:paraId="7229C59C" w14:textId="169F2A1C" w:rsidR="002E7E5B" w:rsidRPr="00774C8D" w:rsidRDefault="00FF009D" w:rsidP="003621A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Відсутні</w:t>
            </w:r>
          </w:p>
        </w:tc>
        <w:tc>
          <w:tcPr>
            <w:tcW w:w="2120" w:type="dxa"/>
          </w:tcPr>
          <w:p w14:paraId="478EE5F6" w14:textId="2DBB0912" w:rsidR="002E7E5B" w:rsidRPr="00774C8D" w:rsidRDefault="00411132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Відсутні</w:t>
            </w:r>
          </w:p>
        </w:tc>
      </w:tr>
      <w:tr w:rsidR="002E7E5B" w:rsidRPr="005B216E" w14:paraId="04CB4E91" w14:textId="77777777" w:rsidTr="003621AF">
        <w:tc>
          <w:tcPr>
            <w:tcW w:w="5098" w:type="dxa"/>
          </w:tcPr>
          <w:p w14:paraId="66071122" w14:textId="597827F7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774C8D">
              <w:rPr>
                <w:lang w:val="uk-UA"/>
              </w:rPr>
              <w:t>Альтернатива 2.</w:t>
            </w:r>
          </w:p>
          <w:p w14:paraId="71A201A3" w14:textId="77777777" w:rsidR="003A05CF" w:rsidRPr="00774C8D" w:rsidRDefault="003A05CF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382924BC" w14:textId="14DF3E8F" w:rsidR="002E7E5B" w:rsidRPr="00774C8D" w:rsidRDefault="003A05CF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2410" w:type="dxa"/>
          </w:tcPr>
          <w:p w14:paraId="1D7322E8" w14:textId="1562D2C0" w:rsidR="002E7E5B" w:rsidRPr="00774C8D" w:rsidRDefault="00E56932" w:rsidP="0013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bCs/>
                <w:lang w:val="uk-UA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С</w:t>
            </w:r>
            <w:r w:rsidR="00D80C2C" w:rsidRPr="00774C8D">
              <w:rPr>
                <w:rFonts w:eastAsia="Times New Roman"/>
                <w:color w:val="000000"/>
                <w:lang w:val="uk-UA" w:eastAsia="ru-RU"/>
              </w:rPr>
              <w:t>творення</w:t>
            </w:r>
            <w:r w:rsidR="002E7E5B" w:rsidRPr="00774C8D">
              <w:rPr>
                <w:rFonts w:eastAsia="Times New Roman"/>
                <w:color w:val="000000"/>
                <w:lang w:val="uk-UA" w:eastAsia="ru-RU"/>
              </w:rPr>
              <w:t xml:space="preserve"> нових робочих місць </w:t>
            </w:r>
            <w:r w:rsidR="006021AB" w:rsidRPr="00774C8D">
              <w:rPr>
                <w:rFonts w:eastAsia="Times New Roman"/>
                <w:color w:val="000000"/>
                <w:lang w:val="uk-UA" w:eastAsia="ru-RU"/>
              </w:rPr>
              <w:t>в результаті</w:t>
            </w:r>
            <w:r w:rsidR="002E7E5B" w:rsidRPr="00774C8D">
              <w:rPr>
                <w:rFonts w:eastAsia="Times New Roman"/>
                <w:color w:val="000000"/>
                <w:lang w:val="uk-UA" w:eastAsia="ru-RU"/>
              </w:rPr>
              <w:t xml:space="preserve"> розвитк</w:t>
            </w:r>
            <w:r w:rsidR="00FB10D4" w:rsidRPr="00774C8D">
              <w:rPr>
                <w:rFonts w:eastAsia="Times New Roman"/>
                <w:color w:val="000000"/>
                <w:lang w:val="uk-UA" w:eastAsia="ru-RU"/>
              </w:rPr>
              <w:t>у</w:t>
            </w:r>
            <w:r w:rsidR="002E7E5B" w:rsidRPr="00774C8D">
              <w:rPr>
                <w:rFonts w:eastAsia="Times New Roman"/>
                <w:color w:val="000000"/>
                <w:lang w:val="uk-UA" w:eastAsia="ru-RU"/>
              </w:rPr>
              <w:t xml:space="preserve"> портової інфраст</w:t>
            </w:r>
            <w:r w:rsidR="00FB10D4" w:rsidRPr="00774C8D">
              <w:rPr>
                <w:rFonts w:eastAsia="Times New Roman"/>
                <w:color w:val="000000"/>
                <w:lang w:val="uk-UA" w:eastAsia="ru-RU"/>
              </w:rPr>
              <w:t>руктури</w:t>
            </w:r>
            <w:r w:rsidR="00DF118D" w:rsidRPr="00774C8D">
              <w:rPr>
                <w:rFonts w:eastAsia="Times New Roman"/>
                <w:color w:val="000000"/>
                <w:lang w:val="uk-UA" w:eastAsia="ru-RU"/>
              </w:rPr>
              <w:t xml:space="preserve">, кількість яких буде </w:t>
            </w:r>
            <w:r w:rsidR="00794A11">
              <w:rPr>
                <w:rFonts w:eastAsia="Times New Roman"/>
                <w:color w:val="000000"/>
                <w:lang w:val="uk-UA" w:eastAsia="ru-RU"/>
              </w:rPr>
              <w:t>прямо-</w:t>
            </w:r>
            <w:proofErr w:type="spellStart"/>
            <w:r w:rsidR="00794A11">
              <w:rPr>
                <w:rFonts w:eastAsia="Times New Roman"/>
                <w:color w:val="000000"/>
                <w:lang w:val="uk-UA" w:eastAsia="ru-RU"/>
              </w:rPr>
              <w:t>пропорційно</w:t>
            </w:r>
            <w:proofErr w:type="spellEnd"/>
            <w:r w:rsidR="00794A11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="00DF118D" w:rsidRPr="00774C8D">
              <w:rPr>
                <w:rFonts w:eastAsia="Times New Roman"/>
                <w:color w:val="000000"/>
                <w:lang w:val="uk-UA" w:eastAsia="ru-RU"/>
              </w:rPr>
              <w:t>залежати від кількості реалізованих про</w:t>
            </w:r>
            <w:r w:rsidR="005644B8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DF118D" w:rsidRPr="00774C8D">
              <w:rPr>
                <w:rFonts w:eastAsia="Times New Roman"/>
                <w:color w:val="000000"/>
                <w:lang w:val="uk-UA" w:eastAsia="ru-RU"/>
              </w:rPr>
              <w:t>ктів та</w:t>
            </w:r>
            <w:r w:rsidR="005644B8">
              <w:rPr>
                <w:rFonts w:eastAsia="Times New Roman"/>
                <w:color w:val="000000"/>
                <w:lang w:val="uk-UA" w:eastAsia="ru-RU"/>
              </w:rPr>
              <w:t xml:space="preserve"> темпів</w:t>
            </w:r>
            <w:r w:rsidR="00DF118D" w:rsidRPr="00774C8D">
              <w:rPr>
                <w:rFonts w:eastAsia="Times New Roman"/>
                <w:color w:val="000000"/>
                <w:lang w:val="uk-UA" w:eastAsia="ru-RU"/>
              </w:rPr>
              <w:t xml:space="preserve"> макроекономічного зростання.</w:t>
            </w:r>
          </w:p>
        </w:tc>
        <w:tc>
          <w:tcPr>
            <w:tcW w:w="2120" w:type="dxa"/>
          </w:tcPr>
          <w:p w14:paraId="650ED341" w14:textId="0D8F70C6" w:rsidR="002E7E5B" w:rsidRPr="00774C8D" w:rsidRDefault="006B1FA0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Відсутні</w:t>
            </w:r>
          </w:p>
        </w:tc>
      </w:tr>
    </w:tbl>
    <w:p w14:paraId="0691BE03" w14:textId="77777777" w:rsidR="002E7E5B" w:rsidRPr="005B216E" w:rsidRDefault="002E7E5B" w:rsidP="003621A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14:paraId="20332872" w14:textId="4F4A451E" w:rsidR="002E7E5B" w:rsidRPr="005B216E" w:rsidRDefault="002E7E5B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B217BA">
        <w:rPr>
          <w:sz w:val="28"/>
          <w:szCs w:val="28"/>
          <w:lang w:val="uk-UA"/>
        </w:rPr>
        <w:t>Оцінка впливу на сферу інт</w:t>
      </w:r>
      <w:r w:rsidR="006021AB" w:rsidRPr="00B217BA">
        <w:rPr>
          <w:sz w:val="28"/>
          <w:szCs w:val="28"/>
          <w:lang w:val="uk-UA"/>
        </w:rPr>
        <w:t>ересів суб’єктів господарювання</w:t>
      </w:r>
    </w:p>
    <w:p w14:paraId="6F4A7580" w14:textId="25D15915" w:rsidR="00DF118D" w:rsidRPr="005B216E" w:rsidRDefault="00DF118D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40C58D7C" w14:textId="49870271" w:rsidR="00A30564" w:rsidRDefault="00DF118D" w:rsidP="009D1D2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bookmarkStart w:id="0" w:name="_Hlk166674335"/>
      <w:r w:rsidRPr="005B216E">
        <w:rPr>
          <w:sz w:val="28"/>
          <w:szCs w:val="28"/>
          <w:lang w:val="uk-UA"/>
        </w:rPr>
        <w:t xml:space="preserve">Загальна кількість суб’єктів господарювання, що </w:t>
      </w:r>
      <w:r w:rsidR="005B216E" w:rsidRPr="005B216E">
        <w:rPr>
          <w:sz w:val="28"/>
          <w:szCs w:val="28"/>
          <w:lang w:val="uk-UA"/>
        </w:rPr>
        <w:t>підпада</w:t>
      </w:r>
      <w:r w:rsidR="00255CF8">
        <w:rPr>
          <w:sz w:val="28"/>
          <w:szCs w:val="28"/>
          <w:lang w:val="uk-UA"/>
        </w:rPr>
        <w:t>ють</w:t>
      </w:r>
      <w:r w:rsidR="005B216E" w:rsidRPr="005B216E">
        <w:rPr>
          <w:sz w:val="28"/>
          <w:szCs w:val="28"/>
          <w:lang w:val="uk-UA"/>
        </w:rPr>
        <w:t xml:space="preserve"> під дію регулювання</w:t>
      </w:r>
      <w:r w:rsidR="005A1F2D">
        <w:rPr>
          <w:sz w:val="28"/>
          <w:szCs w:val="28"/>
          <w:lang w:val="uk-UA"/>
        </w:rPr>
        <w:t xml:space="preserve"> </w:t>
      </w:r>
      <w:r w:rsidR="009D1D2E">
        <w:rPr>
          <w:sz w:val="28"/>
          <w:szCs w:val="28"/>
          <w:lang w:val="uk-UA"/>
        </w:rPr>
        <w:t xml:space="preserve">регуляторного </w:t>
      </w:r>
      <w:r w:rsidR="007915A9">
        <w:rPr>
          <w:sz w:val="28"/>
          <w:szCs w:val="28"/>
          <w:lang w:val="uk-UA"/>
        </w:rPr>
        <w:t>акта</w:t>
      </w:r>
      <w:r w:rsidR="009A1AF3">
        <w:rPr>
          <w:sz w:val="28"/>
          <w:szCs w:val="28"/>
          <w:lang w:val="uk-UA"/>
        </w:rPr>
        <w:t>,</w:t>
      </w:r>
      <w:r w:rsidR="005B216E" w:rsidRPr="005B216E">
        <w:rPr>
          <w:sz w:val="28"/>
          <w:szCs w:val="28"/>
          <w:lang w:val="uk-UA"/>
        </w:rPr>
        <w:t xml:space="preserve"> складає </w:t>
      </w:r>
      <w:r w:rsidR="00B217BA">
        <w:rPr>
          <w:sz w:val="28"/>
          <w:szCs w:val="28"/>
          <w:lang w:val="uk-UA"/>
        </w:rPr>
        <w:t>близько ста</w:t>
      </w:r>
      <w:r w:rsidR="005B216E" w:rsidRPr="005B216E">
        <w:rPr>
          <w:sz w:val="28"/>
          <w:szCs w:val="28"/>
          <w:lang w:val="uk-UA"/>
        </w:rPr>
        <w:t xml:space="preserve"> портових операторів (відповідно до інформації з </w:t>
      </w:r>
      <w:r w:rsidR="005063B3">
        <w:rPr>
          <w:sz w:val="28"/>
          <w:szCs w:val="28"/>
          <w:lang w:val="uk-UA"/>
        </w:rPr>
        <w:t>Р</w:t>
      </w:r>
      <w:r w:rsidR="005B216E" w:rsidRPr="005B216E">
        <w:rPr>
          <w:sz w:val="28"/>
          <w:szCs w:val="28"/>
          <w:lang w:val="uk-UA"/>
        </w:rPr>
        <w:t>еєстру морських портів). Інші компанії, що провадять діяльність в морських портах</w:t>
      </w:r>
      <w:r w:rsidR="00365AD0">
        <w:rPr>
          <w:sz w:val="28"/>
          <w:szCs w:val="28"/>
          <w:lang w:val="uk-UA"/>
        </w:rPr>
        <w:t>,</w:t>
      </w:r>
      <w:r w:rsidR="005B216E" w:rsidRPr="005B216E">
        <w:rPr>
          <w:sz w:val="28"/>
          <w:szCs w:val="28"/>
          <w:lang w:val="uk-UA"/>
        </w:rPr>
        <w:t xml:space="preserve"> також потенційно можуть бути стороною в договорах про компенсацію інвестицій, однак з меншою вірогідністю.</w:t>
      </w:r>
      <w:bookmarkEnd w:id="0"/>
    </w:p>
    <w:p w14:paraId="086A3266" w14:textId="77777777" w:rsidR="00A30564" w:rsidRDefault="00A30564" w:rsidP="00A30564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974"/>
        <w:gridCol w:w="1013"/>
        <w:gridCol w:w="850"/>
        <w:gridCol w:w="991"/>
        <w:gridCol w:w="985"/>
      </w:tblGrid>
      <w:tr w:rsidR="00A30564" w:rsidRPr="00A1535D" w14:paraId="1CB0DCA2" w14:textId="77777777" w:rsidTr="00A30564">
        <w:tc>
          <w:tcPr>
            <w:tcW w:w="4815" w:type="dxa"/>
          </w:tcPr>
          <w:p w14:paraId="587F8C24" w14:textId="2AEBA012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position w:val="-2"/>
                <w:lang w:val="uk-UA" w:eastAsia="ru-RU"/>
              </w:rPr>
              <w:t>Показник</w:t>
            </w:r>
          </w:p>
        </w:tc>
        <w:tc>
          <w:tcPr>
            <w:tcW w:w="974" w:type="dxa"/>
            <w:vAlign w:val="center"/>
          </w:tcPr>
          <w:p w14:paraId="303029FB" w14:textId="090CFEA7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spacing w:val="-2"/>
                <w:lang w:val="uk-UA"/>
              </w:rPr>
              <w:t>Великі</w:t>
            </w:r>
          </w:p>
        </w:tc>
        <w:tc>
          <w:tcPr>
            <w:tcW w:w="1013" w:type="dxa"/>
            <w:vAlign w:val="center"/>
          </w:tcPr>
          <w:p w14:paraId="42C7410C" w14:textId="5291F02F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spacing w:val="-2"/>
                <w:lang w:val="uk-UA"/>
              </w:rPr>
              <w:t>Середні</w:t>
            </w:r>
          </w:p>
        </w:tc>
        <w:tc>
          <w:tcPr>
            <w:tcW w:w="850" w:type="dxa"/>
            <w:vAlign w:val="center"/>
          </w:tcPr>
          <w:p w14:paraId="71175268" w14:textId="43B818A9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spacing w:val="-4"/>
                <w:lang w:val="uk-UA"/>
              </w:rPr>
              <w:t>Малі</w:t>
            </w:r>
          </w:p>
        </w:tc>
        <w:tc>
          <w:tcPr>
            <w:tcW w:w="991" w:type="dxa"/>
            <w:vAlign w:val="center"/>
          </w:tcPr>
          <w:p w14:paraId="26C152F3" w14:textId="0896E038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spacing w:val="-2"/>
                <w:lang w:val="uk-UA"/>
              </w:rPr>
              <w:t>Мікро</w:t>
            </w:r>
          </w:p>
        </w:tc>
        <w:tc>
          <w:tcPr>
            <w:tcW w:w="985" w:type="dxa"/>
            <w:vAlign w:val="center"/>
          </w:tcPr>
          <w:p w14:paraId="6197EECB" w14:textId="1F246923" w:rsidR="00A30564" w:rsidRPr="00A1535D" w:rsidRDefault="00A30564" w:rsidP="00A30564">
            <w:pPr>
              <w:jc w:val="both"/>
              <w:rPr>
                <w:sz w:val="28"/>
                <w:szCs w:val="28"/>
                <w:lang w:val="uk-UA"/>
              </w:rPr>
            </w:pPr>
            <w:r w:rsidRPr="00A1535D">
              <w:rPr>
                <w:spacing w:val="-2"/>
                <w:lang w:val="uk-UA"/>
              </w:rPr>
              <w:t>Разом</w:t>
            </w:r>
          </w:p>
        </w:tc>
      </w:tr>
      <w:tr w:rsidR="00A30564" w:rsidRPr="00A1535D" w14:paraId="5D53BDCC" w14:textId="77777777" w:rsidTr="00A30564">
        <w:tc>
          <w:tcPr>
            <w:tcW w:w="4815" w:type="dxa"/>
          </w:tcPr>
          <w:p w14:paraId="039BEE71" w14:textId="77777777" w:rsidR="00A30564" w:rsidRPr="00A1535D" w:rsidRDefault="00A30564" w:rsidP="00A30564">
            <w:pPr>
              <w:jc w:val="both"/>
              <w:rPr>
                <w:lang w:val="uk-UA"/>
              </w:rPr>
            </w:pPr>
            <w:r w:rsidRPr="00A1535D">
              <w:rPr>
                <w:lang w:val="uk-UA"/>
              </w:rPr>
              <w:t>Кількість суб’єктів господарювання, що</w:t>
            </w:r>
          </w:p>
          <w:p w14:paraId="480CE222" w14:textId="1017117D" w:rsidR="00A30564" w:rsidRPr="00A1535D" w:rsidRDefault="00A30564" w:rsidP="00A30564">
            <w:pPr>
              <w:jc w:val="both"/>
              <w:rPr>
                <w:lang w:val="uk-UA"/>
              </w:rPr>
            </w:pPr>
            <w:r w:rsidRPr="00A1535D">
              <w:rPr>
                <w:lang w:val="uk-UA"/>
              </w:rPr>
              <w:t>підпадають під дію регулювання, одиниць</w:t>
            </w:r>
          </w:p>
        </w:tc>
        <w:tc>
          <w:tcPr>
            <w:tcW w:w="1987" w:type="dxa"/>
            <w:gridSpan w:val="2"/>
          </w:tcPr>
          <w:p w14:paraId="4B463EF3" w14:textId="014FAD0E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spacing w:val="-5"/>
                <w:lang w:val="uk-UA"/>
              </w:rPr>
              <w:t>100</w:t>
            </w:r>
          </w:p>
        </w:tc>
        <w:tc>
          <w:tcPr>
            <w:tcW w:w="850" w:type="dxa"/>
          </w:tcPr>
          <w:p w14:paraId="60E9CFE2" w14:textId="68AEAE53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w w:val="104"/>
                <w:lang w:val="uk-UA"/>
              </w:rPr>
              <w:t>0</w:t>
            </w:r>
          </w:p>
        </w:tc>
        <w:tc>
          <w:tcPr>
            <w:tcW w:w="991" w:type="dxa"/>
          </w:tcPr>
          <w:p w14:paraId="04D9089E" w14:textId="1062A7DC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w w:val="104"/>
                <w:lang w:val="uk-UA"/>
              </w:rPr>
              <w:t>0</w:t>
            </w:r>
          </w:p>
        </w:tc>
        <w:tc>
          <w:tcPr>
            <w:tcW w:w="985" w:type="dxa"/>
          </w:tcPr>
          <w:p w14:paraId="152C3E03" w14:textId="20F663CE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lang w:val="uk-UA"/>
              </w:rPr>
              <w:t>100</w:t>
            </w:r>
          </w:p>
        </w:tc>
      </w:tr>
      <w:tr w:rsidR="00A30564" w:rsidRPr="00A1535D" w14:paraId="4C4447FC" w14:textId="77777777" w:rsidTr="00A30564">
        <w:tc>
          <w:tcPr>
            <w:tcW w:w="4815" w:type="dxa"/>
          </w:tcPr>
          <w:p w14:paraId="70A52A9A" w14:textId="0E91B861" w:rsidR="00A30564" w:rsidRPr="00A1535D" w:rsidRDefault="00A30564" w:rsidP="00A30564">
            <w:pPr>
              <w:jc w:val="both"/>
              <w:rPr>
                <w:lang w:val="uk-UA"/>
              </w:rPr>
            </w:pPr>
            <w:r w:rsidRPr="00A1535D">
              <w:rPr>
                <w:lang w:val="uk-UA"/>
              </w:rPr>
              <w:t>Питома вага групи у загальній  кількості, відсотків</w:t>
            </w:r>
          </w:p>
        </w:tc>
        <w:tc>
          <w:tcPr>
            <w:tcW w:w="1987" w:type="dxa"/>
            <w:gridSpan w:val="2"/>
          </w:tcPr>
          <w:p w14:paraId="05B3F126" w14:textId="0C376B5A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spacing w:val="-4"/>
                <w:lang w:val="uk-UA"/>
              </w:rPr>
              <w:t>100%</w:t>
            </w:r>
          </w:p>
        </w:tc>
        <w:tc>
          <w:tcPr>
            <w:tcW w:w="850" w:type="dxa"/>
          </w:tcPr>
          <w:p w14:paraId="6336E6D1" w14:textId="451E20B4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spacing w:val="-5"/>
                <w:lang w:val="uk-UA"/>
              </w:rPr>
              <w:t>0%</w:t>
            </w:r>
          </w:p>
        </w:tc>
        <w:tc>
          <w:tcPr>
            <w:tcW w:w="991" w:type="dxa"/>
          </w:tcPr>
          <w:p w14:paraId="4C41B99D" w14:textId="2FD97E65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spacing w:val="-5"/>
                <w:lang w:val="uk-UA"/>
              </w:rPr>
              <w:t>0%</w:t>
            </w:r>
          </w:p>
        </w:tc>
        <w:tc>
          <w:tcPr>
            <w:tcW w:w="985" w:type="dxa"/>
          </w:tcPr>
          <w:p w14:paraId="107AA623" w14:textId="45D2BCD6" w:rsidR="00A30564" w:rsidRPr="00A1535D" w:rsidRDefault="00A30564" w:rsidP="00A30564">
            <w:pPr>
              <w:jc w:val="center"/>
              <w:rPr>
                <w:sz w:val="28"/>
                <w:szCs w:val="28"/>
                <w:lang w:val="uk-UA"/>
              </w:rPr>
            </w:pPr>
            <w:r w:rsidRPr="00A1535D">
              <w:rPr>
                <w:spacing w:val="-5"/>
                <w:lang w:val="uk-UA"/>
              </w:rPr>
              <w:t>100</w:t>
            </w:r>
          </w:p>
        </w:tc>
      </w:tr>
    </w:tbl>
    <w:p w14:paraId="06335DE4" w14:textId="4EBE3CB4" w:rsidR="006021AB" w:rsidRDefault="005B216E" w:rsidP="00A1535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B216E">
        <w:rPr>
          <w:sz w:val="28"/>
          <w:szCs w:val="28"/>
          <w:lang w:val="uk-UA"/>
        </w:rPr>
        <w:t xml:space="preserve"> </w:t>
      </w:r>
    </w:p>
    <w:p w14:paraId="43B55563" w14:textId="77777777" w:rsidR="008A1181" w:rsidRPr="008A1181" w:rsidRDefault="008A1181" w:rsidP="008A1181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657"/>
        <w:gridCol w:w="2976"/>
      </w:tblGrid>
      <w:tr w:rsidR="002E7E5B" w:rsidRPr="005B216E" w14:paraId="071BC2C9" w14:textId="77777777" w:rsidTr="00A1535D">
        <w:tc>
          <w:tcPr>
            <w:tcW w:w="3001" w:type="dxa"/>
          </w:tcPr>
          <w:p w14:paraId="65A36F75" w14:textId="77777777" w:rsidR="002E7E5B" w:rsidRPr="00B12E38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B12E38">
              <w:rPr>
                <w:bCs/>
                <w:lang w:val="uk-UA"/>
              </w:rPr>
              <w:lastRenderedPageBreak/>
              <w:t>Вид альтернативи</w:t>
            </w:r>
          </w:p>
        </w:tc>
        <w:tc>
          <w:tcPr>
            <w:tcW w:w="3657" w:type="dxa"/>
          </w:tcPr>
          <w:p w14:paraId="49F7D7BC" w14:textId="77777777" w:rsidR="002E7E5B" w:rsidRPr="00B12E38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B12E38">
              <w:rPr>
                <w:bCs/>
                <w:lang w:val="uk-UA"/>
              </w:rPr>
              <w:t>Вигоди</w:t>
            </w:r>
          </w:p>
        </w:tc>
        <w:tc>
          <w:tcPr>
            <w:tcW w:w="2976" w:type="dxa"/>
          </w:tcPr>
          <w:p w14:paraId="441C2748" w14:textId="77777777" w:rsidR="002E7E5B" w:rsidRPr="00B12E38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B12E38">
              <w:rPr>
                <w:bCs/>
                <w:lang w:val="uk-UA"/>
              </w:rPr>
              <w:t>Витрати</w:t>
            </w:r>
          </w:p>
        </w:tc>
      </w:tr>
      <w:tr w:rsidR="002E7E5B" w:rsidRPr="005B216E" w14:paraId="35534154" w14:textId="77777777" w:rsidTr="00A1535D">
        <w:tc>
          <w:tcPr>
            <w:tcW w:w="3001" w:type="dxa"/>
          </w:tcPr>
          <w:p w14:paraId="4F0C5363" w14:textId="50FF53D3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B12E38">
              <w:rPr>
                <w:lang w:val="uk-UA"/>
              </w:rPr>
              <w:t>Альтернатива 1.</w:t>
            </w:r>
          </w:p>
          <w:p w14:paraId="6E3F9B38" w14:textId="77777777" w:rsidR="006A035E" w:rsidRPr="00B12E38" w:rsidRDefault="006A035E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45DD391C" w14:textId="77777777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B12E38">
              <w:rPr>
                <w:lang w:val="uk-UA"/>
              </w:rPr>
              <w:t xml:space="preserve">Збереження </w:t>
            </w:r>
            <w:r w:rsidR="0046032B" w:rsidRPr="00B12E38">
              <w:rPr>
                <w:lang w:val="uk-UA"/>
              </w:rPr>
              <w:t>чинного регулювання</w:t>
            </w:r>
          </w:p>
          <w:p w14:paraId="26E7E9EA" w14:textId="19329DD2" w:rsidR="006A035E" w:rsidRPr="00B12E38" w:rsidRDefault="006A035E" w:rsidP="003621AF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3657" w:type="dxa"/>
          </w:tcPr>
          <w:p w14:paraId="2A056D88" w14:textId="2CB64B78" w:rsidR="002E7E5B" w:rsidRPr="00B12E38" w:rsidRDefault="00031EA9" w:rsidP="003621A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2976" w:type="dxa"/>
          </w:tcPr>
          <w:p w14:paraId="2D47C4BD" w14:textId="2A2FD4A2" w:rsidR="002E7E5B" w:rsidRPr="00B12E38" w:rsidRDefault="00B05C97" w:rsidP="003621AF">
            <w:pPr>
              <w:spacing w:after="0" w:line="240" w:lineRule="auto"/>
              <w:jc w:val="center"/>
              <w:rPr>
                <w:lang w:val="uk-UA"/>
              </w:rPr>
            </w:pPr>
            <w:r w:rsidRPr="00B12E38">
              <w:rPr>
                <w:rFonts w:eastAsia="Times New Roman"/>
                <w:color w:val="000000"/>
                <w:lang w:val="uk-UA" w:eastAsia="ru-RU"/>
              </w:rPr>
              <w:t>Неможливість реалізації ряд</w:t>
            </w:r>
            <w:r w:rsidR="00547617">
              <w:rPr>
                <w:rFonts w:eastAsia="Times New Roman"/>
                <w:color w:val="000000"/>
                <w:lang w:val="uk-UA" w:eastAsia="ru-RU"/>
              </w:rPr>
              <w:t>у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про</w:t>
            </w:r>
            <w:r w:rsidR="00DB28A8"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ктів</w:t>
            </w:r>
          </w:p>
        </w:tc>
      </w:tr>
      <w:tr w:rsidR="002E7E5B" w:rsidRPr="0067565A" w14:paraId="673D926C" w14:textId="77777777" w:rsidTr="00A1535D">
        <w:tc>
          <w:tcPr>
            <w:tcW w:w="3001" w:type="dxa"/>
          </w:tcPr>
          <w:p w14:paraId="55FE15F8" w14:textId="2EA7AC6D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B12E38">
              <w:rPr>
                <w:lang w:val="uk-UA"/>
              </w:rPr>
              <w:t>Альтернатива 2.</w:t>
            </w:r>
          </w:p>
          <w:p w14:paraId="718E8F30" w14:textId="77777777" w:rsidR="006A035E" w:rsidRPr="00B12E38" w:rsidRDefault="006A035E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0F9DBEDC" w14:textId="0648E71C" w:rsidR="002E7E5B" w:rsidRPr="00B12E38" w:rsidRDefault="006A035E" w:rsidP="003621AF">
            <w:pPr>
              <w:spacing w:after="0" w:line="240" w:lineRule="auto"/>
              <w:jc w:val="both"/>
              <w:rPr>
                <w:bCs/>
                <w:lang w:val="uk-UA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3657" w:type="dxa"/>
          </w:tcPr>
          <w:p w14:paraId="31AFC9C0" w14:textId="2DDB07B9" w:rsidR="002E7E5B" w:rsidRPr="00B12E38" w:rsidRDefault="00B05C97" w:rsidP="00EF1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bCs/>
                <w:lang w:val="uk-UA"/>
              </w:rPr>
            </w:pPr>
            <w:r w:rsidRPr="00B12E38">
              <w:rPr>
                <w:rFonts w:eastAsia="Times New Roman"/>
                <w:color w:val="000000"/>
                <w:lang w:val="uk-UA" w:eastAsia="ru-RU"/>
              </w:rPr>
              <w:t>Встановлення механізму повернення приватних коштів, що були залучені в ро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звиток портової інфраструктури</w:t>
            </w:r>
            <w:r w:rsidR="00A40CA2">
              <w:rPr>
                <w:rFonts w:eastAsia="Times New Roman"/>
                <w:color w:val="000000"/>
                <w:lang w:val="uk-UA" w:eastAsia="ru-RU"/>
              </w:rPr>
              <w:t>,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створить м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ожливість прискорення реалізації про</w:t>
            </w:r>
            <w:r w:rsidR="00A40CA2"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ктів, в яких зацікавлений бізнес.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Така можливість сприятиме суб’єктам господарювання в підвищенні їх конкурентоспроможності у строки, що відповідають саме їх фінансовим можливостям, а не можливостям держави або державного підприємства. Тобто, на даний момент розвиток стратегічних об’єктів портової інфраструктури можливий майже лише за наявності коштів у ДП «АМПУ», оскільки саме ДП «АМПУ» приймає рішення щодо реалізації того чи іншого про</w:t>
            </w:r>
            <w:r w:rsidR="004E1E29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кту, з урахуванням фінансового плану та затверджених про</w:t>
            </w:r>
            <w:r w:rsidR="00A40CA2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ктів. Із прийняттям </w:t>
            </w:r>
            <w:r w:rsidR="00EF106F">
              <w:rPr>
                <w:rFonts w:eastAsia="Times New Roman"/>
                <w:color w:val="000000"/>
                <w:lang w:val="uk-UA" w:eastAsia="ru-RU"/>
              </w:rPr>
              <w:t>регуляторного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="003F08F0">
              <w:rPr>
                <w:rFonts w:eastAsia="Times New Roman"/>
                <w:color w:val="000000"/>
                <w:lang w:val="uk-UA" w:eastAsia="ru-RU"/>
              </w:rPr>
              <w:t>акта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приватний інвестор, маючи відповідну фінансову можливість</w:t>
            </w:r>
            <w:r w:rsidR="0022007C">
              <w:rPr>
                <w:rFonts w:eastAsia="Times New Roman"/>
                <w:color w:val="000000"/>
                <w:lang w:val="uk-UA" w:eastAsia="ru-RU"/>
              </w:rPr>
              <w:t>,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матиме змогу спільно з ДП «АМПУ» реалізовувати ті </w:t>
            </w:r>
            <w:proofErr w:type="spellStart"/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про</w:t>
            </w:r>
            <w:r w:rsidR="0022007C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кти</w:t>
            </w:r>
            <w:proofErr w:type="spellEnd"/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, в яких </w:t>
            </w:r>
            <w:r w:rsidR="007F20BF">
              <w:rPr>
                <w:rFonts w:eastAsia="Times New Roman"/>
                <w:color w:val="000000"/>
                <w:lang w:val="uk-UA" w:eastAsia="ru-RU"/>
              </w:rPr>
              <w:t>він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 xml:space="preserve"> зацікавлен</w:t>
            </w:r>
            <w:r w:rsidR="007F20BF">
              <w:rPr>
                <w:rFonts w:eastAsia="Times New Roman"/>
                <w:color w:val="000000"/>
                <w:lang w:val="uk-UA" w:eastAsia="ru-RU"/>
              </w:rPr>
              <w:t>ий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. При цьому, ДП «АМПУ» зможе прогнозувати повернення інвестицій у відповідності до підвищення надходжень за рахунок реалізованого про</w:t>
            </w:r>
            <w:r w:rsidR="007F20BF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5B216E" w:rsidRPr="00B12E38">
              <w:rPr>
                <w:rFonts w:eastAsia="Times New Roman"/>
                <w:color w:val="000000"/>
                <w:lang w:val="uk-UA" w:eastAsia="ru-RU"/>
              </w:rPr>
              <w:t>кту</w:t>
            </w:r>
            <w:r w:rsidR="00EF106F">
              <w:rPr>
                <w:rFonts w:eastAsia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976" w:type="dxa"/>
          </w:tcPr>
          <w:p w14:paraId="3FDB9DB2" w14:textId="46F91CD9" w:rsidR="002E7E5B" w:rsidRPr="00B12E38" w:rsidRDefault="00D2121E" w:rsidP="00131D7A">
            <w:pPr>
              <w:spacing w:after="0" w:line="240" w:lineRule="auto"/>
              <w:ind w:firstLine="182"/>
              <w:jc w:val="both"/>
              <w:rPr>
                <w:bCs/>
                <w:lang w:val="uk-UA"/>
              </w:rPr>
            </w:pPr>
            <w:r w:rsidRPr="00B12E38">
              <w:rPr>
                <w:bCs/>
                <w:lang w:val="uk-UA"/>
              </w:rPr>
              <w:t xml:space="preserve">Витрати </w:t>
            </w:r>
            <w:r w:rsidR="008E4BA7">
              <w:rPr>
                <w:bCs/>
                <w:lang w:val="uk-UA"/>
              </w:rPr>
              <w:t>на реаліза</w:t>
            </w:r>
            <w:r w:rsidR="00722B1F">
              <w:rPr>
                <w:bCs/>
                <w:lang w:val="uk-UA"/>
              </w:rPr>
              <w:t>цію потрібних та економічно доцільних для бізнес</w:t>
            </w:r>
            <w:r w:rsidR="005063B3">
              <w:rPr>
                <w:bCs/>
                <w:lang w:val="uk-UA"/>
              </w:rPr>
              <w:t>у</w:t>
            </w:r>
            <w:r w:rsidR="00722B1F">
              <w:rPr>
                <w:bCs/>
                <w:lang w:val="uk-UA"/>
              </w:rPr>
              <w:t xml:space="preserve"> проєктів</w:t>
            </w:r>
            <w:r w:rsidR="00930A28">
              <w:rPr>
                <w:bCs/>
                <w:lang w:val="uk-UA"/>
              </w:rPr>
              <w:t>, з подальшою</w:t>
            </w:r>
            <w:r w:rsidR="00722B1F">
              <w:rPr>
                <w:bCs/>
                <w:lang w:val="uk-UA"/>
              </w:rPr>
              <w:t xml:space="preserve"> </w:t>
            </w:r>
            <w:r w:rsidRPr="00B12E38">
              <w:rPr>
                <w:bCs/>
                <w:lang w:val="uk-UA"/>
              </w:rPr>
              <w:t>компенсаці</w:t>
            </w:r>
            <w:r w:rsidR="00930A28">
              <w:rPr>
                <w:bCs/>
                <w:lang w:val="uk-UA"/>
              </w:rPr>
              <w:t>єю</w:t>
            </w:r>
            <w:r w:rsidRPr="00B12E38">
              <w:rPr>
                <w:bCs/>
                <w:lang w:val="uk-UA"/>
              </w:rPr>
              <w:t xml:space="preserve"> вартості відповідних про</w:t>
            </w:r>
            <w:r w:rsidR="00B04C4C">
              <w:rPr>
                <w:bCs/>
                <w:lang w:val="uk-UA"/>
              </w:rPr>
              <w:t>є</w:t>
            </w:r>
            <w:r w:rsidRPr="00B12E38">
              <w:rPr>
                <w:bCs/>
                <w:lang w:val="uk-UA"/>
              </w:rPr>
              <w:t>ктів</w:t>
            </w:r>
            <w:r w:rsidR="00930A28">
              <w:rPr>
                <w:bCs/>
                <w:lang w:val="uk-UA"/>
              </w:rPr>
              <w:t xml:space="preserve"> від ДП «АМПУ»</w:t>
            </w:r>
            <w:r w:rsidRPr="00B12E38">
              <w:rPr>
                <w:bCs/>
                <w:lang w:val="uk-UA"/>
              </w:rPr>
              <w:t xml:space="preserve"> (без </w:t>
            </w:r>
            <w:r w:rsidR="00AC68A5">
              <w:rPr>
                <w:bCs/>
                <w:lang w:val="uk-UA"/>
              </w:rPr>
              <w:t>отримання</w:t>
            </w:r>
            <w:r w:rsidRPr="00B12E38">
              <w:rPr>
                <w:bCs/>
                <w:lang w:val="uk-UA"/>
              </w:rPr>
              <w:t xml:space="preserve"> відсотків за користування коштами)</w:t>
            </w:r>
            <w:r w:rsidR="00402C4E">
              <w:rPr>
                <w:bCs/>
                <w:lang w:val="uk-UA"/>
              </w:rPr>
              <w:t>.</w:t>
            </w:r>
          </w:p>
        </w:tc>
      </w:tr>
    </w:tbl>
    <w:p w14:paraId="4027347E" w14:textId="77777777" w:rsidR="002E7E5B" w:rsidRDefault="002E7E5B" w:rsidP="003621A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14:paraId="18C94076" w14:textId="77777777" w:rsidR="00917087" w:rsidRPr="005B216E" w:rsidRDefault="00917087" w:rsidP="003621A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tbl>
      <w:tblPr>
        <w:tblStyle w:val="TableNormal"/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0"/>
        <w:gridCol w:w="5953"/>
      </w:tblGrid>
      <w:tr w:rsidR="00A52CC7" w:rsidRPr="00A52CC7" w14:paraId="5ABE68E2" w14:textId="77777777" w:rsidTr="00941465">
        <w:trPr>
          <w:trHeight w:val="670"/>
        </w:trPr>
        <w:tc>
          <w:tcPr>
            <w:tcW w:w="3580" w:type="dxa"/>
          </w:tcPr>
          <w:p w14:paraId="790E3D13" w14:textId="77777777" w:rsidR="00A52CC7" w:rsidRPr="00A52CC7" w:rsidRDefault="00A52CC7" w:rsidP="00A52CC7">
            <w:pPr>
              <w:ind w:left="282" w:right="27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Сумарні</w:t>
            </w:r>
            <w:r w:rsidRPr="00A52CC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</w:t>
            </w:r>
            <w:r w:rsidRPr="00A52CC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альтернативами</w:t>
            </w:r>
          </w:p>
        </w:tc>
        <w:tc>
          <w:tcPr>
            <w:tcW w:w="5953" w:type="dxa"/>
          </w:tcPr>
          <w:p w14:paraId="3249F811" w14:textId="77777777" w:rsidR="00A52CC7" w:rsidRPr="00A52CC7" w:rsidRDefault="00A52CC7" w:rsidP="00A52CC7">
            <w:pPr>
              <w:ind w:left="2057" w:right="20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</w:t>
            </w:r>
            <w:r w:rsidRPr="00A52CC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витрат,</w:t>
            </w:r>
            <w:r w:rsidRPr="00A52CC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гривень</w:t>
            </w:r>
          </w:p>
        </w:tc>
      </w:tr>
      <w:tr w:rsidR="00A52CC7" w:rsidRPr="00A52CC7" w14:paraId="2FDF8DE8" w14:textId="77777777" w:rsidTr="00941465">
        <w:trPr>
          <w:trHeight w:val="1006"/>
        </w:trPr>
        <w:tc>
          <w:tcPr>
            <w:tcW w:w="3580" w:type="dxa"/>
            <w:tcBorders>
              <w:bottom w:val="single" w:sz="4" w:space="0" w:color="000000"/>
            </w:tcBorders>
          </w:tcPr>
          <w:p w14:paraId="55CA9598" w14:textId="77777777" w:rsidR="00A52CC7" w:rsidRPr="00A52CC7" w:rsidRDefault="00A52CC7" w:rsidP="00A52CC7">
            <w:pPr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Альтернатива</w:t>
            </w:r>
            <w:r w:rsidRPr="00A52CC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14:paraId="57D9CCD9" w14:textId="77777777" w:rsidR="00A52CC7" w:rsidRPr="00A52CC7" w:rsidRDefault="00A52CC7" w:rsidP="00A52CC7">
            <w:pPr>
              <w:spacing w:before="4" w:line="330" w:lineRule="atLeas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Збереження чинного</w:t>
            </w:r>
            <w:r w:rsidRPr="00A52CC7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5994787F" w14:textId="77777777" w:rsidR="00A52CC7" w:rsidRPr="00A52CC7" w:rsidRDefault="00A52CC7" w:rsidP="00A52CC7">
            <w:pPr>
              <w:spacing w:line="249" w:lineRule="auto"/>
              <w:ind w:left="107" w:right="9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</w:tr>
      <w:tr w:rsidR="00A52CC7" w:rsidRPr="00A52CC7" w14:paraId="0B2F436C" w14:textId="77777777" w:rsidTr="00941465">
        <w:trPr>
          <w:trHeight w:val="1062"/>
        </w:trPr>
        <w:tc>
          <w:tcPr>
            <w:tcW w:w="3580" w:type="dxa"/>
            <w:tcBorders>
              <w:bottom w:val="single" w:sz="4" w:space="0" w:color="000000"/>
            </w:tcBorders>
          </w:tcPr>
          <w:p w14:paraId="2E53DB18" w14:textId="77777777" w:rsidR="00A52CC7" w:rsidRPr="00A52CC7" w:rsidRDefault="00A52CC7" w:rsidP="00A52CC7">
            <w:pPr>
              <w:spacing w:line="249" w:lineRule="auto"/>
              <w:ind w:left="108" w:right="3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2.</w:t>
            </w:r>
            <w:r w:rsidRPr="00A52CC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Прийняття</w:t>
            </w:r>
            <w:r w:rsidRPr="00A52CC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регуляторного</w:t>
            </w:r>
            <w:r w:rsidRPr="00A52CC7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</w:tcPr>
          <w:p w14:paraId="6208EB14" w14:textId="02677628" w:rsidR="00A52CC7" w:rsidRPr="00A52CC7" w:rsidRDefault="00A52CC7" w:rsidP="00A52CC7">
            <w:pPr>
              <w:spacing w:line="249" w:lineRule="auto"/>
              <w:ind w:left="107" w:right="9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Суб’єктом господарювання, який звернеться </w:t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 ініціативою укладення договору компенсації інвестицій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може бути витрачено орієнтовно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Pr="00A52C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7 129,8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 та до 97 днів</w:t>
            </w:r>
          </w:p>
        </w:tc>
      </w:tr>
    </w:tbl>
    <w:p w14:paraId="676205F6" w14:textId="77777777" w:rsidR="006021AB" w:rsidRDefault="006021AB" w:rsidP="00A30564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</w:p>
    <w:p w14:paraId="7FDB975D" w14:textId="77777777" w:rsidR="00EF106F" w:rsidRDefault="00EF106F" w:rsidP="00EF106F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917087">
        <w:rPr>
          <w:sz w:val="28"/>
          <w:szCs w:val="28"/>
          <w:lang w:val="uk-UA"/>
        </w:rPr>
        <w:t>итрати, які будуть виникати внаслідок дії регуляторного акта (згідно з додатком 2 до Методики проведення аналізу впливу регуляторного акта)</w:t>
      </w:r>
      <w:r>
        <w:rPr>
          <w:sz w:val="28"/>
          <w:szCs w:val="28"/>
          <w:lang w:val="uk-UA"/>
        </w:rPr>
        <w:t>, додаються до цього аналізу регуляторного впливу.</w:t>
      </w:r>
    </w:p>
    <w:p w14:paraId="31008628" w14:textId="77777777" w:rsidR="00A52CC7" w:rsidRPr="005B216E" w:rsidRDefault="00A52CC7" w:rsidP="00A30564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</w:p>
    <w:p w14:paraId="79742D67" w14:textId="3B5E3483" w:rsidR="002E7E5B" w:rsidRDefault="002E7E5B" w:rsidP="00A30564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 w:rsidRPr="00BD672A">
        <w:rPr>
          <w:b/>
          <w:sz w:val="28"/>
          <w:szCs w:val="28"/>
          <w:lang w:val="uk-UA"/>
        </w:rPr>
        <w:t>IV. Вибір найбільш оптимального альтернативного способу досягнення цілей</w:t>
      </w:r>
      <w:r w:rsidRPr="005B216E">
        <w:rPr>
          <w:b/>
          <w:sz w:val="28"/>
          <w:szCs w:val="28"/>
          <w:lang w:val="uk-UA"/>
        </w:rPr>
        <w:t xml:space="preserve"> </w:t>
      </w:r>
    </w:p>
    <w:p w14:paraId="78FEBCC7" w14:textId="77777777" w:rsidR="00C124D1" w:rsidRPr="005B216E" w:rsidRDefault="00C124D1" w:rsidP="003621AF">
      <w:pPr>
        <w:spacing w:after="0" w:line="240" w:lineRule="auto"/>
        <w:ind w:firstLine="709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46"/>
        <w:gridCol w:w="1621"/>
        <w:gridCol w:w="1119"/>
        <w:gridCol w:w="2120"/>
      </w:tblGrid>
      <w:tr w:rsidR="002E7E5B" w:rsidRPr="00633FA8" w14:paraId="127250A3" w14:textId="77777777" w:rsidTr="00926051">
        <w:tc>
          <w:tcPr>
            <w:tcW w:w="2122" w:type="dxa"/>
          </w:tcPr>
          <w:p w14:paraId="2A2BF9F0" w14:textId="77777777" w:rsidR="002E7E5B" w:rsidRPr="00633FA8" w:rsidRDefault="002E7E5B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633FA8">
              <w:rPr>
                <w:bCs/>
                <w:lang w:val="uk-UA"/>
              </w:rPr>
              <w:t xml:space="preserve">Рейтинг результативності (досягнення цілей під час вирішення проблеми) </w:t>
            </w:r>
          </w:p>
        </w:tc>
        <w:tc>
          <w:tcPr>
            <w:tcW w:w="4267" w:type="dxa"/>
            <w:gridSpan w:val="2"/>
          </w:tcPr>
          <w:p w14:paraId="7420286D" w14:textId="77777777" w:rsidR="002E7E5B" w:rsidRPr="00633FA8" w:rsidRDefault="004A7185" w:rsidP="003621AF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633FA8">
              <w:rPr>
                <w:bCs/>
                <w:lang w:val="uk-UA"/>
              </w:rPr>
              <w:t>Бал результативності (за чотири</w:t>
            </w:r>
            <w:r w:rsidR="002E7E5B" w:rsidRPr="00633FA8">
              <w:rPr>
                <w:bCs/>
                <w:lang w:val="uk-UA"/>
              </w:rPr>
              <w:t>бальною системою оцінки)</w:t>
            </w:r>
          </w:p>
        </w:tc>
        <w:tc>
          <w:tcPr>
            <w:tcW w:w="3239" w:type="dxa"/>
            <w:gridSpan w:val="2"/>
          </w:tcPr>
          <w:p w14:paraId="10BBDF4D" w14:textId="713E9A4D" w:rsidR="002E7E5B" w:rsidRPr="00633FA8" w:rsidRDefault="002E7E5B" w:rsidP="00B46C5E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633FA8">
              <w:rPr>
                <w:bCs/>
                <w:lang w:val="uk-UA"/>
              </w:rPr>
              <w:t xml:space="preserve">Коментарі щодо присвоєння відповідного </w:t>
            </w:r>
            <w:proofErr w:type="spellStart"/>
            <w:r w:rsidRPr="00633FA8">
              <w:rPr>
                <w:bCs/>
                <w:lang w:val="uk-UA"/>
              </w:rPr>
              <w:t>бал</w:t>
            </w:r>
            <w:r w:rsidR="00B46C5E" w:rsidRPr="00633FA8">
              <w:rPr>
                <w:bCs/>
                <w:lang w:val="uk-UA"/>
              </w:rPr>
              <w:t>а</w:t>
            </w:r>
            <w:proofErr w:type="spellEnd"/>
          </w:p>
        </w:tc>
      </w:tr>
      <w:tr w:rsidR="002E7E5B" w:rsidRPr="00633FA8" w14:paraId="6FE88742" w14:textId="77777777" w:rsidTr="00926051">
        <w:tc>
          <w:tcPr>
            <w:tcW w:w="2122" w:type="dxa"/>
            <w:tcBorders>
              <w:bottom w:val="single" w:sz="4" w:space="0" w:color="auto"/>
            </w:tcBorders>
          </w:tcPr>
          <w:p w14:paraId="468C3184" w14:textId="3F6980E0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Альтернатива 1.</w:t>
            </w:r>
          </w:p>
          <w:p w14:paraId="4D81DC14" w14:textId="77777777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0B54668E" w14:textId="77777777" w:rsidR="002E7E5B" w:rsidRPr="00633FA8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 xml:space="preserve">Збереження </w:t>
            </w:r>
            <w:r w:rsidR="0046032B" w:rsidRPr="00633FA8">
              <w:rPr>
                <w:lang w:val="uk-UA"/>
              </w:rPr>
              <w:t>чинного регулювання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</w:tcPr>
          <w:p w14:paraId="3FEF01A5" w14:textId="77777777" w:rsidR="002E7E5B" w:rsidRPr="00633FA8" w:rsidRDefault="002E7E5B" w:rsidP="003621AF">
            <w:pPr>
              <w:spacing w:after="0" w:line="240" w:lineRule="auto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1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</w:tcPr>
          <w:p w14:paraId="46267892" w14:textId="77777777" w:rsidR="00B3788C" w:rsidRDefault="00B3788C" w:rsidP="00131D7A">
            <w:pPr>
              <w:spacing w:after="0" w:line="240" w:lineRule="auto"/>
              <w:ind w:firstLine="169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>Збереження чинного регулювання не дає змоги досягнути мети державного регулювання, визначеної у пункті 2 цього аналізу регуляторного впливу</w:t>
            </w:r>
            <w:r>
              <w:rPr>
                <w:lang w:val="uk-UA"/>
              </w:rPr>
              <w:t>.</w:t>
            </w:r>
          </w:p>
          <w:p w14:paraId="4F1EE949" w14:textId="2965EC49" w:rsidR="00B3788C" w:rsidRPr="00B3788C" w:rsidRDefault="00B3788C" w:rsidP="00B46C5E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2E7E5B" w:rsidRPr="00633FA8" w14:paraId="0448F106" w14:textId="77777777" w:rsidTr="00926051">
        <w:tc>
          <w:tcPr>
            <w:tcW w:w="2122" w:type="dxa"/>
            <w:tcBorders>
              <w:bottom w:val="single" w:sz="4" w:space="0" w:color="auto"/>
            </w:tcBorders>
          </w:tcPr>
          <w:p w14:paraId="4699E4D7" w14:textId="09E4C8C8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Альтернатива 2.</w:t>
            </w:r>
          </w:p>
          <w:p w14:paraId="28F74825" w14:textId="77777777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18ECDB4F" w14:textId="1C7E8711" w:rsidR="002E7E5B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</w:tcPr>
          <w:p w14:paraId="51A618F3" w14:textId="598A942C" w:rsidR="002E7E5B" w:rsidRPr="00633FA8" w:rsidRDefault="002A3ABB" w:rsidP="003621AF">
            <w:pPr>
              <w:spacing w:after="0" w:line="240" w:lineRule="auto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3</w:t>
            </w:r>
          </w:p>
        </w:tc>
        <w:tc>
          <w:tcPr>
            <w:tcW w:w="3239" w:type="dxa"/>
            <w:gridSpan w:val="2"/>
            <w:tcBorders>
              <w:bottom w:val="single" w:sz="4" w:space="0" w:color="auto"/>
            </w:tcBorders>
          </w:tcPr>
          <w:p w14:paraId="5FC1A17E" w14:textId="77777777" w:rsidR="00046891" w:rsidRDefault="00B3788C" w:rsidP="00131D7A">
            <w:pPr>
              <w:spacing w:after="0" w:line="240" w:lineRule="auto"/>
              <w:ind w:firstLine="169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>Прийняття регуляторного акта є найбільш прийнятним та ефективним способом, який</w:t>
            </w:r>
            <w:r w:rsidR="00046891">
              <w:rPr>
                <w:lang w:val="uk-UA"/>
              </w:rPr>
              <w:t>:</w:t>
            </w:r>
          </w:p>
          <w:p w14:paraId="74AEAAC1" w14:textId="10DC452D" w:rsidR="00B3788C" w:rsidRPr="00B3788C" w:rsidRDefault="00B3788C" w:rsidP="00131D7A">
            <w:pPr>
              <w:spacing w:after="0" w:line="240" w:lineRule="auto"/>
              <w:ind w:firstLine="169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>дозволить</w:t>
            </w:r>
            <w:r>
              <w:rPr>
                <w:lang w:val="uk-UA"/>
              </w:rPr>
              <w:t xml:space="preserve"> </w:t>
            </w:r>
            <w:r w:rsidRPr="001E2EEC">
              <w:rPr>
                <w:rFonts w:eastAsia="Times New Roman"/>
                <w:lang w:val="uk-UA" w:eastAsia="fr-FR"/>
              </w:rPr>
              <w:t xml:space="preserve">майже  повною мірою </w:t>
            </w:r>
            <w:r w:rsidRPr="00561287">
              <w:rPr>
                <w:lang w:val="uk-UA"/>
              </w:rPr>
              <w:t>досягти мети державного регулювання, визначеної у пункті 2 цього аналізу регуляторного впливу</w:t>
            </w:r>
            <w:r w:rsidRPr="001E2EEC">
              <w:rPr>
                <w:rFonts w:eastAsia="Times New Roman"/>
                <w:lang w:val="uk-UA" w:eastAsia="fr-FR"/>
              </w:rPr>
              <w:t xml:space="preserve"> (усі важливі аспекти проблеми існувати не будуть);</w:t>
            </w:r>
          </w:p>
          <w:p w14:paraId="6C180568" w14:textId="6D567B8E" w:rsidR="002E7E5B" w:rsidRDefault="00046891" w:rsidP="00131D7A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>
              <w:rPr>
                <w:lang w:val="uk-UA"/>
              </w:rPr>
              <w:t>надасть м</w:t>
            </w:r>
            <w:r w:rsidR="002E7E5B" w:rsidRPr="00633FA8">
              <w:rPr>
                <w:lang w:val="uk-UA"/>
              </w:rPr>
              <w:t>ожливість реалізаці</w:t>
            </w:r>
            <w:r w:rsidR="004A7185" w:rsidRPr="00633FA8">
              <w:rPr>
                <w:lang w:val="uk-UA"/>
              </w:rPr>
              <w:t>ї</w:t>
            </w:r>
            <w:r w:rsidR="002E7E5B" w:rsidRPr="00633FA8">
              <w:rPr>
                <w:lang w:val="uk-UA"/>
              </w:rPr>
              <w:t xml:space="preserve"> державної політики щодо залучення приватних інвестицій до участі в розвитку портової інфраструктури</w:t>
            </w:r>
            <w:r>
              <w:rPr>
                <w:lang w:val="uk-UA"/>
              </w:rPr>
              <w:t>;</w:t>
            </w:r>
          </w:p>
          <w:p w14:paraId="7965D333" w14:textId="29CED6DF" w:rsidR="00D2121E" w:rsidRPr="00633FA8" w:rsidRDefault="00046891" w:rsidP="00131D7A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сприятиме з</w:t>
            </w:r>
            <w:r w:rsidR="002E7E5B" w:rsidRPr="00633FA8">
              <w:rPr>
                <w:lang w:val="uk-UA"/>
              </w:rPr>
              <w:t>більшенн</w:t>
            </w:r>
            <w:r>
              <w:rPr>
                <w:lang w:val="uk-UA"/>
              </w:rPr>
              <w:t>ю</w:t>
            </w:r>
            <w:r w:rsidR="002E7E5B" w:rsidRPr="00633FA8">
              <w:rPr>
                <w:lang w:val="uk-UA"/>
              </w:rPr>
              <w:t xml:space="preserve"> </w:t>
            </w:r>
            <w:r w:rsidR="00D2121E" w:rsidRPr="00633FA8">
              <w:rPr>
                <w:lang w:val="uk-UA"/>
              </w:rPr>
              <w:t>макроекономічних показників в роботі морських терміналів</w:t>
            </w:r>
            <w:r>
              <w:rPr>
                <w:lang w:val="uk-UA"/>
              </w:rPr>
              <w:t xml:space="preserve"> (</w:t>
            </w:r>
            <w:r w:rsidRPr="00633FA8">
              <w:rPr>
                <w:lang w:val="uk-UA"/>
              </w:rPr>
              <w:t>за рахунок введення в експлуатацію нових об’єктів портової інфраструктури або ремонту чи модернізації старих</w:t>
            </w:r>
            <w:r>
              <w:rPr>
                <w:lang w:val="uk-UA"/>
              </w:rPr>
              <w:t>)</w:t>
            </w:r>
            <w:r w:rsidR="00D2121E" w:rsidRPr="00633FA8">
              <w:rPr>
                <w:lang w:val="uk-UA"/>
              </w:rPr>
              <w:t>, у тому числі:</w:t>
            </w:r>
          </w:p>
          <w:p w14:paraId="4F7743B2" w14:textId="7F15EC38" w:rsidR="00D2121E" w:rsidRPr="00633FA8" w:rsidRDefault="00D2121E" w:rsidP="00131D7A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зростанн</w:t>
            </w:r>
            <w:r w:rsidR="00046891">
              <w:rPr>
                <w:lang w:val="uk-UA"/>
              </w:rPr>
              <w:t>ю</w:t>
            </w:r>
            <w:r w:rsidRPr="00633FA8">
              <w:rPr>
                <w:lang w:val="uk-UA"/>
              </w:rPr>
              <w:t xml:space="preserve"> </w:t>
            </w:r>
            <w:r w:rsidR="002E7E5B" w:rsidRPr="00633FA8">
              <w:rPr>
                <w:lang w:val="uk-UA"/>
              </w:rPr>
              <w:t>доходів від портових зборів</w:t>
            </w:r>
            <w:r w:rsidRPr="00633FA8">
              <w:rPr>
                <w:lang w:val="uk-UA"/>
              </w:rPr>
              <w:t xml:space="preserve"> за рахунок зростання чисельності суднозаходів (або вантажомісткості суден, у разі реалізації днопоглиблювальних про</w:t>
            </w:r>
            <w:r w:rsidR="00926051">
              <w:rPr>
                <w:lang w:val="uk-UA"/>
              </w:rPr>
              <w:t>є</w:t>
            </w:r>
            <w:r w:rsidRPr="00633FA8">
              <w:rPr>
                <w:lang w:val="uk-UA"/>
              </w:rPr>
              <w:t>ктів);</w:t>
            </w:r>
          </w:p>
          <w:p w14:paraId="0FF84AB6" w14:textId="07141DED" w:rsidR="00D2121E" w:rsidRPr="00633FA8" w:rsidRDefault="00D2121E" w:rsidP="00131D7A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збільшенн</w:t>
            </w:r>
            <w:r w:rsidR="00046891">
              <w:rPr>
                <w:lang w:val="uk-UA"/>
              </w:rPr>
              <w:t>ю</w:t>
            </w:r>
            <w:r w:rsidRPr="00633FA8">
              <w:rPr>
                <w:lang w:val="uk-UA"/>
              </w:rPr>
              <w:t xml:space="preserve"> доходів від експлуатації відповідних об’єктів портової інфраструктури;</w:t>
            </w:r>
          </w:p>
          <w:p w14:paraId="12304763" w14:textId="29CCD10F" w:rsidR="00D2121E" w:rsidRPr="00633FA8" w:rsidRDefault="00D2121E" w:rsidP="00131D7A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сплат</w:t>
            </w:r>
            <w:r w:rsidR="00046891">
              <w:rPr>
                <w:lang w:val="uk-UA"/>
              </w:rPr>
              <w:t>і</w:t>
            </w:r>
            <w:r w:rsidRPr="00633FA8">
              <w:rPr>
                <w:lang w:val="uk-UA"/>
              </w:rPr>
              <w:t xml:space="preserve"> податків при реалізації про</w:t>
            </w:r>
            <w:r w:rsidR="00926051">
              <w:rPr>
                <w:lang w:val="uk-UA"/>
              </w:rPr>
              <w:t>є</w:t>
            </w:r>
            <w:r w:rsidRPr="00633FA8">
              <w:rPr>
                <w:lang w:val="uk-UA"/>
              </w:rPr>
              <w:t>ктів;</w:t>
            </w:r>
          </w:p>
          <w:p w14:paraId="70944C88" w14:textId="5694E364" w:rsidR="002A3ABB" w:rsidRPr="00856902" w:rsidRDefault="00D2121E" w:rsidP="00856902">
            <w:pPr>
              <w:tabs>
                <w:tab w:val="left" w:pos="-3686"/>
              </w:tabs>
              <w:spacing w:after="0" w:line="240" w:lineRule="auto"/>
              <w:ind w:right="45" w:firstLine="169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створенн</w:t>
            </w:r>
            <w:r w:rsidR="00046891">
              <w:rPr>
                <w:lang w:val="uk-UA"/>
              </w:rPr>
              <w:t>ю</w:t>
            </w:r>
            <w:r w:rsidRPr="00633FA8">
              <w:rPr>
                <w:lang w:val="uk-UA"/>
              </w:rPr>
              <w:t xml:space="preserve"> нових робочих місць</w:t>
            </w:r>
            <w:r w:rsidR="00046891">
              <w:rPr>
                <w:lang w:val="uk-UA"/>
              </w:rPr>
              <w:t>.</w:t>
            </w:r>
          </w:p>
        </w:tc>
      </w:tr>
      <w:tr w:rsidR="002E7E5B" w:rsidRPr="005B216E" w14:paraId="4939D916" w14:textId="77777777" w:rsidTr="00926051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33124" w14:textId="77777777" w:rsidR="002E7E5B" w:rsidRPr="005B216E" w:rsidRDefault="002E7E5B" w:rsidP="003621AF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13A98" w14:textId="77777777" w:rsidR="002E7E5B" w:rsidRPr="005B216E" w:rsidRDefault="002E7E5B" w:rsidP="003621AF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1D7A0" w14:textId="77777777" w:rsidR="002E7E5B" w:rsidRPr="005B216E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E5B" w:rsidRPr="00633FA8" w14:paraId="41B942FE" w14:textId="77777777" w:rsidTr="00131D7A">
        <w:tc>
          <w:tcPr>
            <w:tcW w:w="2122" w:type="dxa"/>
            <w:tcBorders>
              <w:top w:val="single" w:sz="4" w:space="0" w:color="auto"/>
            </w:tcBorders>
          </w:tcPr>
          <w:p w14:paraId="3192B487" w14:textId="77777777" w:rsidR="002E7E5B" w:rsidRDefault="002E7E5B" w:rsidP="002A3ABB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 xml:space="preserve">Рейтинг </w:t>
            </w:r>
          </w:p>
          <w:p w14:paraId="4B49F12A" w14:textId="7B9C7936" w:rsidR="0005163B" w:rsidRPr="00633FA8" w:rsidRDefault="0005163B" w:rsidP="002A3ABB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>
              <w:rPr>
                <w:lang w:val="uk-UA"/>
              </w:rPr>
              <w:t>результативності</w:t>
            </w: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6EB5BFBB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Вигоди (підсумок)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</w:tcBorders>
          </w:tcPr>
          <w:p w14:paraId="4D896337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Витрати (підсумок)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2AB01F9B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2E7E5B" w:rsidRPr="00633FA8" w14:paraId="67AB817B" w14:textId="77777777" w:rsidTr="00131D7A">
        <w:tc>
          <w:tcPr>
            <w:tcW w:w="2122" w:type="dxa"/>
            <w:tcBorders>
              <w:bottom w:val="single" w:sz="4" w:space="0" w:color="auto"/>
            </w:tcBorders>
          </w:tcPr>
          <w:p w14:paraId="7B4BE143" w14:textId="34FECAC1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Альтернатива 1.</w:t>
            </w:r>
          </w:p>
          <w:p w14:paraId="2DB5257B" w14:textId="77777777" w:rsidR="00046891" w:rsidRPr="00633FA8" w:rsidRDefault="00046891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290DC320" w14:textId="77777777" w:rsidR="002E7E5B" w:rsidRPr="00633FA8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 xml:space="preserve">Збереження </w:t>
            </w:r>
            <w:r w:rsidR="0046032B" w:rsidRPr="00633FA8">
              <w:rPr>
                <w:lang w:val="uk-UA"/>
              </w:rPr>
              <w:t>чинного регулювання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5289258C" w14:textId="77777777" w:rsidR="00046891" w:rsidRPr="00BA7849" w:rsidRDefault="00046891" w:rsidP="00046891">
            <w:pPr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держави: </w:t>
            </w:r>
          </w:p>
          <w:p w14:paraId="72725B20" w14:textId="77777777" w:rsidR="00046891" w:rsidRPr="00561287" w:rsidRDefault="00046891" w:rsidP="00046891">
            <w:pPr>
              <w:jc w:val="both"/>
              <w:rPr>
                <w:bCs/>
                <w:lang w:val="uk-UA"/>
              </w:rPr>
            </w:pPr>
            <w:r w:rsidRPr="00561287">
              <w:rPr>
                <w:lang w:val="uk-UA"/>
              </w:rPr>
              <w:t>Ситуація залишиться на існуючому рівні  </w:t>
            </w:r>
          </w:p>
          <w:p w14:paraId="281ED0B7" w14:textId="77777777" w:rsidR="00046891" w:rsidRPr="00561287" w:rsidRDefault="00046891" w:rsidP="00046891">
            <w:pPr>
              <w:jc w:val="both"/>
              <w:rPr>
                <w:lang w:val="uk-UA"/>
              </w:rPr>
            </w:pPr>
          </w:p>
          <w:p w14:paraId="4139BA26" w14:textId="77777777" w:rsidR="00046891" w:rsidRPr="00BA7849" w:rsidRDefault="00046891" w:rsidP="00046891">
            <w:pPr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</w:t>
            </w:r>
            <w:r w:rsidRPr="00BA7849">
              <w:rPr>
                <w:iCs/>
                <w:u w:val="single"/>
                <w:shd w:val="clear" w:color="auto" w:fill="FFFFFF"/>
                <w:lang w:val="uk-UA"/>
              </w:rPr>
              <w:t>суб’єктів господарювання</w:t>
            </w:r>
            <w:r w:rsidRPr="00BA7849">
              <w:rPr>
                <w:u w:val="single"/>
                <w:lang w:val="uk-UA"/>
              </w:rPr>
              <w:t xml:space="preserve"> та громадян:</w:t>
            </w:r>
          </w:p>
          <w:p w14:paraId="100358CD" w14:textId="5EA70A16" w:rsidR="002E7E5B" w:rsidRPr="005D2CC2" w:rsidRDefault="00046891" w:rsidP="00046891">
            <w:pPr>
              <w:tabs>
                <w:tab w:val="left" w:pos="-3686"/>
              </w:tabs>
              <w:spacing w:after="0" w:line="240" w:lineRule="auto"/>
              <w:ind w:right="45"/>
              <w:rPr>
                <w:lang w:val="uk-UA"/>
              </w:rPr>
            </w:pPr>
            <w:r w:rsidRPr="005D2CC2">
              <w:rPr>
                <w:lang w:val="uk-UA"/>
              </w:rPr>
              <w:t>Відсутні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76C75ACA" w14:textId="77777777" w:rsidR="005D2CC2" w:rsidRPr="00BA7849" w:rsidRDefault="005D2CC2" w:rsidP="00131D7A">
            <w:pPr>
              <w:ind w:firstLine="229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держави: </w:t>
            </w:r>
          </w:p>
          <w:p w14:paraId="544E7DDD" w14:textId="43A97E6B" w:rsidR="005D2CC2" w:rsidRDefault="005D2CC2" w:rsidP="00131D7A">
            <w:pPr>
              <w:spacing w:after="0" w:line="240" w:lineRule="auto"/>
              <w:ind w:firstLine="229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Н</w:t>
            </w:r>
            <w:r w:rsidRPr="00E10E79">
              <w:rPr>
                <w:rFonts w:eastAsia="Times New Roman"/>
                <w:color w:val="000000"/>
                <w:lang w:val="uk-UA" w:eastAsia="ru-RU"/>
              </w:rPr>
              <w:t>едоотримання приватного інвестування у стратегічні об’єкти портової інфраструктури, що є об’єктами державної власності</w:t>
            </w:r>
            <w:r>
              <w:rPr>
                <w:rFonts w:eastAsia="Times New Roman"/>
                <w:color w:val="000000"/>
                <w:lang w:val="uk-UA" w:eastAsia="ru-RU"/>
              </w:rPr>
              <w:t>, як наслідок – недоотримана вигода;</w:t>
            </w:r>
          </w:p>
          <w:p w14:paraId="478A67A0" w14:textId="707CFD72" w:rsidR="002E7E5B" w:rsidRDefault="005D2CC2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</w:t>
            </w:r>
            <w:r w:rsidRPr="00E10E79">
              <w:rPr>
                <w:rFonts w:eastAsia="Times New Roman"/>
                <w:color w:val="000000"/>
                <w:lang w:val="uk-UA" w:eastAsia="ru-RU"/>
              </w:rPr>
              <w:t>алишення динаміки конкурентоспроможності як держави, так і вітчизняного бізнесу на тому ж рівні, що і зараз.</w:t>
            </w:r>
          </w:p>
          <w:p w14:paraId="2338543F" w14:textId="77777777" w:rsidR="005D2CC2" w:rsidRDefault="005D2CC2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b/>
                <w:lang w:val="uk-UA"/>
              </w:rPr>
            </w:pPr>
          </w:p>
          <w:p w14:paraId="083CCCBB" w14:textId="77777777" w:rsidR="005D2CC2" w:rsidRPr="00BA7849" w:rsidRDefault="005D2CC2" w:rsidP="00131D7A">
            <w:pPr>
              <w:spacing w:after="0" w:line="240" w:lineRule="auto"/>
              <w:ind w:firstLine="229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громадян: </w:t>
            </w:r>
          </w:p>
          <w:p w14:paraId="2684D4E5" w14:textId="6ADF012B" w:rsidR="005D2CC2" w:rsidRDefault="005D2CC2" w:rsidP="00131D7A">
            <w:pPr>
              <w:spacing w:after="0" w:line="240" w:lineRule="auto"/>
              <w:ind w:firstLine="229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Pr="005D2CC2">
              <w:rPr>
                <w:lang w:val="uk-UA"/>
              </w:rPr>
              <w:t>ідсутні</w:t>
            </w:r>
            <w:r>
              <w:rPr>
                <w:lang w:val="uk-UA"/>
              </w:rPr>
              <w:t>.</w:t>
            </w:r>
          </w:p>
          <w:p w14:paraId="67D7873F" w14:textId="77777777" w:rsidR="005D2CC2" w:rsidRDefault="005D2CC2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b/>
                <w:lang w:val="uk-UA"/>
              </w:rPr>
            </w:pPr>
          </w:p>
          <w:p w14:paraId="45F3B974" w14:textId="77777777" w:rsidR="005D2CC2" w:rsidRPr="00BA7849" w:rsidRDefault="005D2CC2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iCs/>
                <w:u w:val="single"/>
                <w:shd w:val="clear" w:color="auto" w:fill="FFFFFF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</w:t>
            </w:r>
            <w:r w:rsidRPr="00BA7849">
              <w:rPr>
                <w:iCs/>
                <w:u w:val="single"/>
                <w:shd w:val="clear" w:color="auto" w:fill="FFFFFF"/>
                <w:lang w:val="uk-UA"/>
              </w:rPr>
              <w:t>суб’єктів господарювання:</w:t>
            </w:r>
          </w:p>
          <w:p w14:paraId="6B727076" w14:textId="3B9C278C" w:rsidR="005D2CC2" w:rsidRPr="00633FA8" w:rsidRDefault="005D2CC2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b/>
                <w:lang w:val="uk-UA"/>
              </w:rPr>
            </w:pPr>
            <w:r w:rsidRPr="00B12E38">
              <w:rPr>
                <w:rFonts w:eastAsia="Times New Roman"/>
                <w:color w:val="000000"/>
                <w:lang w:val="uk-UA" w:eastAsia="ru-RU"/>
              </w:rPr>
              <w:t>Неможливість реалізації ряд</w:t>
            </w:r>
            <w:r w:rsidR="00547617">
              <w:rPr>
                <w:rFonts w:eastAsia="Times New Roman"/>
                <w:color w:val="000000"/>
                <w:lang w:val="uk-UA" w:eastAsia="ru-RU"/>
              </w:rPr>
              <w:t>у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ктів</w:t>
            </w:r>
            <w:r>
              <w:rPr>
                <w:rFonts w:eastAsia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58CF90C" w14:textId="77777777" w:rsidR="00BA7849" w:rsidRDefault="00BA7849" w:rsidP="00131D7A">
            <w:pPr>
              <w:tabs>
                <w:tab w:val="left" w:pos="-3686"/>
              </w:tabs>
              <w:spacing w:after="0" w:line="240" w:lineRule="auto"/>
              <w:ind w:right="45" w:firstLine="178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lastRenderedPageBreak/>
              <w:t>Обрання зазначеної альтернативи не дає змоги досягнути мети державного регулювання, визначеної у пункті 2 цього аналізу регуляторного впливу</w:t>
            </w:r>
            <w:r>
              <w:rPr>
                <w:lang w:val="uk-UA"/>
              </w:rPr>
              <w:t>;</w:t>
            </w:r>
          </w:p>
          <w:p w14:paraId="01F4FDDF" w14:textId="613654DB" w:rsidR="00C208C2" w:rsidRPr="00BA7849" w:rsidRDefault="00BA7849" w:rsidP="00131D7A">
            <w:pPr>
              <w:tabs>
                <w:tab w:val="left" w:pos="-3686"/>
              </w:tabs>
              <w:spacing w:after="0" w:line="240" w:lineRule="auto"/>
              <w:ind w:right="45" w:firstLine="178"/>
              <w:jc w:val="both"/>
              <w:rPr>
                <w:lang w:val="uk-UA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 xml:space="preserve">не будуть дотримані </w:t>
            </w:r>
            <w:r w:rsidR="00B72FE6" w:rsidRPr="00633FA8">
              <w:rPr>
                <w:rFonts w:eastAsia="Times New Roman"/>
                <w:color w:val="000000"/>
                <w:lang w:val="uk-UA" w:eastAsia="ru-RU"/>
              </w:rPr>
              <w:t>положення Закону</w:t>
            </w:r>
            <w:r>
              <w:rPr>
                <w:rFonts w:eastAsia="Times New Roman"/>
                <w:color w:val="000000"/>
                <w:lang w:val="uk-UA" w:eastAsia="ru-RU"/>
              </w:rPr>
              <w:t>;</w:t>
            </w:r>
          </w:p>
          <w:p w14:paraId="4BCF1520" w14:textId="77777777" w:rsidR="00427FD6" w:rsidRDefault="00BA7849" w:rsidP="00131D7A">
            <w:pPr>
              <w:tabs>
                <w:tab w:val="left" w:pos="-3686"/>
              </w:tabs>
              <w:spacing w:after="0" w:line="240" w:lineRule="auto"/>
              <w:ind w:right="45" w:firstLine="178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lastRenderedPageBreak/>
              <w:t>в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становлення додаткового механізму залучення коштів від приватних інвесторів залишається неврегульованим.</w:t>
            </w:r>
          </w:p>
          <w:p w14:paraId="20513D5B" w14:textId="024929A3" w:rsidR="00BA7849" w:rsidRPr="00633FA8" w:rsidRDefault="00BA7849" w:rsidP="00427FD6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rFonts w:eastAsia="Times New Roman"/>
                <w:color w:val="000000"/>
                <w:lang w:val="uk-UA" w:eastAsia="ru-RU"/>
              </w:rPr>
            </w:pPr>
          </w:p>
        </w:tc>
      </w:tr>
      <w:tr w:rsidR="002E7E5B" w:rsidRPr="00BD672A" w14:paraId="117A50A5" w14:textId="77777777" w:rsidTr="00131D7A">
        <w:tc>
          <w:tcPr>
            <w:tcW w:w="2122" w:type="dxa"/>
            <w:tcBorders>
              <w:bottom w:val="single" w:sz="4" w:space="0" w:color="auto"/>
            </w:tcBorders>
          </w:tcPr>
          <w:p w14:paraId="39933914" w14:textId="3D104FD2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lastRenderedPageBreak/>
              <w:t>Альтернатива 2.</w:t>
            </w:r>
          </w:p>
          <w:p w14:paraId="35D3116B" w14:textId="77777777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60019599" w14:textId="0107C6DB" w:rsidR="00C208C2" w:rsidRPr="00633FA8" w:rsidRDefault="00BD672A" w:rsidP="003621AF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1A4E3AD9" w14:textId="77777777" w:rsidR="00BA7849" w:rsidRPr="00BA7849" w:rsidRDefault="00BA7849" w:rsidP="00131D7A">
            <w:pPr>
              <w:ind w:firstLine="176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держави: </w:t>
            </w:r>
          </w:p>
          <w:p w14:paraId="79260475" w14:textId="1134162F" w:rsidR="005644B8" w:rsidRDefault="005644B8" w:rsidP="00131D7A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м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>ожливість залучення додаткових коштів для реалізації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ктів у портах повністю відповідає державній політиці у сфері розвитку </w:t>
            </w:r>
            <w:proofErr w:type="spellStart"/>
            <w:r w:rsidRPr="00633FA8">
              <w:rPr>
                <w:rFonts w:eastAsia="Times New Roman"/>
                <w:color w:val="000000"/>
                <w:lang w:val="uk-UA" w:eastAsia="ru-RU"/>
              </w:rPr>
              <w:t>морегосподарського</w:t>
            </w:r>
            <w:proofErr w:type="spellEnd"/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 комплексу</w:t>
            </w:r>
            <w:r>
              <w:rPr>
                <w:rFonts w:eastAsia="Times New Roman"/>
                <w:color w:val="000000"/>
                <w:lang w:val="uk-UA" w:eastAsia="ru-RU"/>
              </w:rPr>
              <w:t>;</w:t>
            </w:r>
          </w:p>
          <w:p w14:paraId="64E809DC" w14:textId="1643CF36" w:rsidR="00BA7849" w:rsidRDefault="005644B8" w:rsidP="00131D7A">
            <w:pPr>
              <w:spacing w:after="0" w:line="240" w:lineRule="auto"/>
              <w:ind w:firstLine="176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з</w:t>
            </w:r>
            <w:r w:rsidR="00BA7849">
              <w:rPr>
                <w:color w:val="000000"/>
                <w:lang w:val="uk-UA" w:eastAsia="ru-RU"/>
              </w:rPr>
              <w:t>ростання надходжень до бюджетів усіх рівнів;</w:t>
            </w:r>
          </w:p>
          <w:p w14:paraId="34CF1E68" w14:textId="34DB7C18" w:rsidR="00BA7849" w:rsidRPr="002E0ADD" w:rsidRDefault="00BA7849" w:rsidP="00131D7A">
            <w:pPr>
              <w:spacing w:after="0" w:line="240" w:lineRule="auto"/>
              <w:ind w:firstLine="176"/>
              <w:jc w:val="both"/>
              <w:rPr>
                <w:color w:val="000000"/>
                <w:lang w:val="uk-UA" w:eastAsia="ru-RU"/>
              </w:rPr>
            </w:pPr>
            <w:r>
              <w:rPr>
                <w:color w:val="000000"/>
                <w:lang w:val="uk-UA" w:eastAsia="ru-RU"/>
              </w:rPr>
              <w:t>зро</w:t>
            </w:r>
            <w:r w:rsidR="00EF106F">
              <w:rPr>
                <w:color w:val="000000"/>
                <w:lang w:val="uk-UA" w:eastAsia="ru-RU"/>
              </w:rPr>
              <w:t>стання обсягів інвестицій, в тому числі</w:t>
            </w:r>
            <w:r>
              <w:rPr>
                <w:color w:val="000000"/>
                <w:lang w:val="uk-UA" w:eastAsia="ru-RU"/>
              </w:rPr>
              <w:t xml:space="preserve"> міжнародних; </w:t>
            </w:r>
          </w:p>
          <w:p w14:paraId="08CE3B53" w14:textId="00DEC290" w:rsidR="00BA7849" w:rsidRDefault="00BA7849" w:rsidP="00EF106F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р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еалізація державної політики щодо залучення приватних інвесторів до участі в розвитку портової інфраструктури призведе до збільшення доходів від портових зборів та/або послуг щодо використання суб’єктами господарювання стратегічних об’єктів портової </w:t>
            </w:r>
            <w:r>
              <w:rPr>
                <w:rFonts w:eastAsia="Times New Roman"/>
                <w:color w:val="000000"/>
                <w:lang w:val="uk-UA" w:eastAsia="ru-RU"/>
              </w:rPr>
              <w:t>і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нфраструктури  за рахунок введення в експлуатацію нових об’єктів портової інфраструктури, реконструкції і модернізації 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вже існуючих </w:t>
            </w:r>
            <w:r w:rsidR="00EF106F">
              <w:rPr>
                <w:rFonts w:eastAsia="Times New Roman"/>
                <w:color w:val="000000"/>
                <w:lang w:val="uk-UA" w:eastAsia="ru-RU"/>
              </w:rPr>
              <w:t>зношених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об’єктів;</w:t>
            </w:r>
          </w:p>
          <w:p w14:paraId="6AC693D3" w14:textId="6A3F14D7" w:rsidR="00BA7849" w:rsidRDefault="00BA7849" w:rsidP="00131D7A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110F46">
              <w:rPr>
                <w:rFonts w:eastAsia="Times New Roman"/>
                <w:color w:val="000000"/>
                <w:lang w:val="uk-UA" w:eastAsia="ru-RU"/>
              </w:rPr>
              <w:lastRenderedPageBreak/>
              <w:t>зростання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14:paraId="5F21FA17" w14:textId="77777777" w:rsidR="00BA7849" w:rsidRDefault="00BA7849" w:rsidP="00131D7A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110F46">
              <w:rPr>
                <w:rFonts w:eastAsia="Times New Roman"/>
                <w:color w:val="000000"/>
                <w:lang w:val="uk-UA" w:eastAsia="ru-RU"/>
              </w:rPr>
              <w:t>макроекономічних показників за рахунок розвитку інфраструктури морських терміналів, сплати податків, утворення в процесі реалізації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>ктів нових робочих місць</w:t>
            </w:r>
            <w:r>
              <w:rPr>
                <w:rFonts w:eastAsia="Times New Roman"/>
                <w:color w:val="000000"/>
                <w:lang w:val="uk-UA" w:eastAsia="ru-RU"/>
              </w:rPr>
              <w:t>;</w:t>
            </w:r>
          </w:p>
          <w:p w14:paraId="3EC13832" w14:textId="110F73B2" w:rsidR="00BA7849" w:rsidRDefault="00BA7849" w:rsidP="00131D7A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р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>озвиток портової інфраструктури як наслідок призводить до підвищення конкурентоспроможності українських портів у азовському, чорноморському та придунайському регіонах</w:t>
            </w:r>
            <w:r>
              <w:rPr>
                <w:rFonts w:eastAsia="Times New Roman"/>
                <w:color w:val="000000"/>
                <w:lang w:val="uk-UA" w:eastAsia="ru-RU"/>
              </w:rPr>
              <w:t>;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14:paraId="358428AF" w14:textId="18D6233F" w:rsidR="00BA7849" w:rsidRDefault="00BA7849" w:rsidP="00131D7A">
            <w:pPr>
              <w:spacing w:after="0" w:line="240" w:lineRule="auto"/>
              <w:ind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покращення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характеристик морських портів (глибина портів, габарити причальної стінки, наявність та якість комунікацій) за рахунок реалізації відповідних інвестиційних про</w:t>
            </w:r>
            <w:r w:rsidR="00170B4F"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>ктів призв</w:t>
            </w:r>
            <w:r>
              <w:rPr>
                <w:rFonts w:eastAsia="Times New Roman"/>
                <w:color w:val="000000"/>
                <w:lang w:val="uk-UA" w:eastAsia="ru-RU"/>
              </w:rPr>
              <w:t>еде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до підвищення інвестиційної привабливості тилових площ у морських портах, а отже – і до відповідного збільшення вантажопереробки</w:t>
            </w:r>
            <w:r>
              <w:rPr>
                <w:rFonts w:eastAsia="Times New Roman"/>
                <w:color w:val="000000"/>
                <w:lang w:val="uk-UA" w:eastAsia="ru-RU"/>
              </w:rPr>
              <w:t>;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</w:p>
          <w:p w14:paraId="0A2075A7" w14:textId="6A12E879" w:rsidR="00BA7849" w:rsidRDefault="00BA7849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виконання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ДП «АМПУ»  ряд</w:t>
            </w:r>
            <w:r>
              <w:rPr>
                <w:rFonts w:eastAsia="Times New Roman"/>
                <w:color w:val="000000"/>
                <w:lang w:val="uk-UA" w:eastAsia="ru-RU"/>
              </w:rPr>
              <w:t>у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t xml:space="preserve"> зобов’язань перед українськими та міжнародними контрагентами, реалізація яких, через брак коштів, можлива лише за наявності </w:t>
            </w:r>
            <w:r w:rsidRPr="00110F46">
              <w:rPr>
                <w:rFonts w:eastAsia="Times New Roman"/>
                <w:color w:val="000000"/>
                <w:lang w:val="uk-UA" w:eastAsia="ru-RU"/>
              </w:rPr>
              <w:lastRenderedPageBreak/>
              <w:t>додаткових джерел фінансування</w:t>
            </w:r>
            <w:r w:rsidR="005644B8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188F48EA" w14:textId="4BED0177" w:rsidR="005644B8" w:rsidRDefault="005644B8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jc w:val="both"/>
              <w:rPr>
                <w:rFonts w:eastAsia="Times New Roman"/>
                <w:color w:val="000000"/>
                <w:lang w:val="uk-UA" w:eastAsia="ru-RU"/>
              </w:rPr>
            </w:pPr>
          </w:p>
          <w:p w14:paraId="56F9979E" w14:textId="47F31256" w:rsidR="005644B8" w:rsidRDefault="005644B8" w:rsidP="00131D7A">
            <w:pPr>
              <w:spacing w:after="0" w:line="240" w:lineRule="auto"/>
              <w:ind w:firstLine="176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громадян: </w:t>
            </w:r>
          </w:p>
          <w:p w14:paraId="53135791" w14:textId="77777777" w:rsidR="005644B8" w:rsidRPr="00BA7849" w:rsidRDefault="005644B8" w:rsidP="00131D7A">
            <w:pPr>
              <w:spacing w:after="0" w:line="240" w:lineRule="auto"/>
              <w:ind w:firstLine="176"/>
              <w:jc w:val="both"/>
              <w:rPr>
                <w:u w:val="single"/>
                <w:lang w:val="uk-UA"/>
              </w:rPr>
            </w:pPr>
          </w:p>
          <w:p w14:paraId="403A72CC" w14:textId="2777E1D0" w:rsidR="005644B8" w:rsidRDefault="005644B8" w:rsidP="00131D7A">
            <w:pPr>
              <w:spacing w:after="0" w:line="240" w:lineRule="auto"/>
              <w:ind w:firstLine="176"/>
              <w:jc w:val="both"/>
              <w:rPr>
                <w:lang w:val="uk-UA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С</w:t>
            </w:r>
            <w:r w:rsidRPr="00774C8D">
              <w:rPr>
                <w:rFonts w:eastAsia="Times New Roman"/>
                <w:color w:val="000000"/>
                <w:lang w:val="uk-UA" w:eastAsia="ru-RU"/>
              </w:rPr>
              <w:t xml:space="preserve">творення нових робочих місць в результаті розвитку портової інфраструктури, кількість яких буде </w:t>
            </w:r>
            <w:r>
              <w:rPr>
                <w:rFonts w:eastAsia="Times New Roman"/>
                <w:color w:val="000000"/>
                <w:lang w:val="uk-UA" w:eastAsia="ru-RU"/>
              </w:rPr>
              <w:t>прямо-</w:t>
            </w:r>
            <w:proofErr w:type="spellStart"/>
            <w:r>
              <w:rPr>
                <w:rFonts w:eastAsia="Times New Roman"/>
                <w:color w:val="000000"/>
                <w:lang w:val="uk-UA" w:eastAsia="ru-RU"/>
              </w:rPr>
              <w:t>пропорційно</w:t>
            </w:r>
            <w:proofErr w:type="spellEnd"/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774C8D">
              <w:rPr>
                <w:rFonts w:eastAsia="Times New Roman"/>
                <w:color w:val="000000"/>
                <w:lang w:val="uk-UA" w:eastAsia="ru-RU"/>
              </w:rPr>
              <w:t>залежати від кількості реалізованих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774C8D">
              <w:rPr>
                <w:rFonts w:eastAsia="Times New Roman"/>
                <w:color w:val="000000"/>
                <w:lang w:val="uk-UA" w:eastAsia="ru-RU"/>
              </w:rPr>
              <w:t>ктів 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темпів </w:t>
            </w:r>
            <w:r w:rsidRPr="00774C8D">
              <w:rPr>
                <w:rFonts w:eastAsia="Times New Roman"/>
                <w:color w:val="000000"/>
                <w:lang w:val="uk-UA" w:eastAsia="ru-RU"/>
              </w:rPr>
              <w:t>макроекономічного зростання.</w:t>
            </w:r>
          </w:p>
          <w:p w14:paraId="1D52D341" w14:textId="77777777" w:rsidR="005644B8" w:rsidRDefault="005644B8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rPr>
                <w:b/>
                <w:lang w:val="uk-UA"/>
              </w:rPr>
            </w:pPr>
          </w:p>
          <w:p w14:paraId="0D7F219C" w14:textId="43A1419B" w:rsidR="005644B8" w:rsidRDefault="005644B8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rPr>
                <w:iCs/>
                <w:u w:val="single"/>
                <w:shd w:val="clear" w:color="auto" w:fill="FFFFFF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</w:t>
            </w:r>
            <w:r w:rsidRPr="00BA7849">
              <w:rPr>
                <w:iCs/>
                <w:u w:val="single"/>
                <w:shd w:val="clear" w:color="auto" w:fill="FFFFFF"/>
                <w:lang w:val="uk-UA"/>
              </w:rPr>
              <w:t>суб’єктів господарювання:</w:t>
            </w:r>
          </w:p>
          <w:p w14:paraId="1C5EB413" w14:textId="77777777" w:rsidR="00255853" w:rsidRDefault="00255853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rPr>
                <w:iCs/>
                <w:u w:val="single"/>
                <w:shd w:val="clear" w:color="auto" w:fill="FFFFFF"/>
                <w:lang w:val="uk-UA"/>
              </w:rPr>
            </w:pPr>
          </w:p>
          <w:p w14:paraId="37D4E68C" w14:textId="7F62BEC8" w:rsidR="002E7E5B" w:rsidRPr="00856902" w:rsidRDefault="00255853" w:rsidP="00856902">
            <w:pPr>
              <w:tabs>
                <w:tab w:val="left" w:pos="-3686"/>
              </w:tabs>
              <w:spacing w:after="0" w:line="240" w:lineRule="auto"/>
              <w:ind w:right="45" w:firstLine="176"/>
              <w:rPr>
                <w:rFonts w:eastAsia="Times New Roman"/>
                <w:color w:val="000000"/>
                <w:lang w:val="uk-UA" w:eastAsia="ru-RU"/>
              </w:rPr>
            </w:pPr>
            <w:r w:rsidRPr="00B12E38">
              <w:rPr>
                <w:rFonts w:eastAsia="Times New Roman"/>
                <w:color w:val="000000"/>
                <w:lang w:val="uk-UA" w:eastAsia="ru-RU"/>
              </w:rPr>
              <w:t>Встановлення механізму повернення приватних коштів, що були залучені в розвиток портової інфраструктури</w:t>
            </w:r>
            <w:r>
              <w:rPr>
                <w:rFonts w:eastAsia="Times New Roman"/>
                <w:color w:val="000000"/>
                <w:lang w:val="uk-UA" w:eastAsia="ru-RU"/>
              </w:rPr>
              <w:t>,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створить можливість прискорення реалізації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ктів, в яких зацікавлений бізнес. Така можливість сприятиме суб’єктам господарювання в підвищенні їх конкурентоспроможності у строки, що відповідають саме їх фінансовим можливостям, а не можливостям держави або державного підприємства. Тобто, на даний момент розвиток стратегічних об’єктів портової інфраструктури можливий лише за наявності коштів у ДП 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lastRenderedPageBreak/>
              <w:t>«АМПУ», оскільки саме ДП «АМПУ» приймає рішення щодо реалізації того чи іншого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кту, з урахуванням фінансового плану та затверджених про</w:t>
            </w:r>
            <w:r w:rsidR="00926051"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ктів. Із прийняттям 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</w:t>
            </w:r>
            <w:r>
              <w:rPr>
                <w:rFonts w:eastAsia="Times New Roman"/>
                <w:color w:val="000000"/>
                <w:lang w:val="uk-UA" w:eastAsia="ru-RU"/>
              </w:rPr>
              <w:t>у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uk-UA" w:eastAsia="ru-RU"/>
              </w:rPr>
              <w:t>акта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приватний інвестор, маючи відповідну фінансову можливість</w:t>
            </w:r>
            <w:r>
              <w:rPr>
                <w:rFonts w:eastAsia="Times New Roman"/>
                <w:color w:val="000000"/>
                <w:lang w:val="uk-UA" w:eastAsia="ru-RU"/>
              </w:rPr>
              <w:t>,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матиме змогу спільно з ДП «АМПУ» реалізовувати ті </w:t>
            </w:r>
            <w:proofErr w:type="spellStart"/>
            <w:r w:rsidRPr="00B12E38">
              <w:rPr>
                <w:rFonts w:eastAsia="Times New Roman"/>
                <w:color w:val="000000"/>
                <w:lang w:val="uk-UA" w:eastAsia="ru-RU"/>
              </w:rPr>
              <w:t>про</w:t>
            </w:r>
            <w:r>
              <w:rPr>
                <w:rFonts w:eastAsia="Times New Roman"/>
                <w:color w:val="000000"/>
                <w:lang w:val="uk-UA" w:eastAsia="ru-RU"/>
              </w:rPr>
              <w:t>є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>кти</w:t>
            </w:r>
            <w:proofErr w:type="spellEnd"/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, в яких </w:t>
            </w:r>
            <w:r>
              <w:rPr>
                <w:rFonts w:eastAsia="Times New Roman"/>
                <w:color w:val="000000"/>
                <w:lang w:val="uk-UA" w:eastAsia="ru-RU"/>
              </w:rPr>
              <w:t>він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 зацікавлен</w:t>
            </w:r>
            <w:r>
              <w:rPr>
                <w:rFonts w:eastAsia="Times New Roman"/>
                <w:color w:val="000000"/>
                <w:lang w:val="uk-UA" w:eastAsia="ru-RU"/>
              </w:rPr>
              <w:t>ий</w:t>
            </w:r>
            <w:r w:rsidRPr="00B12E38">
              <w:rPr>
                <w:rFonts w:eastAsia="Times New Roman"/>
                <w:color w:val="000000"/>
                <w:lang w:val="uk-UA" w:eastAsia="ru-RU"/>
              </w:rPr>
              <w:t xml:space="preserve">. При цьому, ДП «АМПУ» зможе прогнозувати повернення інвестицій у відповідності до підвищення надходжень за рахунок реалізованого </w:t>
            </w:r>
            <w:r w:rsidRPr="00856902">
              <w:rPr>
                <w:rFonts w:eastAsia="Times New Roman"/>
                <w:color w:val="000000"/>
                <w:lang w:val="uk-UA" w:eastAsia="ru-RU"/>
              </w:rPr>
              <w:t>проєкту.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14:paraId="21E93EC9" w14:textId="77777777" w:rsidR="00A80F3B" w:rsidRPr="00BA7849" w:rsidRDefault="00A80F3B" w:rsidP="00131D7A">
            <w:pPr>
              <w:ind w:firstLine="229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lastRenderedPageBreak/>
              <w:t xml:space="preserve">Для держави: </w:t>
            </w:r>
          </w:p>
          <w:p w14:paraId="0B31939C" w14:textId="39714F5E" w:rsidR="002E7E5B" w:rsidRDefault="003621AF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jc w:val="both"/>
              <w:rPr>
                <w:rStyle w:val="10"/>
                <w:sz w:val="24"/>
                <w:lang w:val="uk-UA" w:eastAsia="uk-UA"/>
              </w:rPr>
            </w:pPr>
            <w:r w:rsidRPr="00633FA8">
              <w:rPr>
                <w:bCs/>
                <w:lang w:val="uk-UA"/>
              </w:rPr>
              <w:t xml:space="preserve">Витрати ДП «АМПУ» на 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компенсацію інвестицій, внесених суб’єктами господарювання у 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стратегічні об’єкти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 портової інфраструктури</w:t>
            </w:r>
            <w:r w:rsidR="002A3ABB" w:rsidRPr="00633FA8">
              <w:rPr>
                <w:rFonts w:eastAsia="Times New Roman"/>
                <w:color w:val="000000"/>
                <w:lang w:val="uk-UA" w:eastAsia="ru-RU"/>
              </w:rPr>
              <w:t>,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 за рахунок</w:t>
            </w:r>
            <w:r w:rsidR="00A80F3B">
              <w:rPr>
                <w:rFonts w:eastAsia="Times New Roman"/>
                <w:color w:val="000000"/>
                <w:lang w:val="uk-UA" w:eastAsia="ru-RU"/>
              </w:rPr>
              <w:t xml:space="preserve"> надходжень від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633FA8">
              <w:rPr>
                <w:lang w:val="uk-UA"/>
              </w:rPr>
              <w:t xml:space="preserve">портових зборів, плат за використання об’єктів портової інфраструктури, </w:t>
            </w:r>
            <w:r w:rsidRPr="00633FA8">
              <w:rPr>
                <w:rStyle w:val="10"/>
                <w:sz w:val="24"/>
                <w:lang w:val="uk-UA" w:eastAsia="uk-UA"/>
              </w:rPr>
              <w:t xml:space="preserve">плат за послуги </w:t>
            </w:r>
            <w:r w:rsidR="00123658" w:rsidRPr="00633FA8">
              <w:rPr>
                <w:rStyle w:val="10"/>
                <w:sz w:val="24"/>
                <w:lang w:val="uk-UA" w:eastAsia="uk-UA"/>
              </w:rPr>
              <w:t>ДП «АМПУ»</w:t>
            </w:r>
            <w:r w:rsidR="002A3ABB" w:rsidRPr="00633FA8">
              <w:rPr>
                <w:rStyle w:val="10"/>
                <w:sz w:val="24"/>
                <w:lang w:val="uk-UA" w:eastAsia="uk-UA"/>
              </w:rPr>
              <w:t>. При цьому</w:t>
            </w:r>
            <w:r w:rsidR="00EF106F">
              <w:rPr>
                <w:rStyle w:val="10"/>
                <w:sz w:val="24"/>
                <w:lang w:val="uk-UA" w:eastAsia="uk-UA"/>
              </w:rPr>
              <w:t>,</w:t>
            </w:r>
            <w:r w:rsidR="002A3ABB" w:rsidRPr="00633FA8">
              <w:rPr>
                <w:rStyle w:val="10"/>
                <w:sz w:val="24"/>
                <w:lang w:val="uk-UA" w:eastAsia="uk-UA"/>
              </w:rPr>
              <w:t xml:space="preserve"> компенсації підлягатимуть лише кошти, що безпосередньо витрачені на виконання робіт.</w:t>
            </w:r>
          </w:p>
          <w:p w14:paraId="63C704E5" w14:textId="77777777" w:rsidR="00A80F3B" w:rsidRDefault="00A80F3B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jc w:val="both"/>
              <w:rPr>
                <w:rStyle w:val="10"/>
                <w:lang w:eastAsia="uk-UA"/>
              </w:rPr>
            </w:pPr>
          </w:p>
          <w:p w14:paraId="2DEDFE6F" w14:textId="54B05770" w:rsidR="00A80F3B" w:rsidRDefault="00A80F3B" w:rsidP="00131D7A">
            <w:pPr>
              <w:spacing w:after="0" w:line="240" w:lineRule="auto"/>
              <w:ind w:firstLine="229"/>
              <w:jc w:val="both"/>
              <w:rPr>
                <w:u w:val="single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громадян: </w:t>
            </w:r>
          </w:p>
          <w:p w14:paraId="1E46A8FD" w14:textId="77777777" w:rsidR="00A80F3B" w:rsidRDefault="00A80F3B" w:rsidP="00131D7A">
            <w:pPr>
              <w:spacing w:after="0" w:line="240" w:lineRule="auto"/>
              <w:ind w:firstLine="229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D2CC2">
              <w:rPr>
                <w:lang w:val="uk-UA"/>
              </w:rPr>
              <w:t>ідсутні</w:t>
            </w:r>
            <w:r>
              <w:rPr>
                <w:lang w:val="uk-UA"/>
              </w:rPr>
              <w:t>.</w:t>
            </w:r>
          </w:p>
          <w:p w14:paraId="17CDC263" w14:textId="77777777" w:rsidR="00A80F3B" w:rsidRDefault="00A80F3B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b/>
                <w:lang w:val="uk-UA"/>
              </w:rPr>
            </w:pPr>
          </w:p>
          <w:p w14:paraId="4BA70696" w14:textId="06943849" w:rsidR="00A80F3B" w:rsidRDefault="00A80F3B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iCs/>
                <w:u w:val="single"/>
                <w:shd w:val="clear" w:color="auto" w:fill="FFFFFF"/>
                <w:lang w:val="uk-UA"/>
              </w:rPr>
            </w:pPr>
            <w:r w:rsidRPr="00BA7849">
              <w:rPr>
                <w:u w:val="single"/>
                <w:lang w:val="uk-UA"/>
              </w:rPr>
              <w:t xml:space="preserve">Для </w:t>
            </w:r>
            <w:r w:rsidRPr="00BA7849">
              <w:rPr>
                <w:iCs/>
                <w:u w:val="single"/>
                <w:shd w:val="clear" w:color="auto" w:fill="FFFFFF"/>
                <w:lang w:val="uk-UA"/>
              </w:rPr>
              <w:t>суб’єктів господарювання:</w:t>
            </w:r>
          </w:p>
          <w:p w14:paraId="7F3FFBEB" w14:textId="77777777" w:rsidR="00A80F3B" w:rsidRPr="00BA7849" w:rsidRDefault="00A80F3B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rPr>
                <w:iCs/>
                <w:u w:val="single"/>
                <w:shd w:val="clear" w:color="auto" w:fill="FFFFFF"/>
                <w:lang w:val="uk-UA"/>
              </w:rPr>
            </w:pPr>
          </w:p>
          <w:p w14:paraId="3F1793F7" w14:textId="520DE90F" w:rsidR="00A80F3B" w:rsidRDefault="00A80F3B" w:rsidP="00131D7A">
            <w:pPr>
              <w:tabs>
                <w:tab w:val="left" w:pos="-3686"/>
              </w:tabs>
              <w:spacing w:after="0" w:line="240" w:lineRule="auto"/>
              <w:ind w:right="45" w:firstLine="229"/>
              <w:jc w:val="both"/>
              <w:rPr>
                <w:bCs/>
                <w:lang w:val="uk-UA"/>
              </w:rPr>
            </w:pPr>
            <w:r w:rsidRPr="00B12E38">
              <w:rPr>
                <w:bCs/>
                <w:lang w:val="uk-UA"/>
              </w:rPr>
              <w:t xml:space="preserve">Витрати </w:t>
            </w:r>
            <w:r>
              <w:rPr>
                <w:bCs/>
                <w:lang w:val="uk-UA"/>
              </w:rPr>
              <w:t>на реалізацію потрібних та економічно доцільних для бізнес</w:t>
            </w:r>
            <w:r w:rsidR="00170B4F">
              <w:rPr>
                <w:bCs/>
                <w:lang w:val="uk-UA"/>
              </w:rPr>
              <w:t>у</w:t>
            </w:r>
            <w:r>
              <w:rPr>
                <w:bCs/>
                <w:lang w:val="uk-UA"/>
              </w:rPr>
              <w:t xml:space="preserve"> проєктів, з подальшою </w:t>
            </w:r>
            <w:r w:rsidRPr="00B12E38">
              <w:rPr>
                <w:bCs/>
                <w:lang w:val="uk-UA"/>
              </w:rPr>
              <w:t>компенсаці</w:t>
            </w:r>
            <w:r>
              <w:rPr>
                <w:bCs/>
                <w:lang w:val="uk-UA"/>
              </w:rPr>
              <w:t>єю</w:t>
            </w:r>
            <w:r w:rsidRPr="00B12E38">
              <w:rPr>
                <w:bCs/>
                <w:lang w:val="uk-UA"/>
              </w:rPr>
              <w:t xml:space="preserve"> вартості відповідних про</w:t>
            </w:r>
            <w:r>
              <w:rPr>
                <w:bCs/>
                <w:lang w:val="uk-UA"/>
              </w:rPr>
              <w:t>є</w:t>
            </w:r>
            <w:r w:rsidRPr="00B12E38">
              <w:rPr>
                <w:bCs/>
                <w:lang w:val="uk-UA"/>
              </w:rPr>
              <w:t>ктів</w:t>
            </w:r>
            <w:r>
              <w:rPr>
                <w:bCs/>
                <w:lang w:val="uk-UA"/>
              </w:rPr>
              <w:t xml:space="preserve"> від ДП «АМПУ»</w:t>
            </w:r>
            <w:r w:rsidRPr="00B12E38">
              <w:rPr>
                <w:bCs/>
                <w:lang w:val="uk-UA"/>
              </w:rPr>
              <w:t xml:space="preserve"> (без </w:t>
            </w:r>
            <w:r>
              <w:rPr>
                <w:bCs/>
                <w:lang w:val="uk-UA"/>
              </w:rPr>
              <w:t>отримання</w:t>
            </w:r>
            <w:r w:rsidRPr="00B12E38">
              <w:rPr>
                <w:bCs/>
                <w:lang w:val="uk-UA"/>
              </w:rPr>
              <w:t xml:space="preserve"> відсотків за </w:t>
            </w:r>
            <w:r w:rsidRPr="00B12E38">
              <w:rPr>
                <w:bCs/>
                <w:lang w:val="uk-UA"/>
              </w:rPr>
              <w:lastRenderedPageBreak/>
              <w:t>користування коштами)</w:t>
            </w:r>
            <w:r>
              <w:rPr>
                <w:bCs/>
                <w:lang w:val="uk-UA"/>
              </w:rPr>
              <w:t>.</w:t>
            </w:r>
          </w:p>
          <w:p w14:paraId="7D9D6C23" w14:textId="5B126111" w:rsidR="00A80F3B" w:rsidRPr="00633FA8" w:rsidRDefault="00A80F3B" w:rsidP="002A3ABB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b/>
                <w:lang w:val="uk-UA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0DBCB3C" w14:textId="77777777" w:rsidR="00A80F3B" w:rsidRPr="00561287" w:rsidRDefault="00A80F3B" w:rsidP="00131D7A">
            <w:pPr>
              <w:spacing w:after="0" w:line="240" w:lineRule="auto"/>
              <w:ind w:firstLine="178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lastRenderedPageBreak/>
              <w:t xml:space="preserve">Прийняття регуляторного акта є найбільш прийнятним та ефективним способом, який і дозволить досягти мети державного регулювання, визначеної у пункті 2 цього аналізу регуляторного впливу. </w:t>
            </w:r>
          </w:p>
          <w:p w14:paraId="69DF9173" w14:textId="77777777" w:rsidR="00A80F3B" w:rsidRDefault="00A80F3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lang w:val="uk-UA"/>
              </w:rPr>
            </w:pPr>
          </w:p>
          <w:p w14:paraId="1B4A6E68" w14:textId="7132792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b/>
                <w:lang w:val="uk-UA"/>
              </w:rPr>
            </w:pPr>
          </w:p>
        </w:tc>
      </w:tr>
      <w:tr w:rsidR="002E7E5B" w:rsidRPr="00BD672A" w14:paraId="4F98AF30" w14:textId="77777777" w:rsidTr="00131D7A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47AA6" w14:textId="77777777" w:rsidR="002E7E5B" w:rsidRPr="005B216E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1E854" w14:textId="77777777" w:rsidR="002E7E5B" w:rsidRPr="005B216E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AB6EE" w14:textId="77777777" w:rsidR="002E7E5B" w:rsidRPr="005B216E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7E5B" w:rsidRPr="00633FA8" w14:paraId="216E7E08" w14:textId="77777777" w:rsidTr="00131D7A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2F859F67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center"/>
              <w:rPr>
                <w:lang w:val="uk-UA"/>
              </w:rPr>
            </w:pPr>
            <w:r w:rsidRPr="00633FA8">
              <w:rPr>
                <w:lang w:val="uk-UA"/>
              </w:rPr>
              <w:t>Рейтинг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40F987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 xml:space="preserve">Аргументи щодо обраної </w:t>
            </w:r>
            <w:r w:rsidRPr="00633FA8">
              <w:rPr>
                <w:rStyle w:val="rvts0"/>
                <w:lang w:val="uk-UA"/>
              </w:rPr>
              <w:t>альтернативи/причини відмови від альтернативи</w:t>
            </w:r>
            <w:r w:rsidRPr="00633FA8">
              <w:rPr>
                <w:lang w:val="uk-UA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14:paraId="3BB171FB" w14:textId="77777777" w:rsidR="002E7E5B" w:rsidRPr="00633FA8" w:rsidRDefault="002E7E5B" w:rsidP="003621AF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b/>
                <w:lang w:val="uk-UA"/>
              </w:rPr>
            </w:pPr>
            <w:r w:rsidRPr="00633FA8">
              <w:rPr>
                <w:lang w:val="uk-UA"/>
              </w:rPr>
              <w:t>Оцінка ризику зовнішніх</w:t>
            </w:r>
            <w:r w:rsidRPr="00633FA8">
              <w:rPr>
                <w:b/>
                <w:lang w:val="uk-UA"/>
              </w:rPr>
              <w:t xml:space="preserve"> </w:t>
            </w:r>
            <w:r w:rsidRPr="00633FA8">
              <w:rPr>
                <w:rStyle w:val="rvts0"/>
                <w:lang w:val="uk-UA"/>
              </w:rPr>
              <w:t>чинників на дію запропонованого регуляторного акта</w:t>
            </w:r>
          </w:p>
        </w:tc>
      </w:tr>
      <w:tr w:rsidR="002E7E5B" w:rsidRPr="00633FA8" w14:paraId="1BBFAE0C" w14:textId="77777777" w:rsidTr="00131D7A">
        <w:tc>
          <w:tcPr>
            <w:tcW w:w="2122" w:type="dxa"/>
            <w:tcBorders>
              <w:top w:val="single" w:sz="4" w:space="0" w:color="auto"/>
            </w:tcBorders>
          </w:tcPr>
          <w:p w14:paraId="26E5B633" w14:textId="22647E93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Альтернатива 1.</w:t>
            </w:r>
          </w:p>
          <w:p w14:paraId="04589E08" w14:textId="77777777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360EFE27" w14:textId="77777777" w:rsidR="00C208C2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 xml:space="preserve">Збереження </w:t>
            </w:r>
            <w:r w:rsidR="000245FC" w:rsidRPr="00633FA8">
              <w:rPr>
                <w:lang w:val="uk-UA"/>
              </w:rPr>
              <w:t>чинного регулювання</w:t>
            </w:r>
          </w:p>
          <w:p w14:paraId="558B8C55" w14:textId="56B3429A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</w:tcPr>
          <w:p w14:paraId="701C4E10" w14:textId="77777777" w:rsidR="00B4345A" w:rsidRDefault="00B4345A" w:rsidP="00913AE9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lang w:val="uk-UA"/>
              </w:rPr>
            </w:pPr>
          </w:p>
          <w:p w14:paraId="1829AB25" w14:textId="093CC7AB" w:rsidR="00B4345A" w:rsidRPr="00B4345A" w:rsidRDefault="00B4345A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 xml:space="preserve">Альтернатива є неприйнятною, оскільки ситуація залишається незмінною – не </w:t>
            </w:r>
            <w:r w:rsidRPr="00B4345A">
              <w:rPr>
                <w:lang w:val="uk-UA"/>
              </w:rPr>
              <w:t>досягнені поставлені цілі.</w:t>
            </w:r>
          </w:p>
          <w:p w14:paraId="24D24AE9" w14:textId="77777777" w:rsidR="00B4345A" w:rsidRDefault="00B4345A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jc w:val="both"/>
              <w:rPr>
                <w:lang w:val="uk-UA"/>
              </w:rPr>
            </w:pPr>
          </w:p>
          <w:p w14:paraId="56D7F45B" w14:textId="05099D5E" w:rsidR="002E7E5B" w:rsidRDefault="002A3ABB" w:rsidP="00131D7A">
            <w:pPr>
              <w:tabs>
                <w:tab w:val="left" w:pos="-3686"/>
              </w:tabs>
              <w:spacing w:after="0" w:line="240" w:lineRule="auto"/>
              <w:ind w:right="45" w:firstLine="176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 xml:space="preserve">Відмова від збереження чинного регулювання обумовлена </w:t>
            </w:r>
            <w:r w:rsidR="00B4345A">
              <w:rPr>
                <w:lang w:val="uk-UA"/>
              </w:rPr>
              <w:t>нагальними</w:t>
            </w:r>
            <w:r w:rsidRPr="00633FA8">
              <w:rPr>
                <w:lang w:val="uk-UA"/>
              </w:rPr>
              <w:t xml:space="preserve"> п</w:t>
            </w:r>
            <w:r w:rsidR="00B4345A">
              <w:rPr>
                <w:lang w:val="uk-UA"/>
              </w:rPr>
              <w:t>отребами</w:t>
            </w:r>
            <w:r w:rsidRPr="00633FA8">
              <w:rPr>
                <w:lang w:val="uk-UA"/>
              </w:rPr>
              <w:t xml:space="preserve"> у залученні приватних інвестицій</w:t>
            </w:r>
            <w:r w:rsidR="00913AE9" w:rsidRPr="00633FA8">
              <w:rPr>
                <w:lang w:val="uk-UA"/>
              </w:rPr>
              <w:t xml:space="preserve">. </w:t>
            </w:r>
          </w:p>
          <w:p w14:paraId="65936F7E" w14:textId="08EBBDAB" w:rsidR="00B4345A" w:rsidRPr="00633FA8" w:rsidRDefault="00B4345A" w:rsidP="00913AE9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lang w:val="uk-UA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780CCD94" w14:textId="77777777" w:rsidR="00B4345A" w:rsidRDefault="00B4345A" w:rsidP="00B4345A">
            <w:pPr>
              <w:tabs>
                <w:tab w:val="left" w:pos="-3686"/>
              </w:tabs>
              <w:spacing w:after="0" w:line="240" w:lineRule="auto"/>
              <w:ind w:right="45"/>
              <w:jc w:val="both"/>
              <w:rPr>
                <w:lang w:val="uk-UA"/>
              </w:rPr>
            </w:pPr>
          </w:p>
          <w:p w14:paraId="64293413" w14:textId="60B0C1EF" w:rsidR="002E7E5B" w:rsidRPr="00633FA8" w:rsidRDefault="00B4345A" w:rsidP="00131D7A">
            <w:pPr>
              <w:tabs>
                <w:tab w:val="left" w:pos="-3686"/>
              </w:tabs>
              <w:spacing w:after="0" w:line="240" w:lineRule="auto"/>
              <w:ind w:right="45" w:firstLine="178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>Відсутній ризик зовнішніх чинників на дію запропонованого регуляторного акта</w:t>
            </w:r>
          </w:p>
        </w:tc>
      </w:tr>
      <w:tr w:rsidR="002E7E5B" w:rsidRPr="00633FA8" w14:paraId="67CD52CE" w14:textId="77777777" w:rsidTr="00131D7A">
        <w:tc>
          <w:tcPr>
            <w:tcW w:w="2122" w:type="dxa"/>
          </w:tcPr>
          <w:p w14:paraId="2384C07A" w14:textId="7838E50C" w:rsidR="002E7E5B" w:rsidRDefault="002E7E5B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633FA8">
              <w:rPr>
                <w:lang w:val="uk-UA"/>
              </w:rPr>
              <w:t>Альтернатива 2.</w:t>
            </w:r>
          </w:p>
          <w:p w14:paraId="39B7F71E" w14:textId="77777777" w:rsidR="00BD672A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</w:p>
          <w:p w14:paraId="36D8D20D" w14:textId="70494035" w:rsidR="002E7E5B" w:rsidRPr="00633FA8" w:rsidRDefault="00BD672A" w:rsidP="003621AF">
            <w:pPr>
              <w:spacing w:after="0" w:line="240" w:lineRule="auto"/>
              <w:jc w:val="both"/>
              <w:rPr>
                <w:lang w:val="uk-UA"/>
              </w:rPr>
            </w:pPr>
            <w:r w:rsidRPr="00C32340">
              <w:rPr>
                <w:spacing w:val="-2"/>
                <w:lang w:val="uk-UA"/>
              </w:rPr>
              <w:t>Прийняття</w:t>
            </w:r>
            <w:r w:rsidRPr="00C32340">
              <w:rPr>
                <w:spacing w:val="-2"/>
              </w:rPr>
              <w:t xml:space="preserve"> регуляторного акта</w:t>
            </w:r>
          </w:p>
        </w:tc>
        <w:tc>
          <w:tcPr>
            <w:tcW w:w="5386" w:type="dxa"/>
            <w:gridSpan w:val="3"/>
          </w:tcPr>
          <w:p w14:paraId="12F24475" w14:textId="0FF2CA94" w:rsidR="00B4345A" w:rsidRPr="00B4345A" w:rsidRDefault="00B4345A" w:rsidP="00131D7A">
            <w:pPr>
              <w:spacing w:after="0" w:line="240" w:lineRule="auto"/>
              <w:ind w:firstLine="288"/>
              <w:jc w:val="both"/>
              <w:rPr>
                <w:lang w:val="uk-UA"/>
              </w:rPr>
            </w:pPr>
            <w:r w:rsidRPr="00561287">
              <w:rPr>
                <w:lang w:val="uk-UA"/>
              </w:rPr>
              <w:t xml:space="preserve">Прийняття регуляторного </w:t>
            </w:r>
            <w:r>
              <w:rPr>
                <w:lang w:val="uk-UA"/>
              </w:rPr>
              <w:t xml:space="preserve">акта </w:t>
            </w:r>
            <w:r w:rsidRPr="00561287">
              <w:rPr>
                <w:lang w:val="uk-UA"/>
              </w:rPr>
              <w:t xml:space="preserve">є найбільш прийнятним та ефективним способом, який дозволить </w:t>
            </w:r>
            <w:r>
              <w:rPr>
                <w:lang w:val="uk-UA"/>
              </w:rPr>
              <w:t xml:space="preserve">майже повною мірою </w:t>
            </w:r>
            <w:r w:rsidRPr="00561287">
              <w:rPr>
                <w:lang w:val="uk-UA"/>
              </w:rPr>
              <w:t>досягти мети державного регулювання, визначеної у пункті 2 цього аналізу регуляторного впливу</w:t>
            </w:r>
            <w:r>
              <w:rPr>
                <w:lang w:val="uk-UA"/>
              </w:rPr>
              <w:t xml:space="preserve">, та </w:t>
            </w:r>
            <w:r w:rsidRPr="00561287">
              <w:rPr>
                <w:lang w:val="uk-UA"/>
              </w:rPr>
              <w:t xml:space="preserve"> </w:t>
            </w:r>
            <w:r w:rsidRPr="00561287">
              <w:rPr>
                <w:bCs/>
                <w:lang w:val="uk-UA"/>
              </w:rPr>
              <w:t>дозволить забезпечити виконання наступних цілей:</w:t>
            </w:r>
          </w:p>
          <w:p w14:paraId="7CA6CB91" w14:textId="7C624A85" w:rsidR="00B4345A" w:rsidRPr="00CC6259" w:rsidRDefault="00B4345A" w:rsidP="00131D7A">
            <w:pPr>
              <w:spacing w:after="0" w:line="240" w:lineRule="auto"/>
              <w:ind w:firstLine="288"/>
              <w:jc w:val="both"/>
              <w:rPr>
                <w:bCs/>
                <w:lang w:val="uk-UA"/>
              </w:rPr>
            </w:pPr>
            <w:r w:rsidRPr="00170B4F">
              <w:rPr>
                <w:lang w:val="uk-UA"/>
              </w:rPr>
              <w:lastRenderedPageBreak/>
              <w:t>виконання вимог Закону</w:t>
            </w:r>
            <w:r w:rsidR="00CC6259">
              <w:rPr>
                <w:lang w:val="uk-UA"/>
              </w:rPr>
              <w:t>;</w:t>
            </w:r>
          </w:p>
          <w:p w14:paraId="36FF0C5F" w14:textId="66EAAA2B" w:rsidR="002E7E5B" w:rsidRPr="00633FA8" w:rsidRDefault="002E7E5B" w:rsidP="00131D7A">
            <w:pPr>
              <w:spacing w:after="0" w:line="240" w:lineRule="auto"/>
              <w:ind w:firstLine="288"/>
              <w:jc w:val="both"/>
              <w:rPr>
                <w:lang w:val="uk-UA"/>
              </w:rPr>
            </w:pPr>
            <w:r w:rsidRPr="00633FA8">
              <w:rPr>
                <w:bCs/>
                <w:lang w:val="uk-UA"/>
              </w:rPr>
              <w:t xml:space="preserve">буде </w:t>
            </w:r>
            <w:r w:rsidR="0046032B" w:rsidRPr="00633FA8">
              <w:rPr>
                <w:bCs/>
                <w:lang w:val="uk-UA"/>
              </w:rPr>
              <w:t>визначено</w:t>
            </w:r>
            <w:r w:rsidRPr="00633FA8">
              <w:rPr>
                <w:bCs/>
                <w:lang w:val="uk-UA"/>
              </w:rPr>
              <w:t xml:space="preserve"> </w:t>
            </w:r>
            <w:r w:rsidR="00982E25" w:rsidRPr="00982E25">
              <w:rPr>
                <w:lang w:val="uk-UA"/>
              </w:rPr>
              <w:t>Порядок та умови укладання договорів, на підставі яких здійснюється компенсація інвестицій, внесених суб’єктами господарювання у стратегічні об’єкти портової інфраструктури, що є об’єктами державної власності</w:t>
            </w:r>
            <w:r w:rsidRPr="00633FA8">
              <w:rPr>
                <w:rFonts w:eastAsia="Times New Roman"/>
                <w:color w:val="000000"/>
                <w:lang w:val="uk-UA" w:eastAsia="ru-RU"/>
              </w:rPr>
              <w:t>,</w:t>
            </w:r>
            <w:r w:rsidRPr="00633FA8">
              <w:rPr>
                <w:lang w:val="uk-UA"/>
              </w:rPr>
              <w:t xml:space="preserve"> що дасть змогу 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 xml:space="preserve">з моменту прийняття </w:t>
            </w:r>
            <w:r w:rsidR="00EF106F">
              <w:rPr>
                <w:rFonts w:eastAsia="Times New Roman"/>
                <w:color w:val="000000"/>
                <w:lang w:val="uk-UA" w:eastAsia="ru-RU"/>
              </w:rPr>
              <w:t xml:space="preserve">регуляторного 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акт</w:t>
            </w:r>
            <w:r w:rsidR="00B46C5E" w:rsidRPr="00633FA8">
              <w:rPr>
                <w:rFonts w:eastAsia="Times New Roman"/>
                <w:color w:val="000000"/>
                <w:lang w:val="uk-UA" w:eastAsia="ru-RU"/>
              </w:rPr>
              <w:t>а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 xml:space="preserve"> почати реалізацію ряду про</w:t>
            </w:r>
            <w:r w:rsidR="00926051">
              <w:rPr>
                <w:rFonts w:eastAsia="Times New Roman"/>
                <w:color w:val="000000"/>
                <w:lang w:val="uk-UA" w:eastAsia="ru-RU"/>
              </w:rPr>
              <w:t>є</w:t>
            </w:r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 xml:space="preserve">ктів, вкрай важливих для розвитку </w:t>
            </w:r>
            <w:proofErr w:type="spellStart"/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морегосподарського</w:t>
            </w:r>
            <w:proofErr w:type="spellEnd"/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коплексу</w:t>
            </w:r>
            <w:proofErr w:type="spellEnd"/>
            <w:r w:rsidR="00427FD6" w:rsidRPr="00633FA8">
              <w:rPr>
                <w:rFonts w:eastAsia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2120" w:type="dxa"/>
          </w:tcPr>
          <w:p w14:paraId="718A7592" w14:textId="510817E4" w:rsidR="002E7E5B" w:rsidRPr="00633FA8" w:rsidRDefault="002E7E5B" w:rsidP="00131D7A">
            <w:pPr>
              <w:tabs>
                <w:tab w:val="left" w:pos="-3686"/>
              </w:tabs>
              <w:spacing w:after="0" w:line="240" w:lineRule="auto"/>
              <w:ind w:right="45" w:firstLine="178"/>
              <w:jc w:val="both"/>
              <w:rPr>
                <w:b/>
                <w:lang w:val="uk-UA"/>
              </w:rPr>
            </w:pPr>
            <w:r w:rsidRPr="00633FA8">
              <w:rPr>
                <w:lang w:val="uk-UA"/>
              </w:rPr>
              <w:lastRenderedPageBreak/>
              <w:t xml:space="preserve">Відсутній ризик зовнішніх </w:t>
            </w:r>
            <w:r w:rsidRPr="00633FA8">
              <w:rPr>
                <w:rStyle w:val="rvts0"/>
                <w:lang w:val="uk-UA"/>
              </w:rPr>
              <w:t>чинників на дію запропонованого регуляторного акта</w:t>
            </w:r>
            <w:r w:rsidR="00427FD6" w:rsidRPr="00633FA8">
              <w:rPr>
                <w:rStyle w:val="rvts0"/>
                <w:lang w:val="uk-UA"/>
              </w:rPr>
              <w:t>.</w:t>
            </w:r>
          </w:p>
        </w:tc>
      </w:tr>
    </w:tbl>
    <w:p w14:paraId="2EB59EDA" w14:textId="77777777" w:rsidR="003C5452" w:rsidRPr="005B216E" w:rsidRDefault="003C5452" w:rsidP="003621AF">
      <w:pPr>
        <w:tabs>
          <w:tab w:val="left" w:pos="-3686"/>
        </w:tabs>
        <w:spacing w:after="0" w:line="240" w:lineRule="auto"/>
        <w:ind w:right="45" w:firstLine="851"/>
        <w:jc w:val="both"/>
        <w:rPr>
          <w:b/>
          <w:sz w:val="28"/>
          <w:szCs w:val="28"/>
          <w:lang w:val="uk-UA"/>
        </w:rPr>
      </w:pPr>
    </w:p>
    <w:p w14:paraId="3D3A1FF3" w14:textId="5A19E6BC" w:rsidR="002E7E5B" w:rsidRPr="005B216E" w:rsidRDefault="002E7E5B" w:rsidP="00A30564">
      <w:pPr>
        <w:tabs>
          <w:tab w:val="left" w:pos="-3686"/>
        </w:tabs>
        <w:spacing w:after="0" w:line="240" w:lineRule="auto"/>
        <w:ind w:right="45" w:firstLine="567"/>
        <w:jc w:val="both"/>
        <w:rPr>
          <w:b/>
          <w:sz w:val="28"/>
          <w:szCs w:val="28"/>
          <w:lang w:val="uk-UA"/>
        </w:rPr>
      </w:pPr>
      <w:r w:rsidRPr="005B216E">
        <w:rPr>
          <w:b/>
          <w:sz w:val="28"/>
          <w:szCs w:val="28"/>
          <w:lang w:val="uk-UA"/>
        </w:rPr>
        <w:t>V. Механізми та заходи, які забезпечать розв’язання визначеної проблеми</w:t>
      </w:r>
    </w:p>
    <w:p w14:paraId="5A5ABDFE" w14:textId="77777777" w:rsidR="009D1A26" w:rsidRDefault="009D1A26" w:rsidP="00A3056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FE3D371" w14:textId="6EB342B0" w:rsidR="00796ECE" w:rsidRPr="00EF106F" w:rsidRDefault="00796ECE" w:rsidP="00EF106F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61287">
        <w:rPr>
          <w:rFonts w:ascii="Times New Roman" w:hAnsi="Times New Roman"/>
          <w:sz w:val="28"/>
          <w:szCs w:val="28"/>
        </w:rPr>
        <w:t xml:space="preserve">Основним механізмом для розв’язання зазначеної проблеми є  прийняття </w:t>
      </w:r>
      <w:r w:rsidR="00EF106F">
        <w:rPr>
          <w:rFonts w:ascii="Times New Roman" w:hAnsi="Times New Roman"/>
          <w:sz w:val="28"/>
          <w:szCs w:val="28"/>
          <w:lang w:val="ru-RU"/>
        </w:rPr>
        <w:t>регуляторного акта.</w:t>
      </w:r>
    </w:p>
    <w:p w14:paraId="79E876EE" w14:textId="1A152663" w:rsidR="00F4742A" w:rsidRPr="005B216E" w:rsidRDefault="00EF106F" w:rsidP="00EF106F">
      <w:pPr>
        <w:tabs>
          <w:tab w:val="left" w:pos="-3686"/>
        </w:tabs>
        <w:spacing w:after="0" w:line="240" w:lineRule="auto"/>
        <w:ind w:right="4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Запропонований в регуляторному акті</w:t>
      </w:r>
      <w:r w:rsidR="003C5452" w:rsidRPr="00A03AC4">
        <w:rPr>
          <w:sz w:val="28"/>
          <w:szCs w:val="28"/>
          <w:lang w:val="uk-UA"/>
        </w:rPr>
        <w:t xml:space="preserve"> механізм укладення договору підряду</w:t>
      </w:r>
      <w:r w:rsidR="003C5452" w:rsidRPr="005B216E">
        <w:rPr>
          <w:sz w:val="28"/>
          <w:szCs w:val="28"/>
          <w:lang w:val="uk-UA"/>
        </w:rPr>
        <w:t xml:space="preserve"> щодо будівництва</w:t>
      </w:r>
      <w:r w:rsidR="00A03AC4">
        <w:rPr>
          <w:sz w:val="28"/>
          <w:szCs w:val="28"/>
          <w:lang w:val="uk-UA"/>
        </w:rPr>
        <w:t xml:space="preserve"> (нового будівництва, </w:t>
      </w:r>
      <w:r w:rsidR="003C5452" w:rsidRPr="005B216E">
        <w:rPr>
          <w:sz w:val="28"/>
          <w:szCs w:val="28"/>
          <w:lang w:val="uk-UA"/>
        </w:rPr>
        <w:t>ремонту</w:t>
      </w:r>
      <w:r w:rsidR="00A03AC4">
        <w:rPr>
          <w:sz w:val="28"/>
          <w:szCs w:val="28"/>
          <w:lang w:val="uk-UA"/>
        </w:rPr>
        <w:t xml:space="preserve">, </w:t>
      </w:r>
      <w:r w:rsidR="003C5452" w:rsidRPr="005B216E">
        <w:rPr>
          <w:sz w:val="28"/>
          <w:szCs w:val="28"/>
          <w:lang w:val="uk-UA"/>
        </w:rPr>
        <w:t>реконструкції</w:t>
      </w:r>
      <w:r w:rsidR="00A03AC4">
        <w:rPr>
          <w:sz w:val="28"/>
          <w:szCs w:val="28"/>
          <w:lang w:val="uk-UA"/>
        </w:rPr>
        <w:t>, модернізації)</w:t>
      </w:r>
      <w:r w:rsidR="003C5452" w:rsidRPr="005B216E">
        <w:rPr>
          <w:sz w:val="28"/>
          <w:szCs w:val="28"/>
          <w:lang w:val="uk-UA"/>
        </w:rPr>
        <w:t xml:space="preserve"> стратегічного об’єкту портової інфраструктури між ДП «АМПУ» та підрядником, а також договору між ДП «АМПУ» та інвестором щодо компенсації інвестицій, виглядатиме наступним чином</w:t>
      </w:r>
      <w:r w:rsidR="00170B4F">
        <w:rPr>
          <w:sz w:val="28"/>
          <w:szCs w:val="28"/>
          <w:lang w:val="uk-UA"/>
        </w:rPr>
        <w:t>:</w:t>
      </w:r>
    </w:p>
    <w:p w14:paraId="3BFF1B44" w14:textId="0C282FB9" w:rsidR="00803D8F" w:rsidRPr="00F66447" w:rsidRDefault="003C5452" w:rsidP="00F66447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ДП </w:t>
      </w:r>
      <w:r w:rsidR="00C10C55" w:rsidRPr="008743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>АМПУ</w:t>
      </w:r>
      <w:r w:rsidR="00C10C55" w:rsidRPr="008743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інвестор укладають договір, відповідно до умов якого інвестор зобов’язується у майбутньому виступити платником за зобов’язаннями ДП </w:t>
      </w:r>
      <w:r w:rsidR="00C10C55" w:rsidRPr="008743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>АМПУ</w:t>
      </w:r>
      <w:r w:rsidR="00C10C55" w:rsidRPr="008743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перед підрядником (відповідно до 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визначеного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в межах конкретної суми) </w:t>
      </w:r>
      <w:r w:rsidR="00F66447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статті 194 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>осподарського кодексу України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ДП «АМПУ» після введення об’єкт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4358">
        <w:rPr>
          <w:rFonts w:ascii="Times New Roman" w:hAnsi="Times New Roman" w:cs="Times New Roman"/>
          <w:sz w:val="28"/>
          <w:szCs w:val="28"/>
          <w:lang w:val="uk-UA"/>
        </w:rPr>
        <w:t xml:space="preserve"> в експлуатацію бере на себе зобов’язання компенсувати суму внесених інвестором інвестицій (відповідно до графіку із вказанням джерел </w:t>
      </w:r>
      <w:r w:rsidR="00874358" w:rsidRPr="00874358">
        <w:rPr>
          <w:rFonts w:ascii="Times New Roman" w:hAnsi="Times New Roman" w:cs="Times New Roman"/>
          <w:sz w:val="28"/>
          <w:szCs w:val="28"/>
          <w:lang w:val="uk-UA"/>
        </w:rPr>
        <w:t>надходження коштів, що будуть спрямовані на компенсацію інвестицій</w:t>
      </w:r>
      <w:r w:rsidR="00F66447">
        <w:rPr>
          <w:rFonts w:ascii="Times New Roman" w:hAnsi="Times New Roman" w:cs="Times New Roman"/>
          <w:sz w:val="28"/>
          <w:szCs w:val="28"/>
          <w:lang w:val="uk-UA"/>
        </w:rPr>
        <w:t>) з урахуванням положень частини третьої статті 27 Закону.</w:t>
      </w:r>
    </w:p>
    <w:p w14:paraId="09769F2C" w14:textId="77777777" w:rsidR="00D20EAA" w:rsidRDefault="00D20EAA" w:rsidP="00A30564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</w:p>
    <w:p w14:paraId="106263FD" w14:textId="575BA521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</w:t>
      </w:r>
      <w:r w:rsidR="00123658" w:rsidRPr="005B216E"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та юридичні особи, які повинні </w:t>
      </w:r>
      <w:r w:rsidRPr="005B216E">
        <w:rPr>
          <w:rFonts w:eastAsia="Times New Roman"/>
          <w:b/>
          <w:color w:val="000000"/>
          <w:sz w:val="28"/>
          <w:szCs w:val="28"/>
          <w:lang w:val="uk-UA" w:eastAsia="ru-RU"/>
        </w:rPr>
        <w:t>проваджувати або виконувати ці вимоги</w:t>
      </w:r>
    </w:p>
    <w:p w14:paraId="1FA543A2" w14:textId="77777777" w:rsidR="00C10C55" w:rsidRPr="005B216E" w:rsidRDefault="00C10C55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2484FA54" w14:textId="5E2A3DA7" w:rsidR="002E7E5B" w:rsidRPr="00F66447" w:rsidRDefault="008E1344" w:rsidP="00F6644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1344">
        <w:rPr>
          <w:rFonts w:ascii="Times New Roman" w:hAnsi="Times New Roman"/>
          <w:sz w:val="28"/>
          <w:szCs w:val="28"/>
        </w:rPr>
        <w:t xml:space="preserve">Реалізація регуляторного акта не потребуватиме додаткових бюджетних витрат i ресурсів на адміністрування регулювання органами виконавчої влади чи органами місцевого самоврядування. </w:t>
      </w:r>
      <w:r w:rsidR="00F66447" w:rsidRPr="00F66447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CF75A3" w:rsidRPr="00F664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еалізація </w:t>
      </w:r>
      <w:r w:rsidR="00F66447" w:rsidRPr="00F664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запропонованого регуляторним </w:t>
      </w:r>
      <w:r w:rsidR="00CF75A3" w:rsidRPr="00F664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</w:t>
      </w:r>
      <w:r w:rsidR="00F66447" w:rsidRPr="00F66447">
        <w:rPr>
          <w:rFonts w:ascii="Times New Roman" w:hAnsi="Times New Roman"/>
          <w:color w:val="000000"/>
          <w:sz w:val="28"/>
          <w:szCs w:val="28"/>
          <w:lang w:eastAsia="ru-RU"/>
        </w:rPr>
        <w:t>ом механізму</w:t>
      </w:r>
      <w:r w:rsidRPr="00F6644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CF75A3" w:rsidRPr="00F664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дозволить використовувати кошти, що будуть генеруватись від реалізації майбутніх про</w:t>
      </w:r>
      <w:r w:rsidR="00926051" w:rsidRPr="00F66447">
        <w:rPr>
          <w:rFonts w:ascii="Times New Roman" w:hAnsi="Times New Roman"/>
          <w:color w:val="000000"/>
          <w:sz w:val="28"/>
          <w:szCs w:val="28"/>
          <w:lang w:eastAsia="ru-RU"/>
        </w:rPr>
        <w:t>є</w:t>
      </w:r>
      <w:r w:rsidR="00CF75A3" w:rsidRPr="00F66447">
        <w:rPr>
          <w:rFonts w:ascii="Times New Roman" w:hAnsi="Times New Roman"/>
          <w:color w:val="000000"/>
          <w:sz w:val="28"/>
          <w:szCs w:val="28"/>
          <w:lang w:eastAsia="ru-RU"/>
        </w:rPr>
        <w:t>ктів.</w:t>
      </w:r>
    </w:p>
    <w:p w14:paraId="1C842FDA" w14:textId="786AA372" w:rsidR="000245FC" w:rsidRPr="00F66447" w:rsidRDefault="008E1344" w:rsidP="00F6644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1287">
        <w:rPr>
          <w:rFonts w:ascii="Times New Roman" w:hAnsi="Times New Roman"/>
          <w:sz w:val="28"/>
          <w:szCs w:val="28"/>
        </w:rPr>
        <w:t>Державне регулювання не передбачає утворення нового державного органу (</w:t>
      </w:r>
      <w:proofErr w:type="spellStart"/>
      <w:r w:rsidRPr="00561287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б</w:t>
      </w:r>
      <w:r w:rsidRPr="00561287">
        <w:rPr>
          <w:rFonts w:ascii="Times New Roman" w:hAnsi="Times New Roman"/>
          <w:sz w:val="28"/>
          <w:szCs w:val="28"/>
        </w:rPr>
        <w:t>o</w:t>
      </w:r>
      <w:proofErr w:type="spellEnd"/>
      <w:r w:rsidRPr="00561287">
        <w:rPr>
          <w:rFonts w:ascii="Times New Roman" w:hAnsi="Times New Roman"/>
          <w:sz w:val="28"/>
          <w:szCs w:val="28"/>
        </w:rPr>
        <w:t xml:space="preserve"> нового структурного підрозділу діючого органу)</w:t>
      </w:r>
      <w:r>
        <w:rPr>
          <w:rFonts w:ascii="Times New Roman" w:hAnsi="Times New Roman"/>
          <w:sz w:val="28"/>
          <w:szCs w:val="28"/>
        </w:rPr>
        <w:t>.</w:t>
      </w:r>
      <w:r w:rsidR="00F664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5FC" w:rsidRPr="00F66447">
        <w:rPr>
          <w:rFonts w:ascii="Times New Roman" w:hAnsi="Times New Roman"/>
          <w:sz w:val="28"/>
          <w:szCs w:val="28"/>
        </w:rPr>
        <w:t xml:space="preserve">Відповідно, розрахунок витрат на виконання вимог регуляторного акта для органів виконавчої влади </w:t>
      </w:r>
      <w:r w:rsidR="000245FC" w:rsidRPr="00F66447">
        <w:rPr>
          <w:rFonts w:ascii="Times New Roman" w:hAnsi="Times New Roman"/>
          <w:sz w:val="28"/>
          <w:szCs w:val="28"/>
        </w:rPr>
        <w:lastRenderedPageBreak/>
        <w:t>згідно з додатком 3 до Методики проведення аналізу впливу регуляторного акта не проводився.</w:t>
      </w:r>
    </w:p>
    <w:p w14:paraId="3D22263F" w14:textId="0751621E" w:rsidR="00131D7A" w:rsidRPr="00F66447" w:rsidRDefault="008E1344" w:rsidP="00F66447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1287">
        <w:rPr>
          <w:rFonts w:ascii="Times New Roman" w:hAnsi="Times New Roman"/>
          <w:sz w:val="28"/>
          <w:szCs w:val="28"/>
        </w:rPr>
        <w:t>Регуляторний акт не стосується підпри</w:t>
      </w:r>
      <w:r>
        <w:rPr>
          <w:rFonts w:ascii="Times New Roman" w:hAnsi="Times New Roman"/>
          <w:sz w:val="28"/>
          <w:szCs w:val="28"/>
        </w:rPr>
        <w:t>є</w:t>
      </w:r>
      <w:r w:rsidRPr="00561287">
        <w:rPr>
          <w:rFonts w:ascii="Times New Roman" w:hAnsi="Times New Roman"/>
          <w:sz w:val="28"/>
          <w:szCs w:val="28"/>
        </w:rPr>
        <w:t>мств, що є представниками мікро та малого підпри</w:t>
      </w:r>
      <w:r>
        <w:rPr>
          <w:rFonts w:ascii="Times New Roman" w:hAnsi="Times New Roman"/>
          <w:sz w:val="28"/>
          <w:szCs w:val="28"/>
        </w:rPr>
        <w:t>є</w:t>
      </w:r>
      <w:r w:rsidRPr="00561287">
        <w:rPr>
          <w:rFonts w:ascii="Times New Roman" w:hAnsi="Times New Roman"/>
          <w:sz w:val="28"/>
          <w:szCs w:val="28"/>
        </w:rPr>
        <w:t>мництва.</w:t>
      </w:r>
      <w:r w:rsidR="00F664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1287">
        <w:rPr>
          <w:rFonts w:ascii="Times New Roman" w:hAnsi="Times New Roman"/>
          <w:sz w:val="28"/>
          <w:szCs w:val="28"/>
        </w:rPr>
        <w:t>Відповідно, Тест малого підпри</w:t>
      </w:r>
      <w:r>
        <w:rPr>
          <w:rFonts w:ascii="Times New Roman" w:hAnsi="Times New Roman"/>
          <w:sz w:val="28"/>
          <w:szCs w:val="28"/>
        </w:rPr>
        <w:t>є</w:t>
      </w:r>
      <w:r w:rsidRPr="00561287">
        <w:rPr>
          <w:rFonts w:ascii="Times New Roman" w:hAnsi="Times New Roman"/>
          <w:sz w:val="28"/>
          <w:szCs w:val="28"/>
        </w:rPr>
        <w:t>мництва (М-Тест) згідно з додатком 4 до Методики проведен</w:t>
      </w:r>
      <w:r>
        <w:rPr>
          <w:rFonts w:ascii="Times New Roman" w:hAnsi="Times New Roman"/>
          <w:sz w:val="28"/>
          <w:szCs w:val="28"/>
        </w:rPr>
        <w:t>н</w:t>
      </w:r>
      <w:r w:rsidRPr="00561287">
        <w:rPr>
          <w:rFonts w:ascii="Times New Roman" w:hAnsi="Times New Roman"/>
          <w:sz w:val="28"/>
          <w:szCs w:val="28"/>
        </w:rPr>
        <w:t>я аналізу впливу регуляторного акта не проводився.</w:t>
      </w:r>
    </w:p>
    <w:p w14:paraId="512F8856" w14:textId="77777777" w:rsidR="00131D7A" w:rsidRPr="005B216E" w:rsidRDefault="00131D7A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419EAA54" w14:textId="77777777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VII. Обґрунтування запропонованого строку дії регуляторного акта</w:t>
      </w:r>
    </w:p>
    <w:p w14:paraId="7EF93D4A" w14:textId="77777777" w:rsidR="000245FC" w:rsidRPr="005B216E" w:rsidRDefault="000245FC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</w:p>
    <w:p w14:paraId="49685BD6" w14:textId="702E7473" w:rsidR="008E1344" w:rsidRPr="008E1344" w:rsidRDefault="002E7E5B" w:rsidP="00F66447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8E1344">
        <w:rPr>
          <w:rFonts w:eastAsia="Times New Roman"/>
          <w:color w:val="000000"/>
          <w:sz w:val="28"/>
          <w:szCs w:val="28"/>
          <w:lang w:val="uk-UA" w:eastAsia="ru-RU"/>
        </w:rPr>
        <w:t xml:space="preserve">Строк дії </w:t>
      </w:r>
      <w:r w:rsidR="00CC68D2" w:rsidRPr="008E1344">
        <w:rPr>
          <w:rFonts w:eastAsia="Times New Roman"/>
          <w:color w:val="000000"/>
          <w:sz w:val="28"/>
          <w:szCs w:val="28"/>
          <w:lang w:val="uk-UA" w:eastAsia="ru-RU"/>
        </w:rPr>
        <w:t xml:space="preserve">регуляторного </w:t>
      </w:r>
      <w:r w:rsidRPr="008E1344">
        <w:rPr>
          <w:rFonts w:eastAsia="Times New Roman"/>
          <w:color w:val="000000"/>
          <w:sz w:val="28"/>
          <w:szCs w:val="28"/>
          <w:lang w:val="uk-UA" w:eastAsia="ru-RU"/>
        </w:rPr>
        <w:t>акта</w:t>
      </w:r>
      <w:r w:rsidR="00F66447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Pr="008E1344">
        <w:rPr>
          <w:rFonts w:eastAsia="Times New Roman"/>
          <w:color w:val="000000"/>
          <w:sz w:val="28"/>
          <w:szCs w:val="28"/>
          <w:lang w:val="uk-UA" w:eastAsia="ru-RU"/>
        </w:rPr>
        <w:t>не обмеж</w:t>
      </w:r>
      <w:r w:rsidR="00CC68D2" w:rsidRPr="008E1344">
        <w:rPr>
          <w:rFonts w:eastAsia="Times New Roman"/>
          <w:color w:val="000000"/>
          <w:sz w:val="28"/>
          <w:szCs w:val="28"/>
          <w:lang w:val="uk-UA" w:eastAsia="ru-RU"/>
        </w:rPr>
        <w:t>у</w:t>
      </w:r>
      <w:r w:rsidR="008E1344">
        <w:rPr>
          <w:rFonts w:eastAsia="Times New Roman"/>
          <w:color w:val="000000"/>
          <w:sz w:val="28"/>
          <w:szCs w:val="28"/>
          <w:lang w:val="uk-UA" w:eastAsia="ru-RU"/>
        </w:rPr>
        <w:t>ється</w:t>
      </w:r>
      <w:r w:rsidR="00CC68D2" w:rsidRPr="008E1344">
        <w:rPr>
          <w:rFonts w:eastAsia="Times New Roman"/>
          <w:color w:val="000000"/>
          <w:sz w:val="28"/>
          <w:szCs w:val="28"/>
          <w:lang w:val="uk-UA" w:eastAsia="ru-RU"/>
        </w:rPr>
        <w:t xml:space="preserve"> в часі</w:t>
      </w:r>
      <w:r w:rsidR="00913AE9" w:rsidRPr="008E1344">
        <w:rPr>
          <w:rFonts w:eastAsia="Times New Roman"/>
          <w:color w:val="000000"/>
          <w:sz w:val="28"/>
          <w:szCs w:val="28"/>
          <w:lang w:val="uk-UA" w:eastAsia="ru-RU"/>
        </w:rPr>
        <w:t xml:space="preserve">. </w:t>
      </w:r>
      <w:r w:rsidR="008E1344" w:rsidRPr="00561287">
        <w:rPr>
          <w:sz w:val="28"/>
          <w:szCs w:val="28"/>
          <w:lang w:val="uk-UA"/>
        </w:rPr>
        <w:t xml:space="preserve">Зміна </w:t>
      </w:r>
      <w:r w:rsidR="00F66447">
        <w:rPr>
          <w:sz w:val="28"/>
          <w:szCs w:val="28"/>
          <w:lang w:val="uk-UA"/>
        </w:rPr>
        <w:t>строку</w:t>
      </w:r>
      <w:r w:rsidR="008E1344" w:rsidRPr="00561287">
        <w:rPr>
          <w:sz w:val="28"/>
          <w:szCs w:val="28"/>
          <w:lang w:val="uk-UA"/>
        </w:rPr>
        <w:t xml:space="preserve"> дії регуляторного акта </w:t>
      </w:r>
      <w:r w:rsidR="00F66447">
        <w:rPr>
          <w:sz w:val="28"/>
          <w:szCs w:val="28"/>
          <w:lang w:val="uk-UA"/>
        </w:rPr>
        <w:t>можлива у разі зміни нормативно-</w:t>
      </w:r>
      <w:r w:rsidR="008E1344" w:rsidRPr="00561287">
        <w:rPr>
          <w:sz w:val="28"/>
          <w:szCs w:val="28"/>
          <w:lang w:val="uk-UA"/>
        </w:rPr>
        <w:t xml:space="preserve">правових актів, на виконання вимог яких </w:t>
      </w:r>
      <w:r w:rsidR="00F66447">
        <w:rPr>
          <w:sz w:val="28"/>
          <w:szCs w:val="28"/>
          <w:lang w:val="uk-UA"/>
        </w:rPr>
        <w:t xml:space="preserve">він </w:t>
      </w:r>
      <w:r w:rsidR="008E1344" w:rsidRPr="00561287">
        <w:rPr>
          <w:sz w:val="28"/>
          <w:szCs w:val="28"/>
          <w:lang w:val="uk-UA"/>
        </w:rPr>
        <w:t>базу</w:t>
      </w:r>
      <w:r w:rsidR="008E1344">
        <w:rPr>
          <w:sz w:val="28"/>
          <w:szCs w:val="28"/>
          <w:lang w:val="uk-UA"/>
        </w:rPr>
        <w:t>є</w:t>
      </w:r>
      <w:r w:rsidR="008E1344" w:rsidRPr="00561287">
        <w:rPr>
          <w:sz w:val="28"/>
          <w:szCs w:val="28"/>
          <w:lang w:val="uk-UA"/>
        </w:rPr>
        <w:t>ться.</w:t>
      </w:r>
    </w:p>
    <w:p w14:paraId="43980452" w14:textId="5667B0E6" w:rsidR="008E1344" w:rsidRPr="00561287" w:rsidRDefault="008E1344" w:rsidP="00A30564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1287">
        <w:rPr>
          <w:rFonts w:ascii="Times New Roman" w:hAnsi="Times New Roman"/>
          <w:sz w:val="28"/>
          <w:szCs w:val="28"/>
        </w:rPr>
        <w:t>Строк набрання чинності регуляторного акта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61287">
        <w:rPr>
          <w:rFonts w:ascii="Times New Roman" w:hAnsi="Times New Roman"/>
          <w:sz w:val="28"/>
          <w:szCs w:val="28"/>
        </w:rPr>
        <w:t xml:space="preserve"> з дня його офіційного опублікування.</w:t>
      </w:r>
    </w:p>
    <w:p w14:paraId="3A217865" w14:textId="31148971" w:rsidR="008E1344" w:rsidRDefault="008E1344" w:rsidP="008E134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val="uk-UA" w:eastAsia="ru-RU"/>
        </w:rPr>
      </w:pPr>
    </w:p>
    <w:p w14:paraId="26E90CFC" w14:textId="77777777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VIII. Визначення показників результативності дії регуляторного акта</w:t>
      </w:r>
    </w:p>
    <w:p w14:paraId="55A3DBDD" w14:textId="77777777" w:rsidR="002053A0" w:rsidRPr="005B216E" w:rsidRDefault="002053A0" w:rsidP="008E134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0A368F98" w14:textId="17E79232" w:rsidR="002E7E5B" w:rsidRPr="005B216E" w:rsidRDefault="002053A0" w:rsidP="00F66447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>Виходячи з цілей державного регулювання для відстеження</w:t>
      </w:r>
      <w:r w:rsidR="005071B1"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результативності регуляторного акта пропонується встановити такі показники</w:t>
      </w:r>
      <w:r w:rsidR="002E7E5B" w:rsidRPr="005B216E">
        <w:rPr>
          <w:rFonts w:eastAsia="Times New Roman"/>
          <w:color w:val="000000"/>
          <w:sz w:val="28"/>
          <w:szCs w:val="28"/>
          <w:lang w:val="uk-UA" w:eastAsia="ru-RU"/>
        </w:rPr>
        <w:t>:</w:t>
      </w:r>
    </w:p>
    <w:p w14:paraId="2469A1FD" w14:textId="764C8E68" w:rsidR="00982E25" w:rsidRPr="00982E25" w:rsidRDefault="002E7E5B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1) </w:t>
      </w:r>
      <w:r w:rsidR="00982E25" w:rsidRPr="00982E25">
        <w:rPr>
          <w:rFonts w:eastAsia="Times New Roman"/>
          <w:color w:val="000000"/>
          <w:sz w:val="28"/>
          <w:szCs w:val="28"/>
          <w:lang w:val="uk-UA" w:eastAsia="ru-RU"/>
        </w:rPr>
        <w:t>розмір надходжень до державного та місцевих бюджетів і державних цільових фондів, пов</w:t>
      </w:r>
      <w:r w:rsidR="00982E25">
        <w:rPr>
          <w:rFonts w:eastAsia="Times New Roman"/>
          <w:color w:val="000000"/>
          <w:sz w:val="28"/>
          <w:szCs w:val="28"/>
          <w:lang w:val="uk-UA" w:eastAsia="ru-RU"/>
        </w:rPr>
        <w:t>’</w:t>
      </w:r>
      <w:r w:rsidR="00982E25" w:rsidRPr="00982E25">
        <w:rPr>
          <w:rFonts w:eastAsia="Times New Roman"/>
          <w:color w:val="000000"/>
          <w:sz w:val="28"/>
          <w:szCs w:val="28"/>
          <w:lang w:val="uk-UA" w:eastAsia="ru-RU"/>
        </w:rPr>
        <w:t>язаних з дією акта;</w:t>
      </w:r>
    </w:p>
    <w:p w14:paraId="31AA58DD" w14:textId="1B2E1882" w:rsidR="00982E25" w:rsidRPr="00982E25" w:rsidRDefault="00982E25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2) 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кількість суб</w:t>
      </w:r>
      <w:r>
        <w:rPr>
          <w:rFonts w:eastAsia="Times New Roman"/>
          <w:color w:val="000000"/>
          <w:sz w:val="28"/>
          <w:szCs w:val="28"/>
          <w:lang w:val="uk-UA" w:eastAsia="ru-RU"/>
        </w:rPr>
        <w:t>’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єктів господарювання та/або фізичних осіб, на яких поширюватиметься дія акта;</w:t>
      </w:r>
    </w:p>
    <w:p w14:paraId="3385F8C0" w14:textId="22C44B32" w:rsidR="00982E25" w:rsidRPr="00982E25" w:rsidRDefault="00982E25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3) 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розмір коштів і час, що витрачатимуться суб</w:t>
      </w:r>
      <w:r>
        <w:rPr>
          <w:rFonts w:eastAsia="Times New Roman"/>
          <w:color w:val="000000"/>
          <w:sz w:val="28"/>
          <w:szCs w:val="28"/>
          <w:lang w:val="uk-UA" w:eastAsia="ru-RU"/>
        </w:rPr>
        <w:t>’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єктами господарювання та/або фізичними особами, пов</w:t>
      </w:r>
      <w:r>
        <w:rPr>
          <w:rFonts w:eastAsia="Times New Roman"/>
          <w:color w:val="000000"/>
          <w:sz w:val="28"/>
          <w:szCs w:val="28"/>
          <w:lang w:val="uk-UA" w:eastAsia="ru-RU"/>
        </w:rPr>
        <w:t>’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язаними з виконанням вимог акта;</w:t>
      </w:r>
    </w:p>
    <w:p w14:paraId="32739686" w14:textId="7BE47216" w:rsidR="00982E25" w:rsidRPr="005B216E" w:rsidRDefault="00982E25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>
        <w:rPr>
          <w:rFonts w:eastAsia="Times New Roman"/>
          <w:color w:val="000000"/>
          <w:sz w:val="28"/>
          <w:szCs w:val="28"/>
          <w:lang w:val="uk-UA" w:eastAsia="ru-RU"/>
        </w:rPr>
        <w:t xml:space="preserve">4) 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рівень поінформованості суб</w:t>
      </w:r>
      <w:r>
        <w:rPr>
          <w:rFonts w:eastAsia="Times New Roman"/>
          <w:color w:val="000000"/>
          <w:sz w:val="28"/>
          <w:szCs w:val="28"/>
          <w:lang w:val="uk-UA" w:eastAsia="ru-RU"/>
        </w:rPr>
        <w:t>’</w:t>
      </w:r>
      <w:r w:rsidRPr="00982E25">
        <w:rPr>
          <w:rFonts w:eastAsia="Times New Roman"/>
          <w:color w:val="000000"/>
          <w:sz w:val="28"/>
          <w:szCs w:val="28"/>
          <w:lang w:val="uk-UA" w:eastAsia="ru-RU"/>
        </w:rPr>
        <w:t>єктів господарювання та/або фізичних осіб з основних положень акта.</w:t>
      </w:r>
    </w:p>
    <w:p w14:paraId="48359085" w14:textId="2685AE54" w:rsidR="002E7E5B" w:rsidRPr="005B216E" w:rsidRDefault="002E7E5B" w:rsidP="003621AF">
      <w:pPr>
        <w:spacing w:after="0" w:line="240" w:lineRule="auto"/>
        <w:ind w:firstLine="851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56077757" w14:textId="71A7E5CD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b/>
          <w:bCs/>
          <w:color w:val="000000"/>
          <w:sz w:val="28"/>
          <w:szCs w:val="28"/>
          <w:lang w:val="uk-UA" w:eastAsia="ru-RU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14:paraId="777A2EB4" w14:textId="77777777" w:rsidR="002053A0" w:rsidRPr="005B216E" w:rsidRDefault="002053A0" w:rsidP="00705C39">
      <w:pPr>
        <w:spacing w:after="0" w:line="240" w:lineRule="auto"/>
        <w:ind w:firstLine="851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</w:p>
    <w:p w14:paraId="458CCB43" w14:textId="762932D1" w:rsidR="00422003" w:rsidRPr="00422003" w:rsidRDefault="00422003" w:rsidP="002F5FAB">
      <w:pPr>
        <w:pStyle w:val="af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220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Стосовно регуляторного акта </w:t>
      </w:r>
      <w:r w:rsidR="002F5F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Мінінфраструктури </w:t>
      </w:r>
      <w:r w:rsidRPr="00422003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буде здійснюватися базове, повторне та періодичн</w:t>
      </w:r>
      <w:r w:rsidR="00D27FA9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220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відстеження його результативності. </w:t>
      </w:r>
    </w:p>
    <w:p w14:paraId="255E9C7D" w14:textId="16A6A712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>Відстеження результативності акта буде здійснювати</w:t>
      </w:r>
      <w:r w:rsidR="00FA4C1B">
        <w:rPr>
          <w:rFonts w:eastAsia="Times New Roman"/>
          <w:color w:val="000000"/>
          <w:sz w:val="28"/>
          <w:szCs w:val="28"/>
          <w:lang w:val="uk-UA" w:eastAsia="ru-RU"/>
        </w:rPr>
        <w:t>ся</w:t>
      </w: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="002F5FAB">
        <w:rPr>
          <w:rFonts w:eastAsia="Times New Roman"/>
          <w:color w:val="000000"/>
          <w:sz w:val="28"/>
          <w:szCs w:val="28"/>
          <w:lang w:val="uk-UA" w:eastAsia="ru-RU"/>
        </w:rPr>
        <w:t xml:space="preserve">статистичним методом </w:t>
      </w: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за показниками результативності, зазначеними у </w:t>
      </w:r>
      <w:r w:rsidR="00123658" w:rsidRPr="005B216E">
        <w:rPr>
          <w:rFonts w:eastAsia="Times New Roman"/>
          <w:color w:val="000000"/>
          <w:sz w:val="28"/>
          <w:szCs w:val="28"/>
          <w:lang w:val="uk-UA" w:eastAsia="ru-RU"/>
        </w:rPr>
        <w:t>розділі</w:t>
      </w: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</w:t>
      </w:r>
      <w:r w:rsidR="00CA1E1B" w:rsidRPr="00CA1E1B">
        <w:rPr>
          <w:rFonts w:eastAsia="Times New Roman"/>
          <w:color w:val="000000"/>
          <w:sz w:val="28"/>
          <w:szCs w:val="28"/>
          <w:lang w:val="uk-UA" w:eastAsia="ru-RU"/>
        </w:rPr>
        <w:t>VIII</w:t>
      </w: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 xml:space="preserve"> цього аналізу регуляторного впливу.</w:t>
      </w:r>
    </w:p>
    <w:p w14:paraId="39A62CDF" w14:textId="77777777" w:rsidR="002E7E5B" w:rsidRPr="00F4623C" w:rsidRDefault="002E7E5B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t>Базове відстеження результативності акта здійснюватиметься після набрання чинності актом, але не пізніше дня, з якого починається проведення повторного відстеження результативності акта, шляхом аналізу статистичних даних.</w:t>
      </w:r>
    </w:p>
    <w:p w14:paraId="37142919" w14:textId="2CEF5346" w:rsidR="002E7E5B" w:rsidRPr="00F4623C" w:rsidRDefault="002E7E5B" w:rsidP="002F5FAB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lastRenderedPageBreak/>
        <w:t xml:space="preserve">Повторне відстеження результативності акта здійснюватиметься через </w:t>
      </w:r>
      <w:r w:rsidR="00335452" w:rsidRPr="00F4623C">
        <w:rPr>
          <w:rFonts w:eastAsia="Times New Roman"/>
          <w:color w:val="000000"/>
          <w:sz w:val="28"/>
          <w:szCs w:val="28"/>
          <w:lang w:val="uk-UA" w:eastAsia="ru-RU"/>
        </w:rPr>
        <w:t>рік з дня набрання ним чинності</w:t>
      </w: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t>, але не пізніше ніж через два роки з дня набрання чинності цим актом.</w:t>
      </w:r>
    </w:p>
    <w:p w14:paraId="1B7985DE" w14:textId="7BC874A0" w:rsidR="002E7E5B" w:rsidRPr="005B216E" w:rsidRDefault="002E7E5B" w:rsidP="00A3056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t>Періодичн</w:t>
      </w:r>
      <w:r w:rsidR="00D27FA9">
        <w:rPr>
          <w:rFonts w:eastAsia="Times New Roman"/>
          <w:color w:val="000000"/>
          <w:sz w:val="28"/>
          <w:szCs w:val="28"/>
          <w:lang w:val="uk-UA" w:eastAsia="ru-RU"/>
        </w:rPr>
        <w:t>і</w:t>
      </w: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t xml:space="preserve"> відстеження результативності акта будуть здій</w:t>
      </w:r>
      <w:r w:rsidR="00335452" w:rsidRPr="00F4623C">
        <w:rPr>
          <w:rFonts w:eastAsia="Times New Roman"/>
          <w:color w:val="000000"/>
          <w:sz w:val="28"/>
          <w:szCs w:val="28"/>
          <w:lang w:val="uk-UA" w:eastAsia="ru-RU"/>
        </w:rPr>
        <w:t>снюватися раз на кожні три роки</w:t>
      </w:r>
      <w:r w:rsidR="001A16B3" w:rsidRPr="00F4623C">
        <w:rPr>
          <w:rFonts w:eastAsia="Times New Roman"/>
          <w:color w:val="000000"/>
          <w:sz w:val="28"/>
          <w:szCs w:val="28"/>
          <w:lang w:val="uk-UA" w:eastAsia="ru-RU"/>
        </w:rPr>
        <w:t>,</w:t>
      </w:r>
      <w:r w:rsidRPr="00F4623C">
        <w:rPr>
          <w:rFonts w:eastAsia="Times New Roman"/>
          <w:color w:val="000000"/>
          <w:sz w:val="28"/>
          <w:szCs w:val="28"/>
          <w:lang w:val="uk-UA" w:eastAsia="ru-RU"/>
        </w:rPr>
        <w:t xml:space="preserve"> почина</w:t>
      </w:r>
      <w:r w:rsidRPr="005B216E">
        <w:rPr>
          <w:rFonts w:eastAsia="Times New Roman"/>
          <w:color w:val="000000"/>
          <w:sz w:val="28"/>
          <w:szCs w:val="28"/>
          <w:lang w:val="uk-UA" w:eastAsia="ru-RU"/>
        </w:rPr>
        <w:t>ючи з дня закінчення заходів з повторного відстеження акта.</w:t>
      </w:r>
    </w:p>
    <w:p w14:paraId="47C34F69" w14:textId="2ACA3F9E" w:rsidR="002056DB" w:rsidRDefault="002056DB" w:rsidP="00CA1E1B">
      <w:pPr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</w:p>
    <w:p w14:paraId="2BF76D63" w14:textId="4E2C3266" w:rsidR="002056DB" w:rsidRDefault="002056DB" w:rsidP="00CA1E1B">
      <w:pPr>
        <w:spacing w:after="0" w:line="240" w:lineRule="auto"/>
        <w:jc w:val="both"/>
        <w:rPr>
          <w:rFonts w:eastAsia="Times New Roman"/>
          <w:sz w:val="28"/>
          <w:szCs w:val="28"/>
          <w:lang w:val="uk-UA"/>
        </w:rPr>
      </w:pPr>
    </w:p>
    <w:p w14:paraId="72504B79" w14:textId="77777777" w:rsidR="00F66447" w:rsidRDefault="00A52CC7" w:rsidP="002056DB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Виконувач обов’язків</w:t>
      </w:r>
      <w:r w:rsidR="002056DB" w:rsidRPr="002056DB">
        <w:rPr>
          <w:sz w:val="28"/>
          <w:szCs w:val="28"/>
          <w:lang w:val="uk-UA"/>
        </w:rPr>
        <w:t xml:space="preserve"> Міністр</w:t>
      </w:r>
      <w:r>
        <w:rPr>
          <w:sz w:val="28"/>
          <w:szCs w:val="28"/>
          <w:lang w:val="uk-UA"/>
        </w:rPr>
        <w:t>а</w:t>
      </w:r>
    </w:p>
    <w:p w14:paraId="31B2DB94" w14:textId="1ECC8365" w:rsidR="00F66447" w:rsidRDefault="00F66447" w:rsidP="002056DB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громад, територій та</w:t>
      </w:r>
    </w:p>
    <w:p w14:paraId="4259A3F6" w14:textId="706B7995" w:rsidR="00890EFF" w:rsidRDefault="00F66447" w:rsidP="002056DB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інфраструктури України </w:t>
      </w:r>
      <w:r w:rsidR="00170B4F">
        <w:rPr>
          <w:sz w:val="28"/>
          <w:szCs w:val="28"/>
          <w:lang w:val="uk-UA"/>
        </w:rPr>
        <w:tab/>
      </w:r>
      <w:r w:rsidR="002056DB">
        <w:rPr>
          <w:sz w:val="28"/>
          <w:szCs w:val="28"/>
          <w:lang w:val="uk-UA"/>
        </w:rPr>
        <w:tab/>
      </w:r>
      <w:r w:rsidR="002056DB">
        <w:rPr>
          <w:sz w:val="28"/>
          <w:szCs w:val="28"/>
          <w:lang w:val="uk-UA"/>
        </w:rPr>
        <w:tab/>
      </w:r>
      <w:r w:rsidR="000E4DDB">
        <w:rPr>
          <w:sz w:val="28"/>
          <w:szCs w:val="28"/>
          <w:lang w:val="uk-UA"/>
        </w:rPr>
        <w:tab/>
      </w:r>
      <w:r w:rsidR="002056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52CC7">
        <w:rPr>
          <w:sz w:val="28"/>
          <w:szCs w:val="28"/>
          <w:lang w:val="uk-UA"/>
        </w:rPr>
        <w:t>Василь ШКУРАКОВ</w:t>
      </w:r>
      <w:r w:rsidR="00890EFF">
        <w:rPr>
          <w:sz w:val="28"/>
          <w:szCs w:val="28"/>
          <w:lang w:val="uk-UA"/>
        </w:rPr>
        <w:t xml:space="preserve"> </w:t>
      </w:r>
    </w:p>
    <w:p w14:paraId="41E65A55" w14:textId="77777777" w:rsidR="00890EFF" w:rsidRDefault="00890EFF" w:rsidP="002056DB">
      <w:pPr>
        <w:spacing w:after="0" w:line="240" w:lineRule="auto"/>
        <w:rPr>
          <w:sz w:val="28"/>
          <w:szCs w:val="28"/>
          <w:lang w:val="uk-UA"/>
        </w:rPr>
      </w:pPr>
    </w:p>
    <w:p w14:paraId="10965F2E" w14:textId="1916786F" w:rsidR="002056DB" w:rsidRPr="002056DB" w:rsidRDefault="002056DB" w:rsidP="002056DB">
      <w:pPr>
        <w:spacing w:after="0" w:line="240" w:lineRule="auto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«___»___________ 202</w:t>
      </w:r>
      <w:r w:rsidR="00A30564">
        <w:rPr>
          <w:rFonts w:eastAsia="Times New Roman"/>
          <w:sz w:val="28"/>
          <w:szCs w:val="28"/>
          <w:lang w:val="uk-UA"/>
        </w:rPr>
        <w:t>4</w:t>
      </w:r>
      <w:r w:rsidRPr="005B216E">
        <w:rPr>
          <w:rFonts w:eastAsia="Times New Roman"/>
          <w:sz w:val="28"/>
          <w:szCs w:val="28"/>
          <w:lang w:val="uk-UA"/>
        </w:rPr>
        <w:t xml:space="preserve"> р.</w:t>
      </w:r>
    </w:p>
    <w:sectPr w:rsidR="002056DB" w:rsidRPr="002056DB" w:rsidSect="00856902">
      <w:headerReference w:type="default" r:id="rId8"/>
      <w:footerReference w:type="default" r:id="rId9"/>
      <w:pgSz w:w="11906" w:h="16838"/>
      <w:pgMar w:top="1134" w:right="567" w:bottom="1985" w:left="1701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CC64A" w14:textId="77777777" w:rsidR="001F42DA" w:rsidRDefault="001F42DA" w:rsidP="004B1200">
      <w:pPr>
        <w:spacing w:after="0" w:line="240" w:lineRule="auto"/>
      </w:pPr>
      <w:r>
        <w:separator/>
      </w:r>
    </w:p>
  </w:endnote>
  <w:endnote w:type="continuationSeparator" w:id="0">
    <w:p w14:paraId="643DB26E" w14:textId="77777777" w:rsidR="001F42DA" w:rsidRDefault="001F42DA" w:rsidP="004B1200">
      <w:pPr>
        <w:spacing w:after="0" w:line="240" w:lineRule="auto"/>
      </w:pPr>
      <w:r>
        <w:continuationSeparator/>
      </w:r>
    </w:p>
  </w:endnote>
  <w:endnote w:type="continuationNotice" w:id="1">
    <w:p w14:paraId="5FE471C8" w14:textId="77777777" w:rsidR="001F42DA" w:rsidRDefault="001F4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9E25" w14:textId="77777777" w:rsidR="00913AE9" w:rsidRPr="00856E44" w:rsidRDefault="00913AE9" w:rsidP="004B1200">
    <w:pPr>
      <w:spacing w:after="0" w:line="240" w:lineRule="auto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7D7A3" w14:textId="77777777" w:rsidR="001F42DA" w:rsidRDefault="001F42DA" w:rsidP="004B1200">
      <w:pPr>
        <w:spacing w:after="0" w:line="240" w:lineRule="auto"/>
      </w:pPr>
      <w:r>
        <w:separator/>
      </w:r>
    </w:p>
  </w:footnote>
  <w:footnote w:type="continuationSeparator" w:id="0">
    <w:p w14:paraId="4971C82D" w14:textId="77777777" w:rsidR="001F42DA" w:rsidRDefault="001F42DA" w:rsidP="004B1200">
      <w:pPr>
        <w:spacing w:after="0" w:line="240" w:lineRule="auto"/>
      </w:pPr>
      <w:r>
        <w:continuationSeparator/>
      </w:r>
    </w:p>
  </w:footnote>
  <w:footnote w:type="continuationNotice" w:id="1">
    <w:p w14:paraId="3E2D52AF" w14:textId="77777777" w:rsidR="001F42DA" w:rsidRDefault="001F42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4785969"/>
      <w:docPartObj>
        <w:docPartGallery w:val="Page Numbers (Top of Page)"/>
        <w:docPartUnique/>
      </w:docPartObj>
    </w:sdtPr>
    <w:sdtContent>
      <w:p w14:paraId="19D89E71" w14:textId="3F738B9B" w:rsidR="00913AE9" w:rsidRDefault="00913A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FAB">
          <w:rPr>
            <w:noProof/>
          </w:rPr>
          <w:t>16</w:t>
        </w:r>
        <w:r>
          <w:fldChar w:fldCharType="end"/>
        </w:r>
      </w:p>
    </w:sdtContent>
  </w:sdt>
  <w:p w14:paraId="26432261" w14:textId="77777777" w:rsidR="00913AE9" w:rsidRDefault="00913A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54C94"/>
    <w:multiLevelType w:val="hybridMultilevel"/>
    <w:tmpl w:val="9F506346"/>
    <w:lvl w:ilvl="0" w:tplc="3B00BA3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4660755"/>
    <w:multiLevelType w:val="hybridMultilevel"/>
    <w:tmpl w:val="BD24941C"/>
    <w:lvl w:ilvl="0" w:tplc="7ABE55E6">
      <w:start w:val="1"/>
      <w:numFmt w:val="decimal"/>
      <w:lvlText w:val="%1."/>
      <w:lvlJc w:val="left"/>
      <w:pPr>
        <w:ind w:left="2057" w:hanging="12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2" w15:restartNumberingAfterBreak="0">
    <w:nsid w:val="68CE053C"/>
    <w:multiLevelType w:val="hybridMultilevel"/>
    <w:tmpl w:val="7FCA07E2"/>
    <w:lvl w:ilvl="0" w:tplc="0F7EBE2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40A6468"/>
    <w:multiLevelType w:val="hybridMultilevel"/>
    <w:tmpl w:val="3EB6598C"/>
    <w:lvl w:ilvl="0" w:tplc="A0DEC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0076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414714">
    <w:abstractNumId w:val="3"/>
  </w:num>
  <w:num w:numId="3" w16cid:durableId="403602009">
    <w:abstractNumId w:val="0"/>
  </w:num>
  <w:num w:numId="4" w16cid:durableId="310863689">
    <w:abstractNumId w:val="1"/>
  </w:num>
  <w:num w:numId="5" w16cid:durableId="54487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24"/>
    <w:rsid w:val="0000430D"/>
    <w:rsid w:val="00007484"/>
    <w:rsid w:val="000113C2"/>
    <w:rsid w:val="00024453"/>
    <w:rsid w:val="000245FC"/>
    <w:rsid w:val="00030F02"/>
    <w:rsid w:val="00031EA9"/>
    <w:rsid w:val="00037EE3"/>
    <w:rsid w:val="00041383"/>
    <w:rsid w:val="00046891"/>
    <w:rsid w:val="0005163B"/>
    <w:rsid w:val="00052D05"/>
    <w:rsid w:val="00061BDB"/>
    <w:rsid w:val="00063159"/>
    <w:rsid w:val="000704BF"/>
    <w:rsid w:val="00073DD1"/>
    <w:rsid w:val="00086149"/>
    <w:rsid w:val="00090CAD"/>
    <w:rsid w:val="000A2D97"/>
    <w:rsid w:val="000A2F4A"/>
    <w:rsid w:val="000A6F25"/>
    <w:rsid w:val="000A7A05"/>
    <w:rsid w:val="000B0064"/>
    <w:rsid w:val="000B5E5B"/>
    <w:rsid w:val="000C57B5"/>
    <w:rsid w:val="000D40E7"/>
    <w:rsid w:val="000D6414"/>
    <w:rsid w:val="000E3302"/>
    <w:rsid w:val="000E4DDB"/>
    <w:rsid w:val="000E657A"/>
    <w:rsid w:val="000F39DB"/>
    <w:rsid w:val="001008E8"/>
    <w:rsid w:val="00110F46"/>
    <w:rsid w:val="001122B6"/>
    <w:rsid w:val="001174CA"/>
    <w:rsid w:val="00123658"/>
    <w:rsid w:val="00126BD6"/>
    <w:rsid w:val="00131D7A"/>
    <w:rsid w:val="00136417"/>
    <w:rsid w:val="0013750D"/>
    <w:rsid w:val="001544D8"/>
    <w:rsid w:val="00162588"/>
    <w:rsid w:val="00164F66"/>
    <w:rsid w:val="00170B4F"/>
    <w:rsid w:val="00172198"/>
    <w:rsid w:val="001750DE"/>
    <w:rsid w:val="00186793"/>
    <w:rsid w:val="001A16B3"/>
    <w:rsid w:val="001A42B1"/>
    <w:rsid w:val="001A72AC"/>
    <w:rsid w:val="001B1286"/>
    <w:rsid w:val="001B59BD"/>
    <w:rsid w:val="001C457B"/>
    <w:rsid w:val="001D5DF1"/>
    <w:rsid w:val="001E3FBB"/>
    <w:rsid w:val="001E4F7A"/>
    <w:rsid w:val="001F42DA"/>
    <w:rsid w:val="00202AD1"/>
    <w:rsid w:val="002053A0"/>
    <w:rsid w:val="002056DB"/>
    <w:rsid w:val="002155C2"/>
    <w:rsid w:val="0022007C"/>
    <w:rsid w:val="002240C8"/>
    <w:rsid w:val="002265A8"/>
    <w:rsid w:val="00227B0E"/>
    <w:rsid w:val="002312AE"/>
    <w:rsid w:val="00232072"/>
    <w:rsid w:val="00242682"/>
    <w:rsid w:val="002445A8"/>
    <w:rsid w:val="00246F1B"/>
    <w:rsid w:val="00255853"/>
    <w:rsid w:val="00255CF8"/>
    <w:rsid w:val="002563C8"/>
    <w:rsid w:val="0026521A"/>
    <w:rsid w:val="00266FDD"/>
    <w:rsid w:val="00270AE8"/>
    <w:rsid w:val="0028354E"/>
    <w:rsid w:val="00291BE8"/>
    <w:rsid w:val="002A0E2F"/>
    <w:rsid w:val="002A3ABB"/>
    <w:rsid w:val="002A5D1E"/>
    <w:rsid w:val="002E0ADD"/>
    <w:rsid w:val="002E3A03"/>
    <w:rsid w:val="002E7E5B"/>
    <w:rsid w:val="002F5FAB"/>
    <w:rsid w:val="00314245"/>
    <w:rsid w:val="0032446B"/>
    <w:rsid w:val="003269A7"/>
    <w:rsid w:val="003320B0"/>
    <w:rsid w:val="00332B7D"/>
    <w:rsid w:val="00335452"/>
    <w:rsid w:val="003357E1"/>
    <w:rsid w:val="003367C7"/>
    <w:rsid w:val="00347B36"/>
    <w:rsid w:val="00353938"/>
    <w:rsid w:val="00357CFA"/>
    <w:rsid w:val="003621AF"/>
    <w:rsid w:val="00364F6F"/>
    <w:rsid w:val="00365AD0"/>
    <w:rsid w:val="003726E8"/>
    <w:rsid w:val="00375296"/>
    <w:rsid w:val="003976C0"/>
    <w:rsid w:val="0039777A"/>
    <w:rsid w:val="003A02BE"/>
    <w:rsid w:val="003A05CF"/>
    <w:rsid w:val="003A5AE1"/>
    <w:rsid w:val="003A5BEC"/>
    <w:rsid w:val="003A76DA"/>
    <w:rsid w:val="003B2E19"/>
    <w:rsid w:val="003B4CF8"/>
    <w:rsid w:val="003C1CF2"/>
    <w:rsid w:val="003C3BAE"/>
    <w:rsid w:val="003C5452"/>
    <w:rsid w:val="003C712F"/>
    <w:rsid w:val="003C7C9B"/>
    <w:rsid w:val="003E4D71"/>
    <w:rsid w:val="003E7065"/>
    <w:rsid w:val="003F08F0"/>
    <w:rsid w:val="00402503"/>
    <w:rsid w:val="00402C4E"/>
    <w:rsid w:val="00411132"/>
    <w:rsid w:val="00412632"/>
    <w:rsid w:val="00422003"/>
    <w:rsid w:val="004236FD"/>
    <w:rsid w:val="00427FD6"/>
    <w:rsid w:val="00432E13"/>
    <w:rsid w:val="0043423A"/>
    <w:rsid w:val="0044462B"/>
    <w:rsid w:val="00446E2B"/>
    <w:rsid w:val="00453A84"/>
    <w:rsid w:val="0046032B"/>
    <w:rsid w:val="00466362"/>
    <w:rsid w:val="00473454"/>
    <w:rsid w:val="004758F1"/>
    <w:rsid w:val="00492E79"/>
    <w:rsid w:val="004A01FB"/>
    <w:rsid w:val="004A7185"/>
    <w:rsid w:val="004B1200"/>
    <w:rsid w:val="004C1EDB"/>
    <w:rsid w:val="004C213B"/>
    <w:rsid w:val="004D32B9"/>
    <w:rsid w:val="004D64B2"/>
    <w:rsid w:val="004E1E29"/>
    <w:rsid w:val="005030E4"/>
    <w:rsid w:val="005063B3"/>
    <w:rsid w:val="005071B1"/>
    <w:rsid w:val="00515203"/>
    <w:rsid w:val="00520F63"/>
    <w:rsid w:val="00530A46"/>
    <w:rsid w:val="0053155F"/>
    <w:rsid w:val="00532078"/>
    <w:rsid w:val="00536985"/>
    <w:rsid w:val="00544DEB"/>
    <w:rsid w:val="00547617"/>
    <w:rsid w:val="0055016E"/>
    <w:rsid w:val="005528CB"/>
    <w:rsid w:val="00553770"/>
    <w:rsid w:val="00562405"/>
    <w:rsid w:val="005644B8"/>
    <w:rsid w:val="00565120"/>
    <w:rsid w:val="00574279"/>
    <w:rsid w:val="00586CEC"/>
    <w:rsid w:val="00587526"/>
    <w:rsid w:val="00596D2E"/>
    <w:rsid w:val="005A1F2D"/>
    <w:rsid w:val="005A49C2"/>
    <w:rsid w:val="005A6248"/>
    <w:rsid w:val="005A6FCE"/>
    <w:rsid w:val="005B216E"/>
    <w:rsid w:val="005B262F"/>
    <w:rsid w:val="005C3691"/>
    <w:rsid w:val="005D2CC2"/>
    <w:rsid w:val="005D632F"/>
    <w:rsid w:val="005D7FFE"/>
    <w:rsid w:val="005E1F66"/>
    <w:rsid w:val="005E7841"/>
    <w:rsid w:val="005F7F7F"/>
    <w:rsid w:val="006021AB"/>
    <w:rsid w:val="006042D5"/>
    <w:rsid w:val="006078BF"/>
    <w:rsid w:val="00611940"/>
    <w:rsid w:val="0061496A"/>
    <w:rsid w:val="00623866"/>
    <w:rsid w:val="00625BC0"/>
    <w:rsid w:val="0063015B"/>
    <w:rsid w:val="00630AD1"/>
    <w:rsid w:val="00633FA8"/>
    <w:rsid w:val="006342E1"/>
    <w:rsid w:val="006418EF"/>
    <w:rsid w:val="00642A78"/>
    <w:rsid w:val="00650F1E"/>
    <w:rsid w:val="006523FA"/>
    <w:rsid w:val="0067565A"/>
    <w:rsid w:val="00692FCD"/>
    <w:rsid w:val="006A035E"/>
    <w:rsid w:val="006B1FA0"/>
    <w:rsid w:val="006B3251"/>
    <w:rsid w:val="006B6036"/>
    <w:rsid w:val="006B71E7"/>
    <w:rsid w:val="006C502C"/>
    <w:rsid w:val="006C6D5F"/>
    <w:rsid w:val="006D3C6E"/>
    <w:rsid w:val="006E57B7"/>
    <w:rsid w:val="00705927"/>
    <w:rsid w:val="00705C39"/>
    <w:rsid w:val="0071435E"/>
    <w:rsid w:val="00717363"/>
    <w:rsid w:val="00722B1F"/>
    <w:rsid w:val="00725BD0"/>
    <w:rsid w:val="007304D3"/>
    <w:rsid w:val="0075051B"/>
    <w:rsid w:val="007542E9"/>
    <w:rsid w:val="00774C8D"/>
    <w:rsid w:val="0078554E"/>
    <w:rsid w:val="007915A9"/>
    <w:rsid w:val="00794A11"/>
    <w:rsid w:val="00796ECE"/>
    <w:rsid w:val="007970F9"/>
    <w:rsid w:val="007B6781"/>
    <w:rsid w:val="007C07CA"/>
    <w:rsid w:val="007C136C"/>
    <w:rsid w:val="007C2B71"/>
    <w:rsid w:val="007C4914"/>
    <w:rsid w:val="007D5E49"/>
    <w:rsid w:val="007E1BD4"/>
    <w:rsid w:val="007F20BF"/>
    <w:rsid w:val="007F2874"/>
    <w:rsid w:val="007F5CF3"/>
    <w:rsid w:val="00803D8F"/>
    <w:rsid w:val="0080595C"/>
    <w:rsid w:val="00806990"/>
    <w:rsid w:val="008109CB"/>
    <w:rsid w:val="00843037"/>
    <w:rsid w:val="0084726E"/>
    <w:rsid w:val="008473DB"/>
    <w:rsid w:val="0085074E"/>
    <w:rsid w:val="00856902"/>
    <w:rsid w:val="00856E44"/>
    <w:rsid w:val="00862168"/>
    <w:rsid w:val="00867647"/>
    <w:rsid w:val="008740D1"/>
    <w:rsid w:val="00874358"/>
    <w:rsid w:val="00886A87"/>
    <w:rsid w:val="00890EFF"/>
    <w:rsid w:val="00896666"/>
    <w:rsid w:val="008A1181"/>
    <w:rsid w:val="008C2FF8"/>
    <w:rsid w:val="008C4D61"/>
    <w:rsid w:val="008D2EBF"/>
    <w:rsid w:val="008D7A66"/>
    <w:rsid w:val="008E1344"/>
    <w:rsid w:val="008E38AB"/>
    <w:rsid w:val="008E4BA7"/>
    <w:rsid w:val="008E5392"/>
    <w:rsid w:val="008E6179"/>
    <w:rsid w:val="008F14B3"/>
    <w:rsid w:val="008F15CD"/>
    <w:rsid w:val="008F2DC0"/>
    <w:rsid w:val="00913AE9"/>
    <w:rsid w:val="00917087"/>
    <w:rsid w:val="00926051"/>
    <w:rsid w:val="00930A28"/>
    <w:rsid w:val="00950C4A"/>
    <w:rsid w:val="0095264E"/>
    <w:rsid w:val="009731EA"/>
    <w:rsid w:val="00981C2F"/>
    <w:rsid w:val="00982E25"/>
    <w:rsid w:val="009847F9"/>
    <w:rsid w:val="0099540F"/>
    <w:rsid w:val="00997DC4"/>
    <w:rsid w:val="009A0715"/>
    <w:rsid w:val="009A0CF7"/>
    <w:rsid w:val="009A1AF3"/>
    <w:rsid w:val="009C3AF9"/>
    <w:rsid w:val="009C59E4"/>
    <w:rsid w:val="009D0FC9"/>
    <w:rsid w:val="009D1A26"/>
    <w:rsid w:val="009D1D2E"/>
    <w:rsid w:val="009D4BB0"/>
    <w:rsid w:val="009D4EC5"/>
    <w:rsid w:val="009D4FC3"/>
    <w:rsid w:val="009F391B"/>
    <w:rsid w:val="00A0049F"/>
    <w:rsid w:val="00A03AC4"/>
    <w:rsid w:val="00A1535D"/>
    <w:rsid w:val="00A21493"/>
    <w:rsid w:val="00A215B2"/>
    <w:rsid w:val="00A30564"/>
    <w:rsid w:val="00A3084D"/>
    <w:rsid w:val="00A35250"/>
    <w:rsid w:val="00A358F0"/>
    <w:rsid w:val="00A40656"/>
    <w:rsid w:val="00A40CA2"/>
    <w:rsid w:val="00A41408"/>
    <w:rsid w:val="00A52CC7"/>
    <w:rsid w:val="00A60F15"/>
    <w:rsid w:val="00A67924"/>
    <w:rsid w:val="00A7139D"/>
    <w:rsid w:val="00A76DC7"/>
    <w:rsid w:val="00A80F3B"/>
    <w:rsid w:val="00A820DB"/>
    <w:rsid w:val="00A82276"/>
    <w:rsid w:val="00A972CC"/>
    <w:rsid w:val="00AA42B4"/>
    <w:rsid w:val="00AB518D"/>
    <w:rsid w:val="00AB58E3"/>
    <w:rsid w:val="00AB62F7"/>
    <w:rsid w:val="00AC50F1"/>
    <w:rsid w:val="00AC68A5"/>
    <w:rsid w:val="00AD2271"/>
    <w:rsid w:val="00AD6805"/>
    <w:rsid w:val="00AE434A"/>
    <w:rsid w:val="00AE6104"/>
    <w:rsid w:val="00AF07CC"/>
    <w:rsid w:val="00AF3DC8"/>
    <w:rsid w:val="00AF6C91"/>
    <w:rsid w:val="00B04C4C"/>
    <w:rsid w:val="00B05C97"/>
    <w:rsid w:val="00B12E38"/>
    <w:rsid w:val="00B17844"/>
    <w:rsid w:val="00B217BA"/>
    <w:rsid w:val="00B313AB"/>
    <w:rsid w:val="00B32579"/>
    <w:rsid w:val="00B3788C"/>
    <w:rsid w:val="00B4345A"/>
    <w:rsid w:val="00B43C15"/>
    <w:rsid w:val="00B466D6"/>
    <w:rsid w:val="00B46717"/>
    <w:rsid w:val="00B46C5E"/>
    <w:rsid w:val="00B46F01"/>
    <w:rsid w:val="00B50C59"/>
    <w:rsid w:val="00B62B6A"/>
    <w:rsid w:val="00B636F3"/>
    <w:rsid w:val="00B66F80"/>
    <w:rsid w:val="00B72FE6"/>
    <w:rsid w:val="00B81C4C"/>
    <w:rsid w:val="00B83265"/>
    <w:rsid w:val="00B9037A"/>
    <w:rsid w:val="00B95BDE"/>
    <w:rsid w:val="00BA193F"/>
    <w:rsid w:val="00BA2971"/>
    <w:rsid w:val="00BA649B"/>
    <w:rsid w:val="00BA7849"/>
    <w:rsid w:val="00BB7410"/>
    <w:rsid w:val="00BC6105"/>
    <w:rsid w:val="00BD18B8"/>
    <w:rsid w:val="00BD4FF2"/>
    <w:rsid w:val="00BD672A"/>
    <w:rsid w:val="00BF2AAF"/>
    <w:rsid w:val="00BF7900"/>
    <w:rsid w:val="00BF7B67"/>
    <w:rsid w:val="00C05819"/>
    <w:rsid w:val="00C10C55"/>
    <w:rsid w:val="00C124D1"/>
    <w:rsid w:val="00C12D69"/>
    <w:rsid w:val="00C2062E"/>
    <w:rsid w:val="00C208C2"/>
    <w:rsid w:val="00C23AEB"/>
    <w:rsid w:val="00C321E7"/>
    <w:rsid w:val="00C32340"/>
    <w:rsid w:val="00C41474"/>
    <w:rsid w:val="00C5060F"/>
    <w:rsid w:val="00C938BF"/>
    <w:rsid w:val="00CA1A5D"/>
    <w:rsid w:val="00CA1E1B"/>
    <w:rsid w:val="00CA5E8B"/>
    <w:rsid w:val="00CB6D04"/>
    <w:rsid w:val="00CB7DC9"/>
    <w:rsid w:val="00CC6259"/>
    <w:rsid w:val="00CC68D2"/>
    <w:rsid w:val="00CD3A1F"/>
    <w:rsid w:val="00CF0929"/>
    <w:rsid w:val="00CF75A3"/>
    <w:rsid w:val="00D12B5F"/>
    <w:rsid w:val="00D14705"/>
    <w:rsid w:val="00D20EAA"/>
    <w:rsid w:val="00D2121E"/>
    <w:rsid w:val="00D23069"/>
    <w:rsid w:val="00D27FA9"/>
    <w:rsid w:val="00D379B0"/>
    <w:rsid w:val="00D407CF"/>
    <w:rsid w:val="00D42EC5"/>
    <w:rsid w:val="00D47534"/>
    <w:rsid w:val="00D51BCF"/>
    <w:rsid w:val="00D53A69"/>
    <w:rsid w:val="00D6228F"/>
    <w:rsid w:val="00D679F1"/>
    <w:rsid w:val="00D728BE"/>
    <w:rsid w:val="00D74320"/>
    <w:rsid w:val="00D74E13"/>
    <w:rsid w:val="00D75DD5"/>
    <w:rsid w:val="00D80C2C"/>
    <w:rsid w:val="00D8424E"/>
    <w:rsid w:val="00D84F2C"/>
    <w:rsid w:val="00D85A89"/>
    <w:rsid w:val="00D902DB"/>
    <w:rsid w:val="00DA409E"/>
    <w:rsid w:val="00DB28A8"/>
    <w:rsid w:val="00DC7ED8"/>
    <w:rsid w:val="00DE1262"/>
    <w:rsid w:val="00DE3E65"/>
    <w:rsid w:val="00DE6B40"/>
    <w:rsid w:val="00DF118D"/>
    <w:rsid w:val="00DF34F0"/>
    <w:rsid w:val="00DF39C4"/>
    <w:rsid w:val="00DF6907"/>
    <w:rsid w:val="00E10E79"/>
    <w:rsid w:val="00E20B85"/>
    <w:rsid w:val="00E27834"/>
    <w:rsid w:val="00E32B40"/>
    <w:rsid w:val="00E56932"/>
    <w:rsid w:val="00E64126"/>
    <w:rsid w:val="00E72D40"/>
    <w:rsid w:val="00E7679A"/>
    <w:rsid w:val="00E859D7"/>
    <w:rsid w:val="00EA1A60"/>
    <w:rsid w:val="00EA307B"/>
    <w:rsid w:val="00EA5336"/>
    <w:rsid w:val="00EA58CC"/>
    <w:rsid w:val="00EA5F2C"/>
    <w:rsid w:val="00EB2351"/>
    <w:rsid w:val="00ED04A7"/>
    <w:rsid w:val="00ED7551"/>
    <w:rsid w:val="00ED7F2C"/>
    <w:rsid w:val="00EF106F"/>
    <w:rsid w:val="00F0327A"/>
    <w:rsid w:val="00F04CF5"/>
    <w:rsid w:val="00F26944"/>
    <w:rsid w:val="00F315B3"/>
    <w:rsid w:val="00F34E69"/>
    <w:rsid w:val="00F40AFB"/>
    <w:rsid w:val="00F437BA"/>
    <w:rsid w:val="00F44971"/>
    <w:rsid w:val="00F4623C"/>
    <w:rsid w:val="00F4742A"/>
    <w:rsid w:val="00F53575"/>
    <w:rsid w:val="00F630C2"/>
    <w:rsid w:val="00F66447"/>
    <w:rsid w:val="00F679B1"/>
    <w:rsid w:val="00F728A8"/>
    <w:rsid w:val="00F759EF"/>
    <w:rsid w:val="00F81088"/>
    <w:rsid w:val="00FA392F"/>
    <w:rsid w:val="00FA419A"/>
    <w:rsid w:val="00FA4C1B"/>
    <w:rsid w:val="00FB10D4"/>
    <w:rsid w:val="00FB28E2"/>
    <w:rsid w:val="00FB6C6A"/>
    <w:rsid w:val="00FC5A1A"/>
    <w:rsid w:val="00FD0BE6"/>
    <w:rsid w:val="00FD520F"/>
    <w:rsid w:val="00FE192A"/>
    <w:rsid w:val="00FE6F28"/>
    <w:rsid w:val="00FE75FF"/>
    <w:rsid w:val="00FF009D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41A21"/>
  <w15:chartTrackingRefBased/>
  <w15:docId w15:val="{487643A8-D1A3-4BC5-97BB-F4A416D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200"/>
  </w:style>
  <w:style w:type="paragraph" w:styleId="a6">
    <w:name w:val="footer"/>
    <w:basedOn w:val="a"/>
    <w:link w:val="a7"/>
    <w:uiPriority w:val="99"/>
    <w:unhideWhenUsed/>
    <w:rsid w:val="004B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200"/>
  </w:style>
  <w:style w:type="paragraph" w:styleId="HTML">
    <w:name w:val="HTML Preformatted"/>
    <w:basedOn w:val="a"/>
    <w:link w:val="HTML0"/>
    <w:uiPriority w:val="99"/>
    <w:unhideWhenUsed/>
    <w:rsid w:val="002E7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3"/>
      <w:szCs w:val="23"/>
      <w:lang w:val="uk-UA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E7E5B"/>
    <w:rPr>
      <w:rFonts w:ascii="Courier New" w:eastAsia="Times New Roman" w:hAnsi="Courier New"/>
      <w:color w:val="000000"/>
      <w:sz w:val="23"/>
      <w:szCs w:val="23"/>
      <w:lang w:val="uk-UA" w:eastAsia="x-none"/>
    </w:rPr>
  </w:style>
  <w:style w:type="paragraph" w:customStyle="1" w:styleId="a8">
    <w:name w:val="Нормальний текст"/>
    <w:basedOn w:val="a"/>
    <w:rsid w:val="002E7E5B"/>
    <w:pPr>
      <w:autoSpaceDE w:val="0"/>
      <w:autoSpaceDN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customStyle="1" w:styleId="rvts0">
    <w:name w:val="rvts0"/>
    <w:basedOn w:val="a0"/>
    <w:rsid w:val="002E7E5B"/>
  </w:style>
  <w:style w:type="paragraph" w:styleId="a9">
    <w:name w:val="Balloon Text"/>
    <w:basedOn w:val="a"/>
    <w:link w:val="aa"/>
    <w:uiPriority w:val="99"/>
    <w:semiHidden/>
    <w:unhideWhenUsed/>
    <w:rsid w:val="0046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032B"/>
    <w:rPr>
      <w:rFonts w:ascii="Segoe UI" w:hAnsi="Segoe UI" w:cs="Segoe UI"/>
      <w:sz w:val="18"/>
      <w:szCs w:val="18"/>
    </w:rPr>
  </w:style>
  <w:style w:type="character" w:customStyle="1" w:styleId="ab">
    <w:name w:val="Текст примечания Знак"/>
    <w:aliases w:val="Знак Знак Знак"/>
    <w:basedOn w:val="a0"/>
    <w:link w:val="ac"/>
    <w:uiPriority w:val="99"/>
    <w:semiHidden/>
    <w:locked/>
    <w:rsid w:val="00B43C15"/>
    <w:rPr>
      <w:lang w:val="uk-UA"/>
    </w:rPr>
  </w:style>
  <w:style w:type="paragraph" w:styleId="ac">
    <w:name w:val="annotation text"/>
    <w:aliases w:val="Знак Знак"/>
    <w:basedOn w:val="a"/>
    <w:link w:val="ab"/>
    <w:uiPriority w:val="99"/>
    <w:semiHidden/>
    <w:unhideWhenUsed/>
    <w:rsid w:val="00B43C15"/>
    <w:pPr>
      <w:spacing w:after="200" w:line="240" w:lineRule="auto"/>
    </w:pPr>
    <w:rPr>
      <w:lang w:val="uk-UA"/>
    </w:rPr>
  </w:style>
  <w:style w:type="character" w:customStyle="1" w:styleId="1">
    <w:name w:val="Текст примечания Знак1"/>
    <w:basedOn w:val="a0"/>
    <w:uiPriority w:val="99"/>
    <w:semiHidden/>
    <w:rsid w:val="00B43C15"/>
    <w:rPr>
      <w:sz w:val="20"/>
      <w:szCs w:val="20"/>
    </w:rPr>
  </w:style>
  <w:style w:type="paragraph" w:styleId="ad">
    <w:name w:val="List Paragraph"/>
    <w:basedOn w:val="a"/>
    <w:uiPriority w:val="1"/>
    <w:qFormat/>
    <w:rsid w:val="00B43C1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uk-UA"/>
    </w:rPr>
  </w:style>
  <w:style w:type="character" w:styleId="ae">
    <w:name w:val="annotation reference"/>
    <w:basedOn w:val="a0"/>
    <w:uiPriority w:val="99"/>
    <w:semiHidden/>
    <w:unhideWhenUsed/>
    <w:rsid w:val="00B43C15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Основной текст Знак1"/>
    <w:link w:val="af"/>
    <w:uiPriority w:val="99"/>
    <w:locked/>
    <w:rsid w:val="003621AF"/>
    <w:rPr>
      <w:sz w:val="18"/>
      <w:shd w:val="clear" w:color="auto" w:fill="FFFFFF"/>
    </w:rPr>
  </w:style>
  <w:style w:type="paragraph" w:styleId="af">
    <w:name w:val="Body Text"/>
    <w:basedOn w:val="a"/>
    <w:link w:val="10"/>
    <w:uiPriority w:val="99"/>
    <w:rsid w:val="003621AF"/>
    <w:pPr>
      <w:widowControl w:val="0"/>
      <w:shd w:val="clear" w:color="auto" w:fill="FFFFFF"/>
      <w:spacing w:after="0" w:line="466" w:lineRule="exact"/>
      <w:jc w:val="center"/>
    </w:pPr>
    <w:rPr>
      <w:sz w:val="18"/>
    </w:rPr>
  </w:style>
  <w:style w:type="character" w:customStyle="1" w:styleId="af0">
    <w:name w:val="Основной текст Знак"/>
    <w:basedOn w:val="a0"/>
    <w:uiPriority w:val="99"/>
    <w:semiHidden/>
    <w:rsid w:val="003621AF"/>
  </w:style>
  <w:style w:type="character" w:customStyle="1" w:styleId="docdata">
    <w:name w:val="docdata"/>
    <w:aliases w:val="docy,v5,2685,baiaagaaboqcaaadoayaaavgbgaaaaaaaaaaaaaaaaaaaaaaaaaaaaaaaaaaaaaaaaaaaaaaaaaaaaaaaaaaaaaaaaaaaaaaaaaaaaaaaaaaaaaaaaaaaaaaaaaaaaaaaaaaaaaaaaaaaaaaaaaaaaaaaaaaaaaaaaaaaaaaaaaaaaaaaaaaaaaaaaaaaaaaaaaaaaaaaaaaaaaaaaaaaaaaaaaaaaaaaaaaaaaa"/>
    <w:basedOn w:val="a0"/>
    <w:rsid w:val="00862168"/>
  </w:style>
  <w:style w:type="paragraph" w:styleId="af1">
    <w:name w:val="No Spacing"/>
    <w:link w:val="af2"/>
    <w:uiPriority w:val="1"/>
    <w:qFormat/>
    <w:rsid w:val="003C545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vts9">
    <w:name w:val="rvts9"/>
    <w:basedOn w:val="a0"/>
    <w:rsid w:val="003C5452"/>
  </w:style>
  <w:style w:type="paragraph" w:styleId="af3">
    <w:name w:val="annotation subject"/>
    <w:basedOn w:val="ac"/>
    <w:next w:val="ac"/>
    <w:link w:val="af4"/>
    <w:uiPriority w:val="99"/>
    <w:semiHidden/>
    <w:unhideWhenUsed/>
    <w:rsid w:val="002312AE"/>
    <w:pPr>
      <w:spacing w:after="160"/>
    </w:pPr>
    <w:rPr>
      <w:b/>
      <w:bCs/>
      <w:sz w:val="20"/>
      <w:szCs w:val="20"/>
      <w:lang w:val="ru-RU"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2312AE"/>
    <w:rPr>
      <w:b/>
      <w:bCs/>
      <w:sz w:val="20"/>
      <w:szCs w:val="20"/>
      <w:lang w:val="uk-UA"/>
    </w:rPr>
  </w:style>
  <w:style w:type="paragraph" w:customStyle="1" w:styleId="TableParagraph">
    <w:name w:val="Table Paragraph"/>
    <w:basedOn w:val="a"/>
    <w:uiPriority w:val="1"/>
    <w:qFormat/>
    <w:rsid w:val="009A071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uk-UA"/>
    </w:rPr>
  </w:style>
  <w:style w:type="table" w:customStyle="1" w:styleId="TableNormal">
    <w:name w:val="Table Normal"/>
    <w:uiPriority w:val="2"/>
    <w:semiHidden/>
    <w:unhideWhenUsed/>
    <w:qFormat/>
    <w:rsid w:val="00F679B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semiHidden/>
    <w:unhideWhenUsed/>
    <w:rsid w:val="00D74E13"/>
    <w:rPr>
      <w:color w:val="0000FF"/>
      <w:u w:val="single"/>
    </w:rPr>
  </w:style>
  <w:style w:type="character" w:customStyle="1" w:styleId="af2">
    <w:name w:val="Без интервала Знак"/>
    <w:link w:val="af1"/>
    <w:uiPriority w:val="99"/>
    <w:locked/>
    <w:rsid w:val="00422003"/>
    <w:rPr>
      <w:rFonts w:asciiTheme="minorHAnsi" w:hAnsiTheme="minorHAnsi" w:cstheme="minorBidi"/>
      <w:sz w:val="22"/>
      <w:szCs w:val="22"/>
    </w:rPr>
  </w:style>
  <w:style w:type="paragraph" w:styleId="af6">
    <w:name w:val="footnote text"/>
    <w:basedOn w:val="a"/>
    <w:link w:val="af7"/>
    <w:uiPriority w:val="99"/>
    <w:semiHidden/>
    <w:unhideWhenUsed/>
    <w:rsid w:val="00A52CC7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val="uk-UA"/>
    </w:rPr>
  </w:style>
  <w:style w:type="character" w:customStyle="1" w:styleId="af7">
    <w:name w:val="Текст сноски Знак"/>
    <w:basedOn w:val="a0"/>
    <w:link w:val="af6"/>
    <w:uiPriority w:val="99"/>
    <w:semiHidden/>
    <w:rsid w:val="00A52CC7"/>
    <w:rPr>
      <w:rFonts w:eastAsia="Times New Roman"/>
      <w:sz w:val="20"/>
      <w:szCs w:val="20"/>
      <w:lang w:val="uk-UA"/>
    </w:rPr>
  </w:style>
  <w:style w:type="character" w:styleId="af8">
    <w:name w:val="footnote reference"/>
    <w:basedOn w:val="a0"/>
    <w:uiPriority w:val="99"/>
    <w:semiHidden/>
    <w:unhideWhenUsed/>
    <w:rsid w:val="00A52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E843-C5E2-400D-AA69-2DA1D4E5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16</Pages>
  <Words>3717</Words>
  <Characters>21189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Марина</dc:creator>
  <cp:keywords/>
  <dc:description/>
  <cp:lastModifiedBy>Сергій Василига</cp:lastModifiedBy>
  <cp:revision>20</cp:revision>
  <cp:lastPrinted>2018-01-29T12:46:00Z</cp:lastPrinted>
  <dcterms:created xsi:type="dcterms:W3CDTF">2022-12-15T09:18:00Z</dcterms:created>
  <dcterms:modified xsi:type="dcterms:W3CDTF">2024-08-13T14:07:00Z</dcterms:modified>
</cp:coreProperties>
</file>