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Додаток 1</w:t>
      </w:r>
    </w:p>
    <w:p>
      <w:pPr>
        <w:pStyle w:val="P1"/>
        <w:spacing w:lineRule="auto" w:line="276" w:beforeAutospacing="0" w:afterAutospacing="0"/>
        <w:ind w:firstLine="708" w:left="4248"/>
        <w:rPr>
          <w:rFonts w:ascii="Times New Roman" w:hAnsi="Times New Roman"/>
          <w:sz w:val="28"/>
          <w:szCs w:val="28"/>
          <w:lang w:val="uk-UA"/>
        </w:rPr>
      </w:pPr>
      <w:r>
        <w:rPr>
          <w:rFonts w:ascii="Times New Roman" w:hAnsi="Times New Roman"/>
          <w:sz w:val="28"/>
          <w:szCs w:val="28"/>
          <w:lang w:val="uk-UA"/>
        </w:rPr>
        <w:t>до Примірної форми договору</w:t>
      </w:r>
      <w:r>
        <w:rPr>
          <w:rFonts w:ascii="Times New Roman" w:hAnsi="Times New Roman"/>
          <w:sz w:val="28"/>
          <w:szCs w:val="28"/>
          <w:lang w:val="uk-UA"/>
        </w:rPr>
        <w:t xml:space="preserve"> </w:t>
      </w:r>
    </w:p>
    <w:p>
      <w:pPr>
        <w:pStyle w:val="P1"/>
        <w:spacing w:lineRule="auto" w:line="276" w:beforeAutospacing="0" w:afterAutospacing="0"/>
        <w:ind w:firstLine="708" w:left="4248"/>
        <w:rPr>
          <w:rFonts w:ascii="Times New Roman" w:hAnsi="Times New Roman"/>
          <w:sz w:val="28"/>
          <w:szCs w:val="28"/>
          <w:lang w:val="uk-UA"/>
        </w:rPr>
      </w:pPr>
      <w:r>
        <w:rPr>
          <w:rFonts w:ascii="Times New Roman" w:hAnsi="Times New Roman"/>
          <w:sz w:val="28"/>
          <w:szCs w:val="28"/>
          <w:lang w:val="uk-UA"/>
        </w:rPr>
        <w:t xml:space="preserve">про здійснення технічного нагляду у </w:t>
      </w:r>
    </w:p>
    <w:p>
      <w:pPr>
        <w:pStyle w:val="P1"/>
        <w:spacing w:lineRule="auto" w:line="276" w:beforeAutospacing="0" w:afterAutospacing="0"/>
        <w:ind w:firstLine="708" w:left="4248"/>
        <w:rPr>
          <w:rFonts w:ascii="Times New Roman" w:hAnsi="Times New Roman"/>
          <w:sz w:val="28"/>
          <w:szCs w:val="28"/>
          <w:lang w:val="uk-UA"/>
        </w:rPr>
      </w:pPr>
      <w:r>
        <w:rPr>
          <w:rFonts w:ascii="Times New Roman" w:hAnsi="Times New Roman"/>
          <w:sz w:val="28"/>
          <w:szCs w:val="28"/>
          <w:lang w:val="uk-UA"/>
        </w:rPr>
        <w:t>будівництві</w:t>
      </w:r>
    </w:p>
    <w:p>
      <w:pPr>
        <w:pStyle w:val="P1"/>
        <w:spacing w:lineRule="auto" w:line="276" w:beforeAutospacing="0" w:afterAutospacing="0"/>
        <w:jc w:val="left"/>
        <w:rPr>
          <w:rFonts w:ascii="Times New Roman" w:hAnsi="Times New Roman"/>
          <w:b w:val="1"/>
          <w:sz w:val="28"/>
          <w:szCs w:val="28"/>
          <w:lang w:val="uk-UA"/>
        </w:rPr>
      </w:pPr>
    </w:p>
    <w:p>
      <w:pPr>
        <w:pStyle w:val="P1"/>
        <w:spacing w:lineRule="auto" w:line="276" w:beforeAutospacing="0" w:afterAutospacing="0"/>
        <w:jc w:val="center"/>
        <w:rPr>
          <w:rFonts w:ascii="Times New Roman" w:hAnsi="Times New Roman"/>
          <w:b w:val="1"/>
          <w:sz w:val="28"/>
          <w:szCs w:val="28"/>
          <w:lang w:val="uk-UA"/>
        </w:rPr>
      </w:pPr>
      <w:r>
        <w:rPr>
          <w:rFonts w:ascii="Times New Roman" w:hAnsi="Times New Roman"/>
          <w:b w:val="1"/>
          <w:sz w:val="28"/>
          <w:szCs w:val="28"/>
          <w:lang w:val="uk-UA"/>
        </w:rPr>
        <w:t>Перелік послуг (функцій) Виконавця*</w:t>
      </w:r>
    </w:p>
    <w:p>
      <w:pPr>
        <w:pStyle w:val="P1"/>
        <w:spacing w:lineRule="auto" w:line="276" w:beforeAutospacing="0" w:afterAutospacing="0"/>
        <w:jc w:val="center"/>
        <w:rPr>
          <w:rFonts w:ascii="Times New Roman" w:hAnsi="Times New Roman"/>
          <w:b w:val="1"/>
          <w:sz w:val="16"/>
          <w:szCs w:val="28"/>
          <w:lang w:val="uk-UA"/>
        </w:rPr>
      </w:pPr>
    </w:p>
    <w:p>
      <w:pPr>
        <w:spacing w:after="60" w:beforeAutospacing="0" w:afterAutospacing="0"/>
        <w:ind w:firstLine="426"/>
        <w:rPr>
          <w:rFonts w:ascii="Times New Roman" w:hAnsi="Times New Roman"/>
          <w:sz w:val="28"/>
          <w:szCs w:val="28"/>
          <w:lang w:val="uk-UA"/>
        </w:rPr>
      </w:pPr>
      <w:r>
        <w:rPr>
          <w:rFonts w:ascii="Times New Roman" w:hAnsi="Times New Roman"/>
          <w:sz w:val="28"/>
          <w:szCs w:val="28"/>
          <w:lang w:val="uk-UA"/>
        </w:rPr>
        <w:t>За Договором про здійснення технічного нагляду № _____ від _______________ Виконавець надає Замовнику такі послуги (здійснює такі функції):</w:t>
      </w:r>
    </w:p>
    <w:tbl>
      <w:tblPr>
        <w:tblW w:w="9781" w:type="dxa"/>
        <w:tblInd w:w="-5" w:type="dxa"/>
        <w:tblLook w:val="00A0"/>
      </w:tblPr>
      <w:tblGrid/>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1.</w:t>
            </w:r>
          </w:p>
        </w:tc>
        <w:tc>
          <w:tcPr>
            <w:tcW w:w="9072" w:type="dxa"/>
            <w:shd w:val="clear" w:color="auto" w:fill="auto"/>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проведення перевірок: </w:t>
            </w:r>
          </w:p>
        </w:tc>
      </w:tr>
      <w:tr>
        <w:tc>
          <w:tcPr>
            <w:tcW w:w="709" w:type="dxa"/>
          </w:tcPr>
          <w:p>
            <w:pPr>
              <w:pStyle w:val="P1"/>
              <w:spacing w:lineRule="auto" w:line="276" w:beforeAutospacing="0" w:afterAutospacing="0"/>
              <w:ind w:left="42"/>
              <w:rPr>
                <w:rFonts w:ascii="Times New Roman" w:hAnsi="Times New Roman"/>
                <w:sz w:val="28"/>
                <w:szCs w:val="28"/>
                <w:lang w:val="uk-UA"/>
              </w:rPr>
            </w:pPr>
            <w:r>
              <w:rPr>
                <w:rFonts w:ascii="Times New Roman" w:hAnsi="Times New Roman"/>
                <w:sz w:val="28"/>
                <w:szCs w:val="28"/>
                <w:lang w:val="uk-UA"/>
              </w:rPr>
              <w:t>1.1</w:t>
            </w:r>
          </w:p>
        </w:tc>
        <w:tc>
          <w:tcPr>
            <w:tcW w:w="9072" w:type="dxa"/>
            <w:shd w:val="clear" w:color="auto" w:fill="auto"/>
          </w:tcPr>
          <w:p>
            <w:pPr>
              <w:pStyle w:val="P1"/>
              <w:spacing w:lineRule="auto" w:line="276" w:beforeAutospacing="0" w:afterAutospacing="0"/>
              <w:ind w:firstLine="331"/>
              <w:jc w:val="both"/>
              <w:rPr>
                <w:rFonts w:ascii="Times New Roman" w:hAnsi="Times New Roman"/>
                <w:sz w:val="28"/>
                <w:szCs w:val="28"/>
                <w:lang w:val="uk-UA" w:eastAsia="ru-RU"/>
              </w:rPr>
            </w:pPr>
            <w:r>
              <w:rPr>
                <w:rFonts w:ascii="Times New Roman" w:hAnsi="Times New Roman"/>
                <w:sz w:val="28"/>
                <w:szCs w:val="28"/>
                <w:lang w:val="uk-UA" w:eastAsia="ru-RU"/>
              </w:rPr>
              <w:t xml:space="preserve">наявності документів, які підтверджують якісні характеристики  конструкцій, виробів, матеріалів та обладнання, що використовуються під час будівництва Об'єкта, у т.ч. документів, що відображають  результати лабораторних випробувань тощо;</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1.2.</w:t>
            </w:r>
          </w:p>
        </w:tc>
        <w:tc>
          <w:tcPr>
            <w:tcW w:w="9072" w:type="dxa"/>
            <w:shd w:val="clear" w:color="auto" w:fill="auto"/>
          </w:tcPr>
          <w:p>
            <w:pPr>
              <w:pStyle w:val="P1"/>
              <w:spacing w:lineRule="auto" w:line="276" w:beforeAutospacing="0" w:afterAutospacing="0"/>
              <w:ind w:firstLine="331"/>
              <w:jc w:val="both"/>
              <w:rPr>
                <w:rFonts w:ascii="Times New Roman" w:hAnsi="Times New Roman"/>
                <w:color w:val="FF0000"/>
                <w:sz w:val="28"/>
                <w:szCs w:val="28"/>
                <w:lang w:val="uk-UA" w:eastAsia="ru-RU"/>
              </w:rPr>
            </w:pPr>
            <w:r>
              <w:rPr>
                <w:rFonts w:ascii="Times New Roman" w:hAnsi="Times New Roman"/>
                <w:sz w:val="28"/>
                <w:szCs w:val="28"/>
                <w:lang w:val="uk-UA" w:eastAsia="ru-RU"/>
              </w:rPr>
              <w:t>відповідності виконаних будівельних робіт, конструкцій, виробів, матеріалів та обладнання проектним рішенням, технічним умовам, вимогам будівельних норм та інших нормативних документів, обов’язковість застосування яких встановлена законодавством;</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1.3.</w:t>
            </w:r>
          </w:p>
        </w:tc>
        <w:tc>
          <w:tcPr>
            <w:tcW w:w="9072" w:type="dxa"/>
            <w:shd w:val="clear" w:color="auto" w:fill="auto"/>
          </w:tcPr>
          <w:p>
            <w:pPr>
              <w:pStyle w:val="P1"/>
              <w:spacing w:lineRule="auto" w:line="276" w:beforeAutospacing="0" w:afterAutospacing="0"/>
              <w:ind w:firstLine="331"/>
              <w:jc w:val="both"/>
              <w:rPr>
                <w:rFonts w:ascii="Times New Roman" w:hAnsi="Times New Roman"/>
                <w:color w:val="FF0000"/>
                <w:sz w:val="28"/>
                <w:szCs w:val="28"/>
                <w:lang w:val="uk-UA" w:eastAsia="ru-RU"/>
              </w:rPr>
            </w:pPr>
            <w:r>
              <w:rPr>
                <w:rFonts w:ascii="Times New Roman" w:hAnsi="Times New Roman"/>
                <w:sz w:val="28"/>
                <w:szCs w:val="28"/>
                <w:lang w:val="uk-UA" w:eastAsia="ru-RU"/>
              </w:rPr>
              <w:t>відповідності обсягів та якості виконаних будівельних робіт проектно-кошторисній документації;</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1.4.</w:t>
            </w:r>
          </w:p>
        </w:tc>
        <w:tc>
          <w:tcPr>
            <w:tcW w:w="9072" w:type="dxa"/>
            <w:shd w:val="clear" w:color="auto" w:fill="auto"/>
          </w:tcPr>
          <w:p>
            <w:pPr>
              <w:pStyle w:val="P1"/>
              <w:spacing w:lineRule="auto" w:line="276" w:beforeAutospacing="0" w:afterAutospacing="0"/>
              <w:ind w:firstLine="425" w:left="-94"/>
              <w:jc w:val="both"/>
              <w:rPr>
                <w:rFonts w:ascii="Times New Roman" w:hAnsi="Times New Roman"/>
                <w:sz w:val="28"/>
                <w:szCs w:val="28"/>
                <w:lang w:val="uk-UA" w:eastAsia="ru-RU"/>
              </w:rPr>
            </w:pPr>
            <w:r>
              <w:rPr>
                <w:rFonts w:ascii="Times New Roman" w:hAnsi="Times New Roman"/>
                <w:sz w:val="28"/>
                <w:szCs w:val="28"/>
                <w:lang w:val="uk-UA" w:eastAsia="ru-RU"/>
              </w:rPr>
              <w:t>виконання Підрядником вказівок і приписів, виданих за результатами технічного нагляду, державного архітектурно-будівельного контролю та державного нагляду;</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2.</w:t>
            </w:r>
          </w:p>
        </w:tc>
        <w:tc>
          <w:tcPr>
            <w:tcW w:w="9072" w:type="dxa"/>
            <w:shd w:val="clear" w:color="auto" w:fill="auto"/>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ведення обліку обсягів прийнятих і  оплачених будівельних робіт,  а  також  робіт, виконаних з недоліками;</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3.</w:t>
            </w:r>
          </w:p>
        </w:tc>
        <w:tc>
          <w:tcPr>
            <w:tcW w:w="9072" w:type="dxa"/>
            <w:shd w:val="clear" w:color="auto" w:fill="auto"/>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проведення разом з Підрядником огляду та оцінки  результатів  виконаних   робіт, у тому числі прихованих, і конструктивних елементів;</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4.</w:t>
            </w:r>
          </w:p>
        </w:tc>
        <w:tc>
          <w:tcPr>
            <w:tcW w:w="9072" w:type="dxa"/>
            <w:shd w:val="clear" w:color="auto" w:fill="auto"/>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інформування Підрядника про невідповідність виробів, матеріалів та обладнання вимогам нормативних документів;</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5.</w:t>
            </w:r>
          </w:p>
        </w:tc>
        <w:tc>
          <w:tcPr>
            <w:tcW w:w="9072" w:type="dxa"/>
            <w:shd w:val="clear" w:color="auto" w:fill="auto"/>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оформлення актів робіт, виконаних з недоліками;</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6.</w:t>
            </w:r>
          </w:p>
        </w:tc>
        <w:tc>
          <w:tcPr>
            <w:tcW w:w="9072" w:type="dxa"/>
            <w:shd w:val="clear" w:color="auto" w:fill="auto"/>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участь у проведенні перевірок:</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6.1.</w:t>
            </w:r>
          </w:p>
        </w:tc>
        <w:tc>
          <w:tcPr>
            <w:tcW w:w="9072" w:type="dxa"/>
            <w:shd w:val="clear" w:color="auto" w:fill="auto"/>
          </w:tcPr>
          <w:p>
            <w:pPr>
              <w:pStyle w:val="P1"/>
              <w:spacing w:lineRule="auto" w:line="276" w:beforeAutospacing="0" w:afterAutospacing="0"/>
              <w:ind w:firstLine="331"/>
              <w:jc w:val="both"/>
              <w:rPr>
                <w:rFonts w:ascii="Times New Roman" w:hAnsi="Times New Roman"/>
                <w:sz w:val="28"/>
                <w:szCs w:val="28"/>
                <w:lang w:val="uk-UA" w:eastAsia="ru-RU"/>
              </w:rPr>
            </w:pPr>
            <w:r>
              <w:rPr>
                <w:rFonts w:ascii="Times New Roman" w:hAnsi="Times New Roman"/>
                <w:sz w:val="28"/>
                <w:szCs w:val="28"/>
                <w:lang w:val="uk-UA" w:eastAsia="ru-RU"/>
              </w:rPr>
              <w:t>якості окремих конструкцій і вузлів, будівельних робіт усіх видів, відповідності змонтованого спецобладнання, устатковання і механізмів технічним умовам при прийнятті Об’єкта в експлуатацію;</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6.2.</w:t>
            </w:r>
          </w:p>
        </w:tc>
        <w:tc>
          <w:tcPr>
            <w:tcW w:w="9072" w:type="dxa"/>
            <w:shd w:val="clear" w:color="auto" w:fill="auto"/>
          </w:tcPr>
          <w:p>
            <w:pPr>
              <w:pStyle w:val="P1"/>
              <w:spacing w:lineRule="auto" w:line="276" w:beforeAutospacing="0" w:afterAutospacing="0"/>
              <w:ind w:firstLine="331"/>
              <w:jc w:val="both"/>
              <w:rPr>
                <w:rFonts w:ascii="Times New Roman" w:hAnsi="Times New Roman"/>
                <w:sz w:val="28"/>
                <w:szCs w:val="28"/>
                <w:lang w:val="uk-UA" w:eastAsia="ru-RU"/>
              </w:rPr>
            </w:pPr>
            <w:r>
              <w:rPr>
                <w:rFonts w:ascii="Times New Roman" w:hAnsi="Times New Roman"/>
                <w:sz w:val="28"/>
                <w:szCs w:val="28"/>
                <w:lang w:val="uk-UA" w:eastAsia="ru-RU"/>
              </w:rPr>
              <w:t xml:space="preserve">органами державного нагляду та  архітектурно-будівельного контролю;</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7.</w:t>
            </w:r>
          </w:p>
        </w:tc>
        <w:tc>
          <w:tcPr>
            <w:tcW w:w="9072" w:type="dxa"/>
            <w:shd w:val="clear" w:color="auto" w:fill="auto"/>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вимагання (за потреби) від Підрядника: </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7.1.</w:t>
            </w:r>
          </w:p>
        </w:tc>
        <w:tc>
          <w:tcPr>
            <w:tcW w:w="9072" w:type="dxa"/>
            <w:shd w:val="clear" w:color="auto" w:fill="auto"/>
          </w:tcPr>
          <w:p>
            <w:pPr>
              <w:pStyle w:val="P1"/>
              <w:spacing w:lineRule="auto" w:line="276" w:beforeAutospacing="0" w:afterAutospacing="0"/>
              <w:ind w:firstLine="331"/>
              <w:jc w:val="both"/>
              <w:rPr>
                <w:rFonts w:ascii="Times New Roman" w:hAnsi="Times New Roman"/>
                <w:sz w:val="28"/>
                <w:szCs w:val="28"/>
                <w:lang w:val="uk-UA" w:eastAsia="ru-RU"/>
              </w:rPr>
            </w:pPr>
            <w:r>
              <w:rPr>
                <w:rFonts w:ascii="Times New Roman" w:hAnsi="Times New Roman"/>
                <w:sz w:val="28"/>
                <w:szCs w:val="28"/>
                <w:lang w:val="uk-UA" w:eastAsia="ru-RU"/>
              </w:rPr>
              <w:t xml:space="preserve">виконання робіт відповідно до проектно-кошторисної та іншої технічної документації, дотримання вимог нормативних документів щодо </w:t>
            </w:r>
          </w:p>
          <w:p>
            <w:pPr>
              <w:pStyle w:val="P1"/>
              <w:spacing w:lineRule="auto" w:line="276" w:beforeAutospacing="0" w:afterAutospacing="0"/>
              <w:jc w:val="right"/>
              <w:rPr>
                <w:rFonts w:ascii="Times New Roman" w:hAnsi="Times New Roman"/>
                <w:smallCaps w:val="0"/>
                <w:sz w:val="28"/>
                <w:szCs w:val="22"/>
                <w:cs w:val="0"/>
                <w:spacing w:val="0"/>
                <w:w w:val="100"/>
                <w:position w:val="0"/>
                <w:snapToGrid w:val="1"/>
                <w:lang w:val="uk-UA" w:eastAsia="ru-RU"/>
              </w:rPr>
            </w:pPr>
          </w:p>
          <w:p>
            <w:pPr>
              <w:pStyle w:val="P1"/>
              <w:spacing w:lineRule="auto" w:line="276" w:beforeAutospacing="0" w:afterAutospacing="0"/>
              <w:jc w:val="right"/>
              <w:rPr>
                <w:rFonts w:ascii="Times New Roman" w:hAnsi="Times New Roman"/>
                <w:smallCaps w:val="0"/>
                <w:sz w:val="28"/>
                <w:szCs w:val="22"/>
                <w:cs w:val="0"/>
                <w:spacing w:val="0"/>
                <w:w w:val="100"/>
                <w:position w:val="0"/>
                <w:snapToGrid w:val="1"/>
                <w:lang w:val="uk-UA" w:eastAsia="ru-RU"/>
              </w:rPr>
            </w:pPr>
            <w:r>
              <w:rPr>
                <w:rFonts w:ascii="Times New Roman" w:hAnsi="Times New Roman"/>
                <w:smallCaps w:val="0"/>
                <w:sz w:val="28"/>
                <w:szCs w:val="22"/>
                <w:cs w:val="0"/>
                <w:spacing w:val="0"/>
                <w:w w:val="100"/>
                <w:position w:val="0"/>
                <w:snapToGrid w:val="1"/>
                <w:lang w:val="uk-UA" w:eastAsia="ru-RU"/>
              </w:rPr>
              <w:t>Продовження додатка 1</w:t>
            </w:r>
          </w:p>
          <w:p>
            <w:pPr>
              <w:pStyle w:val="P1"/>
              <w:spacing w:lineRule="auto" w:line="276" w:beforeAutospacing="0" w:afterAutospacing="0"/>
              <w:ind w:firstLine="331"/>
              <w:jc w:val="both"/>
              <w:rPr>
                <w:rFonts w:ascii="Times New Roman" w:hAnsi="Times New Roman"/>
                <w:sz w:val="28"/>
                <w:szCs w:val="28"/>
                <w:lang w:val="uk-UA" w:eastAsia="ru-RU"/>
              </w:rPr>
            </w:pPr>
          </w:p>
          <w:p>
            <w:pPr>
              <w:pStyle w:val="P1"/>
              <w:spacing w:lineRule="auto" w:line="276" w:beforeAutospacing="0" w:afterAutospacing="0"/>
              <w:ind w:firstLine="331"/>
              <w:jc w:val="both"/>
              <w:rPr>
                <w:rFonts w:ascii="Times New Roman" w:hAnsi="Times New Roman"/>
                <w:sz w:val="28"/>
                <w:szCs w:val="28"/>
                <w:lang w:val="uk-UA" w:eastAsia="ru-RU"/>
              </w:rPr>
            </w:pPr>
            <w:r>
              <w:rPr>
                <w:rFonts w:ascii="Times New Roman" w:hAnsi="Times New Roman"/>
                <w:sz w:val="28"/>
                <w:szCs w:val="28"/>
                <w:lang w:val="uk-UA" w:eastAsia="ru-RU"/>
              </w:rPr>
              <w:t>порядку виконання і прийняття робіт;</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7.2.</w:t>
            </w:r>
          </w:p>
        </w:tc>
        <w:tc>
          <w:tcPr>
            <w:tcW w:w="9072" w:type="dxa"/>
            <w:shd w:val="clear" w:color="auto" w:fill="auto"/>
          </w:tcPr>
          <w:p>
            <w:pPr>
              <w:pStyle w:val="P1"/>
              <w:spacing w:lineRule="auto" w:line="276" w:beforeAutospacing="0" w:afterAutospacing="0"/>
              <w:ind w:firstLine="331"/>
              <w:jc w:val="both"/>
              <w:rPr>
                <w:rFonts w:ascii="Times New Roman" w:hAnsi="Times New Roman"/>
                <w:sz w:val="28"/>
                <w:szCs w:val="28"/>
                <w:lang w:val="uk-UA" w:eastAsia="ru-RU"/>
              </w:rPr>
            </w:pPr>
            <w:r>
              <w:rPr>
                <w:rFonts w:ascii="Times New Roman" w:hAnsi="Times New Roman"/>
                <w:sz w:val="28"/>
                <w:szCs w:val="28"/>
                <w:lang w:val="uk-UA" w:eastAsia="ru-RU"/>
              </w:rPr>
              <w:t xml:space="preserve">проведення лабораторних випробувань матеріалів і конструкцій щодо їх відповідності сертифікатам якості, а обладнання – технічним (технологічним) паспортам та своєчасного повідомлення їм про такі випробування; </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7.3.</w:t>
            </w:r>
          </w:p>
        </w:tc>
        <w:tc>
          <w:tcPr>
            <w:tcW w:w="9072" w:type="dxa"/>
            <w:shd w:val="clear" w:color="auto" w:fill="auto"/>
          </w:tcPr>
          <w:p>
            <w:pPr>
              <w:pStyle w:val="P1"/>
              <w:spacing w:lineRule="auto" w:line="276" w:beforeAutospacing="0" w:afterAutospacing="0"/>
              <w:ind w:firstLine="331"/>
              <w:jc w:val="both"/>
              <w:rPr>
                <w:rFonts w:ascii="Times New Roman" w:hAnsi="Times New Roman"/>
                <w:sz w:val="28"/>
                <w:szCs w:val="28"/>
                <w:lang w:val="uk-UA" w:eastAsia="ru-RU"/>
              </w:rPr>
            </w:pPr>
            <w:r>
              <w:rPr>
                <w:rFonts w:ascii="Times New Roman" w:hAnsi="Times New Roman"/>
                <w:sz w:val="28"/>
                <w:szCs w:val="28"/>
                <w:lang w:val="uk-UA" w:eastAsia="ru-RU"/>
              </w:rPr>
              <w:t xml:space="preserve">усунення відхилень від проектних рішень, недоліків (дефектів) та  недоробок і повторного пред'явлення робіт для здійснення технічного нагляду;</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7.4.</w:t>
            </w:r>
          </w:p>
        </w:tc>
        <w:tc>
          <w:tcPr>
            <w:tcW w:w="9072" w:type="dxa"/>
            <w:shd w:val="clear" w:color="auto" w:fill="auto"/>
          </w:tcPr>
          <w:p>
            <w:pPr>
              <w:pStyle w:val="P1"/>
              <w:spacing w:lineRule="auto" w:line="276" w:beforeAutospacing="0" w:afterAutospacing="0"/>
              <w:ind w:firstLine="331"/>
              <w:jc w:val="both"/>
              <w:rPr>
                <w:rFonts w:ascii="Times New Roman" w:hAnsi="Times New Roman"/>
                <w:sz w:val="28"/>
                <w:szCs w:val="28"/>
                <w:lang w:val="uk-UA" w:eastAsia="ru-RU"/>
              </w:rPr>
            </w:pPr>
            <w:r>
              <w:rPr>
                <w:rFonts w:ascii="Times New Roman" w:hAnsi="Times New Roman"/>
                <w:sz w:val="28"/>
                <w:szCs w:val="28"/>
                <w:lang w:val="uk-UA" w:eastAsia="ru-RU"/>
              </w:rPr>
              <w:t>зупинення виконання робіт:</w:t>
            </w:r>
          </w:p>
          <w:p>
            <w:pPr>
              <w:pStyle w:val="P1"/>
              <w:spacing w:lineRule="auto" w:line="276" w:beforeAutospacing="0" w:afterAutospacing="0"/>
              <w:ind w:firstLine="331"/>
              <w:jc w:val="both"/>
              <w:rPr>
                <w:rFonts w:ascii="Times New Roman" w:hAnsi="Times New Roman"/>
                <w:sz w:val="28"/>
                <w:szCs w:val="28"/>
                <w:lang w:val="uk-UA" w:eastAsia="ru-RU"/>
              </w:rPr>
            </w:pPr>
            <w:r>
              <w:rPr>
                <w:rFonts w:ascii="Times New Roman" w:hAnsi="Times New Roman"/>
                <w:sz w:val="28"/>
                <w:szCs w:val="28"/>
                <w:lang w:val="uk-UA" w:eastAsia="ru-RU"/>
              </w:rPr>
              <w:t>– у разі застосування матеріалів, деталей, конструкцій та виробів, які не відповідають вимогам нормативних документів;</w:t>
            </w:r>
          </w:p>
          <w:p>
            <w:pPr>
              <w:pStyle w:val="P1"/>
              <w:spacing w:lineRule="auto" w:line="276" w:beforeAutospacing="0" w:afterAutospacing="0"/>
              <w:ind w:firstLine="331"/>
              <w:jc w:val="both"/>
              <w:rPr>
                <w:rFonts w:ascii="Times New Roman" w:hAnsi="Times New Roman"/>
                <w:sz w:val="28"/>
                <w:szCs w:val="28"/>
                <w:lang w:val="uk-UA" w:eastAsia="ru-RU"/>
              </w:rPr>
            </w:pPr>
            <w:r>
              <w:rPr>
                <w:rFonts w:ascii="Times New Roman" w:hAnsi="Times New Roman"/>
                <w:sz w:val="28"/>
                <w:szCs w:val="28"/>
                <w:lang w:val="uk-UA" w:eastAsia="ru-RU"/>
              </w:rPr>
              <w:t xml:space="preserve">– до оформлення актів огляду прихованих робіт; </w:t>
            </w:r>
          </w:p>
          <w:p>
            <w:pPr>
              <w:pStyle w:val="P1"/>
              <w:spacing w:lineRule="auto" w:line="276" w:beforeAutospacing="0" w:afterAutospacing="0"/>
              <w:ind w:firstLine="331"/>
              <w:jc w:val="both"/>
              <w:rPr>
                <w:rFonts w:ascii="Times New Roman" w:hAnsi="Times New Roman"/>
                <w:sz w:val="28"/>
                <w:szCs w:val="28"/>
                <w:lang w:val="uk-UA" w:eastAsia="ru-RU"/>
              </w:rPr>
            </w:pPr>
            <w:r>
              <w:rPr>
                <w:rFonts w:ascii="Times New Roman" w:hAnsi="Times New Roman"/>
                <w:sz w:val="28"/>
                <w:szCs w:val="28"/>
                <w:lang w:val="uk-UA" w:eastAsia="ru-RU"/>
              </w:rPr>
              <w:t>– у разі виявлення понаднормативної деформації об'єкта або загрози обвалу конструкцій та вжиття невідкладних заходів для запобігання виникненню аварії;</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8.</w:t>
            </w:r>
          </w:p>
        </w:tc>
        <w:tc>
          <w:tcPr>
            <w:tcW w:w="9072" w:type="dxa"/>
            <w:shd w:val="clear" w:color="auto" w:fill="auto"/>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у разі виявлення відхилень від проектних рішень, допущених під час будівництва Об'єкта, та відмови Підрядника їх усунути, повідомлення про це Замовника і відповідного органу державного архітектурно-будівельного  контролю для вжиття заходів відповідно до законодавства;</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9.</w:t>
            </w:r>
          </w:p>
        </w:tc>
        <w:tc>
          <w:tcPr>
            <w:tcW w:w="9072" w:type="dxa"/>
            <w:shd w:val="clear" w:color="auto" w:fill="auto"/>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фіксація зауважень технічного нагляду в загальному журналі виконання робіт, забезпечення в частині, що стосується Виконавця, участі у веденні іншої виконавчої документації на Об’єкті;</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10.</w:t>
            </w:r>
          </w:p>
        </w:tc>
        <w:tc>
          <w:tcPr>
            <w:tcW w:w="9072" w:type="dxa"/>
            <w:shd w:val="clear" w:color="auto" w:fill="auto"/>
          </w:tcPr>
          <w:p>
            <w:pPr>
              <w:pStyle w:val="P1"/>
              <w:spacing w:lineRule="auto" w:line="276" w:beforeAutospacing="0" w:afterAutospacing="0"/>
              <w:rPr>
                <w:rFonts w:ascii="Times New Roman" w:hAnsi="Times New Roman"/>
                <w:sz w:val="28"/>
                <w:szCs w:val="28"/>
                <w:lang w:val="uk-UA" w:eastAsia="ru-RU"/>
              </w:rPr>
            </w:pPr>
            <w:r>
              <w:rPr>
                <w:rFonts w:ascii="Times New Roman" w:hAnsi="Times New Roman"/>
                <w:sz w:val="28"/>
                <w:szCs w:val="28"/>
                <w:lang w:val="uk-UA" w:eastAsia="ru-RU"/>
              </w:rPr>
              <w:t>перевірка в межах функцій, визначених Договором, візування та подання Замовнику актів приймання виконаних будівельних робіт на Об’єкті,</w:t>
            </w:r>
            <w:r>
              <w:rPr>
                <w:lang w:val="uk-UA"/>
              </w:rPr>
              <w:t xml:space="preserve"> </w:t>
            </w:r>
            <w:r>
              <w:rPr>
                <w:rFonts w:ascii="Times New Roman" w:hAnsi="Times New Roman"/>
                <w:sz w:val="28"/>
                <w:szCs w:val="28"/>
                <w:lang w:val="uk-UA" w:eastAsia="ru-RU"/>
              </w:rPr>
              <w:t>які підписані, завірені та надані Підрядником;</w:t>
            </w:r>
          </w:p>
        </w:tc>
      </w:tr>
      <w:tr>
        <w:tc>
          <w:tcPr>
            <w:tcW w:w="709" w:type="dxa"/>
          </w:tcPr>
          <w:p>
            <w:pPr>
              <w:pStyle w:val="P1"/>
              <w:spacing w:lineRule="auto" w:line="276" w:beforeAutospacing="0" w:afterAutospacing="0"/>
              <w:rPr>
                <w:rFonts w:ascii="Times New Roman" w:hAnsi="Times New Roman"/>
                <w:sz w:val="28"/>
                <w:szCs w:val="28"/>
                <w:lang w:val="uk-UA"/>
              </w:rPr>
            </w:pPr>
            <w:r>
              <w:rPr>
                <w:rFonts w:ascii="Times New Roman" w:hAnsi="Times New Roman"/>
                <w:sz w:val="28"/>
                <w:szCs w:val="28"/>
                <w:lang w:val="uk-UA"/>
              </w:rPr>
              <w:t>11.</w:t>
            </w:r>
          </w:p>
        </w:tc>
        <w:tc>
          <w:tcPr>
            <w:tcW w:w="9072" w:type="dxa"/>
            <w:shd w:val="clear" w:color="auto" w:fill="auto"/>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виконання інших функцій, пов'язаних з технічним наглядом на Об'єкті, передбачених цим Договором та законодавством.</w:t>
            </w:r>
          </w:p>
        </w:tc>
      </w:tr>
    </w:tbl>
    <w:p>
      <w:pPr>
        <w:ind w:firstLine="0"/>
        <w:rPr>
          <w:lang w:val="uk-UA"/>
        </w:rPr>
      </w:pPr>
    </w:p>
    <w:p>
      <w:pPr>
        <w:rPr>
          <w:lang w:val="uk-UA"/>
        </w:rPr>
      </w:pPr>
    </w:p>
    <w:tbl>
      <w:tblPr>
        <w:tblW w:w="5001" w:type="pct"/>
        <w:tblLayout w:type="fixed"/>
        <w:tblLook w:val="0000"/>
      </w:tblPr>
      <w:tblGrid/>
      <w:tr>
        <w:trPr>
          <w:trHeight w:hRule="atLeast" w:val="572"/>
        </w:trPr>
        <w:tc>
          <w:tcPr>
            <w:tcW w:w="2611" w:type="pct"/>
          </w:tcPr>
          <w:p>
            <w:pPr>
              <w:spacing w:lineRule="auto" w:line="276" w:beforeAutospacing="0" w:afterAutospacing="0"/>
              <w:ind w:firstLine="0" w:left="-465"/>
              <w:jc w:val="center"/>
              <w:rPr>
                <w:rFonts w:ascii="Times New Roman" w:hAnsi="Times New Roman"/>
                <w:b w:val="1"/>
                <w:color w:val="000000"/>
                <w:sz w:val="28"/>
                <w:szCs w:val="28"/>
                <w:lang w:val="uk-UA"/>
              </w:rPr>
            </w:pPr>
            <w:r>
              <w:rPr>
                <w:rFonts w:ascii="Times New Roman" w:hAnsi="Times New Roman"/>
                <w:b w:val="1"/>
                <w:color w:val="000000"/>
                <w:sz w:val="28"/>
                <w:szCs w:val="28"/>
                <w:lang w:val="uk-UA"/>
              </w:rPr>
              <w:t>Замовник</w:t>
            </w:r>
          </w:p>
          <w:p>
            <w:pPr>
              <w:spacing w:lineRule="auto" w:line="276" w:beforeAutospacing="0" w:afterAutospacing="0"/>
              <w:ind w:firstLine="0" w:left="-465"/>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____________________________</w:t>
            </w:r>
          </w:p>
          <w:p>
            <w:pPr>
              <w:spacing w:lineRule="auto" w:line="276" w:beforeAutospacing="0" w:afterAutospacing="0"/>
              <w:ind w:firstLine="0" w:left="-465"/>
              <w:jc w:val="center"/>
              <w:rPr>
                <w:rFonts w:ascii="Times New Roman" w:hAnsi="Times New Roman"/>
                <w:color w:val="000000"/>
                <w:sz w:val="20"/>
                <w:szCs w:val="20"/>
                <w:lang w:val="uk-UA"/>
              </w:rPr>
            </w:pPr>
            <w:r>
              <w:rPr>
                <w:rFonts w:ascii="Times New Roman" w:hAnsi="Times New Roman"/>
                <w:color w:val="000000"/>
                <w:sz w:val="20"/>
                <w:szCs w:val="20"/>
                <w:lang w:val="uk-UA"/>
              </w:rPr>
              <w:t>(посада, прізвище, ініціали, підпис)</w:t>
            </w:r>
          </w:p>
        </w:tc>
        <w:tc>
          <w:tcPr>
            <w:tcW w:w="2389" w:type="pct"/>
          </w:tcPr>
          <w:p>
            <w:pPr>
              <w:spacing w:lineRule="auto" w:line="276" w:beforeAutospacing="0" w:afterAutospacing="0"/>
              <w:ind w:firstLine="0" w:left="-465"/>
              <w:jc w:val="center"/>
              <w:rPr>
                <w:rFonts w:ascii="Times New Roman" w:hAnsi="Times New Roman"/>
                <w:b w:val="1"/>
                <w:color w:val="000000"/>
                <w:sz w:val="28"/>
                <w:szCs w:val="28"/>
                <w:lang w:val="uk-UA"/>
              </w:rPr>
            </w:pPr>
            <w:r>
              <w:rPr>
                <w:rFonts w:ascii="Times New Roman" w:hAnsi="Times New Roman"/>
                <w:b w:val="1"/>
                <w:color w:val="000000"/>
                <w:sz w:val="28"/>
                <w:szCs w:val="28"/>
                <w:lang w:val="uk-UA"/>
              </w:rPr>
              <w:t>Виконавець</w:t>
            </w:r>
          </w:p>
          <w:p>
            <w:pPr>
              <w:spacing w:lineRule="auto" w:line="276" w:beforeAutospacing="0" w:afterAutospacing="0"/>
              <w:ind w:firstLine="0" w:left="-465"/>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w:t>
            </w:r>
          </w:p>
          <w:p>
            <w:pPr>
              <w:spacing w:lineRule="auto" w:line="276" w:beforeAutospacing="0" w:afterAutospacing="0"/>
              <w:ind w:firstLine="0" w:left="-465"/>
              <w:jc w:val="center"/>
              <w:rPr>
                <w:rFonts w:ascii="Times New Roman" w:hAnsi="Times New Roman"/>
                <w:color w:val="000000"/>
                <w:sz w:val="28"/>
                <w:szCs w:val="28"/>
                <w:lang w:val="uk-UA"/>
              </w:rPr>
            </w:pPr>
            <w:r>
              <w:rPr>
                <w:rFonts w:ascii="Times New Roman" w:hAnsi="Times New Roman"/>
                <w:color w:val="000000"/>
                <w:sz w:val="20"/>
                <w:szCs w:val="20"/>
                <w:lang w:val="uk-UA"/>
              </w:rPr>
              <w:t>(посада, прізвище, ініціали, підпис)</w:t>
            </w:r>
          </w:p>
        </w:tc>
      </w:tr>
      <w:tr>
        <w:tblPrEx>
          <w:tblLook w:val="00A0"/>
        </w:tblPrEx>
        <w:tc>
          <w:tcPr>
            <w:tcW w:w="2611" w:type="pct"/>
          </w:tcPr>
          <w:p>
            <w:pPr>
              <w:spacing w:lineRule="atLeast" w:line="240" w:beforeAutospacing="0" w:afterAutospacing="0"/>
              <w:ind w:firstLine="0" w:left="142" w:right="136"/>
              <w:jc w:val="left"/>
              <w:rPr>
                <w:rFonts w:ascii="Times New Roman" w:hAnsi="Times New Roman"/>
                <w:color w:val="000000"/>
                <w:sz w:val="28"/>
                <w:szCs w:val="28"/>
                <w:lang w:val="uk-UA"/>
              </w:rPr>
            </w:pPr>
            <w:r>
              <w:rPr>
                <w:rFonts w:ascii="Times New Roman" w:hAnsi="Times New Roman"/>
                <w:color w:val="000000"/>
                <w:sz w:val="28"/>
                <w:szCs w:val="28"/>
                <w:lang w:val="uk-UA"/>
              </w:rPr>
              <w:t>М.П.</w:t>
            </w:r>
          </w:p>
          <w:p>
            <w:pPr>
              <w:pStyle w:val="P1"/>
              <w:spacing w:lineRule="atLeast" w:line="240" w:beforeAutospacing="0" w:afterAutospacing="0"/>
              <w:jc w:val="both"/>
              <w:rPr>
                <w:rFonts w:ascii="Times New Roman" w:hAnsi="Times New Roman"/>
                <w:color w:val="000000"/>
                <w:sz w:val="16"/>
                <w:szCs w:val="16"/>
                <w:lang w:val="uk-UA"/>
              </w:rPr>
            </w:pPr>
            <w:r>
              <w:rPr>
                <w:rFonts w:ascii="Times New Roman" w:hAnsi="Times New Roman"/>
                <w:color w:val="000000"/>
                <w:sz w:val="16"/>
                <w:szCs w:val="16"/>
                <w:lang w:val="uk-UA"/>
              </w:rPr>
              <w:t>(за наявності)</w:t>
            </w:r>
          </w:p>
          <w:p>
            <w:pPr>
              <w:pStyle w:val="P1"/>
              <w:spacing w:lineRule="auto" w:line="276" w:beforeAutospacing="0" w:afterAutospacing="0"/>
              <w:jc w:val="both"/>
              <w:rPr>
                <w:rFonts w:ascii="Times New Roman" w:hAnsi="Times New Roman"/>
                <w:sz w:val="28"/>
                <w:szCs w:val="28"/>
                <w:lang w:val="uk-UA"/>
              </w:rPr>
            </w:pPr>
            <w:r>
              <w:rPr>
                <w:rFonts w:ascii="Times New Roman" w:hAnsi="Times New Roman"/>
                <w:color w:val="000000"/>
                <w:sz w:val="28"/>
                <w:szCs w:val="28"/>
                <w:lang w:val="uk-UA"/>
              </w:rPr>
              <w:t xml:space="preserve"> «___» ____________20__ року</w:t>
            </w:r>
          </w:p>
        </w:tc>
        <w:tc>
          <w:tcPr>
            <w:tcW w:w="2389" w:type="pct"/>
          </w:tcPr>
          <w:p>
            <w:pPr>
              <w:spacing w:lineRule="atLeast" w:line="240" w:beforeAutospacing="0" w:afterAutospacing="0"/>
              <w:ind w:firstLine="0" w:left="142" w:right="136"/>
              <w:jc w:val="left"/>
              <w:rPr>
                <w:rFonts w:ascii="Times New Roman" w:hAnsi="Times New Roman"/>
                <w:color w:val="000000"/>
                <w:sz w:val="28"/>
                <w:szCs w:val="28"/>
                <w:lang w:val="uk-UA"/>
              </w:rPr>
            </w:pPr>
            <w:r>
              <w:rPr>
                <w:rFonts w:ascii="Times New Roman" w:hAnsi="Times New Roman"/>
                <w:color w:val="000000"/>
                <w:sz w:val="28"/>
                <w:szCs w:val="28"/>
                <w:lang w:val="uk-UA"/>
              </w:rPr>
              <w:t>М.П.</w:t>
            </w:r>
          </w:p>
          <w:p>
            <w:pPr>
              <w:pStyle w:val="P1"/>
              <w:spacing w:lineRule="atLeast" w:line="240" w:beforeAutospacing="0" w:afterAutospacing="0"/>
              <w:ind w:right="-1104"/>
              <w:rPr>
                <w:rFonts w:ascii="Times New Roman" w:hAnsi="Times New Roman"/>
                <w:color w:val="000000"/>
                <w:sz w:val="28"/>
                <w:szCs w:val="28"/>
                <w:lang w:val="uk-UA"/>
              </w:rPr>
            </w:pPr>
            <w:r>
              <w:rPr>
                <w:rFonts w:ascii="Times New Roman" w:hAnsi="Times New Roman"/>
                <w:color w:val="000000"/>
                <w:sz w:val="16"/>
                <w:szCs w:val="16"/>
                <w:lang w:val="uk-UA"/>
              </w:rPr>
              <w:t>(за наявності)</w:t>
            </w:r>
            <w:r>
              <w:rPr>
                <w:rFonts w:ascii="Times New Roman" w:hAnsi="Times New Roman"/>
                <w:color w:val="000000"/>
                <w:sz w:val="28"/>
                <w:szCs w:val="28"/>
                <w:lang w:val="uk-UA"/>
              </w:rPr>
              <w:t xml:space="preserve"> </w:t>
            </w:r>
          </w:p>
          <w:p>
            <w:pPr>
              <w:pStyle w:val="P1"/>
              <w:spacing w:lineRule="atLeast" w:line="240" w:beforeAutospacing="0" w:afterAutospacing="0"/>
              <w:ind w:right="-1104"/>
              <w:rPr>
                <w:rFonts w:ascii="Times New Roman" w:hAnsi="Times New Roman"/>
                <w:sz w:val="28"/>
                <w:szCs w:val="28"/>
                <w:lang w:val="uk-UA"/>
              </w:rPr>
            </w:pPr>
            <w:r>
              <w:rPr>
                <w:rFonts w:ascii="Times New Roman" w:hAnsi="Times New Roman"/>
                <w:color w:val="000000"/>
                <w:sz w:val="28"/>
                <w:szCs w:val="28"/>
                <w:lang w:val="uk-UA"/>
              </w:rPr>
              <w:t>«___»____________20__ року</w:t>
            </w:r>
          </w:p>
        </w:tc>
      </w:tr>
    </w:tbl>
    <w:p>
      <w:pPr>
        <w:pStyle w:val="P1"/>
        <w:spacing w:lineRule="auto" w:line="276" w:beforeAutospacing="0" w:afterAutospacing="0"/>
        <w:rPr>
          <w:rFonts w:ascii="Times New Roman" w:hAnsi="Times New Roman"/>
          <w:b w:val="1"/>
          <w:sz w:val="28"/>
          <w:szCs w:val="28"/>
          <w:lang w:val="uk-UA"/>
        </w:rPr>
      </w:pPr>
    </w:p>
    <w:p>
      <w:pPr>
        <w:pStyle w:val="P1"/>
        <w:spacing w:lineRule="auto" w:line="276" w:beforeAutospacing="0" w:afterAutospacing="0"/>
        <w:jc w:val="both"/>
        <w:rPr>
          <w:rFonts w:ascii="Times New Roman" w:hAnsi="Times New Roman"/>
          <w:b w:val="1"/>
          <w:sz w:val="24"/>
          <w:szCs w:val="24"/>
          <w:lang w:val="uk-UA"/>
        </w:rPr>
      </w:pPr>
    </w:p>
    <w:p>
      <w:pPr>
        <w:pStyle w:val="P1"/>
        <w:spacing w:lineRule="auto" w:line="276" w:beforeAutospacing="0" w:afterAutospacing="0"/>
        <w:jc w:val="both"/>
        <w:rPr>
          <w:rFonts w:ascii="Times New Roman" w:hAnsi="Times New Roman"/>
          <w:b w:val="1"/>
          <w:sz w:val="24"/>
          <w:szCs w:val="24"/>
          <w:lang w:val="uk-UA"/>
        </w:rPr>
      </w:pPr>
    </w:p>
    <w:p>
      <w:pPr>
        <w:pStyle w:val="P1"/>
        <w:spacing w:lineRule="auto" w:line="276" w:beforeAutospacing="0" w:afterAutospacing="0"/>
        <w:jc w:val="right"/>
        <w:rPr>
          <w:rFonts w:ascii="Times New Roman" w:hAnsi="Times New Roman"/>
          <w:sz w:val="28"/>
          <w:szCs w:val="28"/>
          <w:lang w:val="uk-UA" w:eastAsia="ru-RU"/>
        </w:rPr>
      </w:pPr>
      <w:r>
        <w:rPr>
          <w:rFonts w:ascii="Times New Roman" w:hAnsi="Times New Roman"/>
          <w:sz w:val="28"/>
          <w:szCs w:val="28"/>
          <w:lang w:val="uk-UA" w:eastAsia="ru-RU"/>
        </w:rPr>
        <w:t>Продовження додатка 1</w:t>
      </w:r>
      <w:bookmarkStart w:id="0" w:name="_GoBack"/>
      <w:bookmarkEnd w:id="0"/>
    </w:p>
    <w:p>
      <w:pPr>
        <w:pStyle w:val="P1"/>
        <w:spacing w:lineRule="auto" w:line="276" w:beforeAutospacing="0" w:afterAutospacing="0"/>
        <w:jc w:val="both"/>
        <w:rPr>
          <w:rFonts w:ascii="Times New Roman" w:hAnsi="Times New Roman"/>
          <w:b w:val="1"/>
          <w:sz w:val="24"/>
          <w:szCs w:val="24"/>
          <w:lang w:val="uk-UA"/>
        </w:rPr>
      </w:pPr>
    </w:p>
    <w:p>
      <w:pPr>
        <w:pStyle w:val="P1"/>
        <w:spacing w:lineRule="auto" w:line="276" w:beforeAutospacing="0" w:afterAutospacing="0"/>
        <w:jc w:val="both"/>
        <w:rPr>
          <w:rFonts w:ascii="Times New Roman" w:hAnsi="Times New Roman"/>
          <w:sz w:val="24"/>
          <w:szCs w:val="24"/>
          <w:lang w:val="uk-UA"/>
        </w:rPr>
      </w:pPr>
      <w:r>
        <w:rPr>
          <w:rFonts w:ascii="Times New Roman" w:hAnsi="Times New Roman"/>
          <w:b w:val="1"/>
          <w:sz w:val="24"/>
          <w:szCs w:val="24"/>
          <w:lang w:val="uk-UA"/>
        </w:rPr>
        <w:t xml:space="preserve">* </w:t>
      </w:r>
      <w:r>
        <w:rPr>
          <w:rFonts w:ascii="Times New Roman" w:hAnsi="Times New Roman"/>
          <w:sz w:val="24"/>
          <w:szCs w:val="24"/>
          <w:lang w:val="uk-UA"/>
        </w:rPr>
        <w:t>Перелік послуг (функцій), що надаються (здійснюються) Виконавцем, визначається відповідно до Законів України «Про регулювання містобудівної діяльності» та «Про архітектурну діяльність», Порядку здійснення технічного нагляду під час будівництва об’єкта архітектури, затвердженого постановою Кабінету Міністрів України від 11.07.2007 № 903, ДБН А.3.1-5:2016 «Організація будівельного виробництва», інших нормативно-правових актів та нормативних документів з питань технічного нагляду.</w:t>
      </w:r>
    </w:p>
    <w:p>
      <w:pPr>
        <w:pStyle w:val="P1"/>
        <w:spacing w:lineRule="auto" w:line="276" w:beforeAutospacing="0" w:afterAutospacing="0"/>
        <w:jc w:val="both"/>
        <w:rPr>
          <w:rFonts w:ascii="Times New Roman" w:hAnsi="Times New Roman"/>
          <w:sz w:val="24"/>
          <w:szCs w:val="24"/>
          <w:lang w:val="uk-UA"/>
        </w:rPr>
      </w:pPr>
    </w:p>
    <w:p>
      <w:pPr>
        <w:pStyle w:val="P1"/>
        <w:spacing w:lineRule="auto" w:line="276" w:beforeAutospacing="0" w:afterAutospacing="0"/>
        <w:jc w:val="center"/>
        <w:rPr>
          <w:rFonts w:ascii="Times New Roman" w:hAnsi="Times New Roman"/>
          <w:b w:val="1"/>
          <w:sz w:val="24"/>
          <w:szCs w:val="24"/>
          <w:lang w:val="uk-UA"/>
        </w:rPr>
      </w:pPr>
      <w:r>
        <w:rPr>
          <w:rFonts w:ascii="Times New Roman" w:hAnsi="Times New Roman"/>
          <w:sz w:val="24"/>
          <w:szCs w:val="24"/>
          <w:lang w:val="uk-UA"/>
        </w:rPr>
        <w:t>_______________</w:t>
      </w:r>
    </w:p>
    <w:sectPr>
      <w:headerReference xmlns:r="http://schemas.openxmlformats.org/officeDocument/2006/relationships" w:type="default" r:id="RelHdr1"/>
      <w:footnotePr/>
      <w:endnotePr/>
      <w:type w:val="nextPage"/>
      <w:pgSz w:w="11906" w:h="16838" w:code="0"/>
      <w:pgMar w:left="1418" w:right="567" w:top="1134" w:bottom="1134" w:header="709" w:footer="709"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val="1"/>
        <w:sz w:val="24"/>
        <w:szCs w:val="24"/>
      </w:rPr>
      <w:t>#</w:t>
    </w:r>
    <w:r>
      <w:rPr>
        <w:rFonts w:ascii="Times New Roman" w:hAnsi="Times New Roman"/>
        <w:noProof w:val="1"/>
        <w:sz w:val="24"/>
        <w:szCs w:val="24"/>
      </w:rPr>
      <w:fldChar w:fldCharType="end"/>
    </w:r>
  </w:p>
  <w:p>
    <w:pPr>
      <w:pStyle w:val="P2"/>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ind w:firstLine="567"/>
      <w:jc w:val="both"/>
    </w:pPr>
    <w:rPr>
      <w:lang w:val="ru-RU"/>
    </w:rPr>
  </w:style>
  <w:style w:type="paragraph" w:styleId="P1">
    <w:name w:val="No Spacing"/>
    <w:qFormat/>
    <w:pPr/>
    <w:rPr>
      <w:lang w:val="ru-RU"/>
    </w:rPr>
  </w:style>
  <w:style w:type="paragraph" w:styleId="P2">
    <w:name w:val="header"/>
    <w:basedOn w:val="P0"/>
    <w:link w:val="C3"/>
    <w:pPr>
      <w:tabs>
        <w:tab w:val="center" w:pos="4819" w:leader="none"/>
        <w:tab w:val="right" w:pos="9639" w:leader="none"/>
      </w:tabs>
    </w:pPr>
    <w:rPr/>
  </w:style>
  <w:style w:type="paragraph" w:styleId="P3">
    <w:name w:val="footer"/>
    <w:basedOn w:val="P0"/>
    <w:link w:val="C4"/>
    <w:semiHidden/>
    <w:pPr>
      <w:tabs>
        <w:tab w:val="center" w:pos="4819" w:leader="none"/>
        <w:tab w:val="right" w:pos="9639" w:leader="none"/>
      </w:tabs>
    </w:pPr>
    <w:rPr/>
  </w:style>
  <w:style w:type="paragraph" w:styleId="P4">
    <w:name w:val="Balloon Text"/>
    <w:basedOn w:val="P0"/>
    <w:link w:val="C5"/>
    <w:semiHidden/>
    <w:pPr/>
    <w:rPr>
      <w:rFonts w:ascii="Segoe UI" w:hAnsi="Segoe UI"/>
      <w:sz w:val="18"/>
      <w:szCs w:val="18"/>
    </w:rPr>
  </w:style>
  <w:style w:type="paragraph" w:styleId="P5">
    <w:name w:val="Revision"/>
    <w:hidden/>
    <w:semiHidden/>
    <w:pPr/>
    <w:rPr>
      <w:lang w:val="ru-RU"/>
    </w:rPr>
  </w:style>
  <w:style w:type="paragraph" w:styleId="P6">
    <w:name w:val="footnote text"/>
    <w:link w:val="C7"/>
    <w:semiHidden/>
    <w:pPr>
      <w:spacing w:lineRule="auto" w:line="240" w:after="0"/>
    </w:pPr>
    <w:rPr>
      <w:sz w:val="20"/>
      <w:szCs w:val="20"/>
    </w:rPr>
  </w:style>
  <w:style w:type="paragraph" w:styleId="P7">
    <w:name w:val="endnote text"/>
    <w:link w:val="C9"/>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ій колонтитул Знак"/>
    <w:basedOn w:val="C0"/>
    <w:link w:val="P2"/>
    <w:rPr>
      <w:lang w:val="ru-RU"/>
    </w:rPr>
  </w:style>
  <w:style w:type="character" w:styleId="C4">
    <w:name w:val="Нижній колонтитул Знак"/>
    <w:basedOn w:val="C0"/>
    <w:link w:val="P3"/>
    <w:semiHidden/>
    <w:rPr>
      <w:lang w:val="ru-RU"/>
    </w:rPr>
  </w:style>
  <w:style w:type="character" w:styleId="C5">
    <w:name w:val="Текст у виносці Знак"/>
    <w:basedOn w:val="C0"/>
    <w:link w:val="P4"/>
    <w:semiHidden/>
    <w:rPr>
      <w:rFonts w:ascii="Segoe UI" w:hAnsi="Segoe UI"/>
      <w:sz w:val="18"/>
      <w:szCs w:val="18"/>
      <w:lang w:val="ru-RU"/>
    </w:rPr>
  </w:style>
  <w:style w:type="character" w:styleId="C6">
    <w:name w:val="footnote reference"/>
    <w:semiHidden/>
    <w:rPr>
      <w:vertAlign w:val="superscript"/>
    </w:rPr>
  </w:style>
  <w:style w:type="character" w:styleId="C7">
    <w:name w:val="Footnote Text Char"/>
    <w:link w:val="P6"/>
    <w:semiHidden/>
    <w:rPr>
      <w:sz w:val="20"/>
      <w:szCs w:val="20"/>
    </w:rPr>
  </w:style>
  <w:style w:type="character" w:styleId="C8">
    <w:name w:val="endnote reference"/>
    <w:semiHidden/>
    <w:rPr>
      <w:vertAlign w:val="superscript"/>
    </w:rPr>
  </w:style>
  <w:style w:type="character" w:styleId="C9">
    <w:name w:val="Endnote Text Char"/>
    <w:link w:val="P7"/>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rPr>
      <w:sz w:val="20"/>
      <w:szCs w:val="20"/>
      <w:lang w:val="ru-RU"/>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SierhieienkoOP</dc:creator>
  <dcterms:created xsi:type="dcterms:W3CDTF">2022-12-19T09:19:00Z</dcterms:created>
  <cp:lastModifiedBy>askod</cp:lastModifiedBy>
  <cp:lastPrinted>2020-04-03T13:49:00Z</cp:lastPrinted>
  <dcterms:modified xsi:type="dcterms:W3CDTF">2024-08-08T14:53:44Z</dcterms:modified>
  <cp:revision>24</cp:revision>
</cp:coreProperties>
</file>