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5F" w:rsidRPr="006D428E" w:rsidRDefault="004F7A5F" w:rsidP="004F7A5F">
      <w:pPr>
        <w:keepNext/>
        <w:keepLines/>
        <w:tabs>
          <w:tab w:val="left" w:pos="3968"/>
        </w:tabs>
        <w:spacing w:line="322" w:lineRule="exact"/>
        <w:ind w:left="3640"/>
      </w:pPr>
    </w:p>
    <w:p w:rsidR="004F7A5F" w:rsidRPr="006D428E" w:rsidRDefault="004F7A5F" w:rsidP="004F7A5F">
      <w:pPr>
        <w:pStyle w:val="a5"/>
        <w:spacing w:line="276" w:lineRule="auto"/>
        <w:outlineLvl w:val="0"/>
        <w:rPr>
          <w:b/>
          <w:sz w:val="27"/>
          <w:szCs w:val="27"/>
        </w:rPr>
      </w:pPr>
      <w:bookmarkStart w:id="0" w:name="n199"/>
      <w:bookmarkEnd w:id="0"/>
      <w:r w:rsidRPr="006D428E">
        <w:rPr>
          <w:b/>
          <w:sz w:val="27"/>
          <w:szCs w:val="27"/>
        </w:rPr>
        <w:t>АНАЛІЗ РЕГУЛЯТОРНОГО ВПЛИВУ</w:t>
      </w:r>
    </w:p>
    <w:p w:rsidR="00991745" w:rsidRPr="00A1089A" w:rsidRDefault="00991745" w:rsidP="00991745">
      <w:pPr>
        <w:jc w:val="center"/>
        <w:rPr>
          <w:b/>
          <w:sz w:val="27"/>
          <w:szCs w:val="27"/>
        </w:rPr>
      </w:pPr>
      <w:r>
        <w:rPr>
          <w:b/>
          <w:sz w:val="27"/>
          <w:szCs w:val="27"/>
        </w:rPr>
        <w:t>п</w:t>
      </w:r>
      <w:r w:rsidR="004F7A5F" w:rsidRPr="006D428E">
        <w:rPr>
          <w:b/>
          <w:sz w:val="27"/>
          <w:szCs w:val="27"/>
        </w:rPr>
        <w:t>роєкту</w:t>
      </w:r>
      <w:r w:rsidRPr="00A1089A">
        <w:rPr>
          <w:b/>
          <w:sz w:val="27"/>
          <w:szCs w:val="27"/>
        </w:rPr>
        <w:t xml:space="preserve"> постанови Кабінету Міністрів України</w:t>
      </w:r>
      <w:r w:rsidR="004F7A5F" w:rsidRPr="006D428E">
        <w:rPr>
          <w:b/>
          <w:sz w:val="27"/>
          <w:szCs w:val="27"/>
        </w:rPr>
        <w:t xml:space="preserve"> </w:t>
      </w:r>
      <w:r w:rsidRPr="00991745">
        <w:rPr>
          <w:b/>
          <w:sz w:val="27"/>
          <w:szCs w:val="27"/>
          <w:lang w:eastAsia="uk-UA"/>
        </w:rPr>
        <w:t>«Про внесення змін до вимог щодо проведення контролю якості робіт з нового будівництва, реконструкції та капітального ремонту автомобільних доріг загального користування»</w:t>
      </w:r>
    </w:p>
    <w:p w:rsidR="004F7A5F" w:rsidRPr="006D428E" w:rsidRDefault="004F7A5F" w:rsidP="00991745">
      <w:pPr>
        <w:pStyle w:val="HTML"/>
        <w:shd w:val="clear" w:color="auto" w:fill="FFFFFF"/>
        <w:spacing w:line="276" w:lineRule="auto"/>
        <w:jc w:val="center"/>
      </w:pPr>
    </w:p>
    <w:p w:rsidR="004F7A5F" w:rsidRPr="007B5A56" w:rsidRDefault="007B5A56" w:rsidP="007B5A56">
      <w:pPr>
        <w:pStyle w:val="32"/>
        <w:keepNext/>
        <w:keepLines/>
        <w:shd w:val="clear" w:color="auto" w:fill="auto"/>
        <w:spacing w:before="0" w:line="322" w:lineRule="exact"/>
        <w:ind w:firstLine="0"/>
        <w:jc w:val="left"/>
        <w:rPr>
          <w:lang w:val="ru-RU"/>
        </w:rPr>
      </w:pPr>
      <w:r>
        <w:rPr>
          <w:lang w:val="uk-UA"/>
        </w:rPr>
        <w:t xml:space="preserve">І. </w:t>
      </w:r>
      <w:r w:rsidR="004F7A5F" w:rsidRPr="007B5A56">
        <w:rPr>
          <w:lang w:val="ru-RU"/>
        </w:rPr>
        <w:t>Визначення проблеми</w:t>
      </w:r>
    </w:p>
    <w:p w:rsidR="004F7A5F" w:rsidRPr="007B5A56" w:rsidRDefault="004F7A5F" w:rsidP="004F7A5F">
      <w:pPr>
        <w:pStyle w:val="32"/>
        <w:keepNext/>
        <w:keepLines/>
        <w:shd w:val="clear" w:color="auto" w:fill="auto"/>
        <w:tabs>
          <w:tab w:val="left" w:pos="3968"/>
        </w:tabs>
        <w:spacing w:before="0" w:line="322" w:lineRule="exact"/>
        <w:ind w:left="3640" w:firstLine="0"/>
        <w:rPr>
          <w:lang w:val="ru-RU"/>
        </w:rPr>
      </w:pPr>
    </w:p>
    <w:p w:rsidR="00991745" w:rsidRPr="00991745" w:rsidRDefault="00991745" w:rsidP="00991745">
      <w:pPr>
        <w:spacing w:line="322" w:lineRule="exact"/>
        <w:ind w:firstLine="600"/>
        <w:jc w:val="both"/>
        <w:rPr>
          <w:sz w:val="28"/>
          <w:szCs w:val="28"/>
        </w:rPr>
      </w:pPr>
      <w:r w:rsidRPr="00991745">
        <w:rPr>
          <w:sz w:val="28"/>
          <w:szCs w:val="28"/>
        </w:rPr>
        <w:t xml:space="preserve">Статтею 1 Закону України «Про регулювання містобудівної діяльності» (зі змінами, внесеними Законом </w:t>
      </w:r>
      <w:r w:rsidR="008E7E61">
        <w:rPr>
          <w:sz w:val="28"/>
          <w:szCs w:val="28"/>
        </w:rPr>
        <w:t>України від 17.10.2019 № </w:t>
      </w:r>
      <w:r w:rsidRPr="00991745">
        <w:rPr>
          <w:sz w:val="28"/>
          <w:szCs w:val="28"/>
        </w:rPr>
        <w:t>199</w:t>
      </w:r>
      <w:r w:rsidR="008E7E61">
        <w:rPr>
          <w:sz w:val="28"/>
          <w:szCs w:val="28"/>
        </w:rPr>
        <w:t xml:space="preserve"> «</w:t>
      </w:r>
      <w:r w:rsidR="008E7E61" w:rsidRPr="008E7E61">
        <w:rPr>
          <w:sz w:val="28"/>
          <w:szCs w:val="28"/>
        </w:rPr>
        <w:t>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w:t>
      </w:r>
      <w:r w:rsidR="008E7E61">
        <w:rPr>
          <w:sz w:val="28"/>
          <w:szCs w:val="28"/>
        </w:rPr>
        <w:t xml:space="preserve">» (далі </w:t>
      </w:r>
      <w:r w:rsidR="001B155D">
        <w:rPr>
          <w:sz w:val="28"/>
          <w:szCs w:val="28"/>
        </w:rPr>
        <w:t>–</w:t>
      </w:r>
      <w:r w:rsidR="008E7E61">
        <w:rPr>
          <w:sz w:val="28"/>
          <w:szCs w:val="28"/>
        </w:rPr>
        <w:t xml:space="preserve"> </w:t>
      </w:r>
      <w:r w:rsidR="001B155D">
        <w:rPr>
          <w:sz w:val="28"/>
          <w:szCs w:val="28"/>
        </w:rPr>
        <w:t>Закон 199)</w:t>
      </w:r>
      <w:r w:rsidRPr="00991745">
        <w:rPr>
          <w:sz w:val="28"/>
          <w:szCs w:val="28"/>
        </w:rPr>
        <w:t xml:space="preserve">) передбачено, що інженер-консультант - фахівець із кваліфікаційним рівнем, підтвердженим органом із сертифікації персоналу, акредитованим у відповідній сфері згідно із законом, та/або суб’єкт господарювання, що має у своєму складі таких фахівців, який здійснює управління проектом, забезпечує організаційне і консультаційне супроводження комплексу робіт, пов’язаних із створенням об’єкта архітектури, приймає від імені замовника відповідні рішення та виконує інші функції, визначені договором. Статтею 11 Закону України </w:t>
      </w:r>
      <w:r w:rsidR="001B155D">
        <w:rPr>
          <w:sz w:val="28"/>
          <w:szCs w:val="28"/>
        </w:rPr>
        <w:br/>
      </w:r>
      <w:r w:rsidRPr="00991745">
        <w:rPr>
          <w:sz w:val="28"/>
          <w:szCs w:val="28"/>
        </w:rPr>
        <w:t xml:space="preserve">«Про архітектурну діяльність» (зі змінами, внесеними Законом 199) передбачено, що технічний нагляд забезпечується замовником та здійснюється особами, які мають кваліфікаційний сертифікат; обов’язок щодо здійснення технічного нагляду може бути покладений замовником на спеціалізовану організацію чи спеціаліста з технічного нагляду або на інженера-консультанта, з визначенням у договорі підряду їхніх повноважень. </w:t>
      </w:r>
    </w:p>
    <w:p w:rsidR="00991745" w:rsidRPr="00991745" w:rsidRDefault="00991745" w:rsidP="00991745">
      <w:pPr>
        <w:spacing w:line="322" w:lineRule="exact"/>
        <w:ind w:firstLine="600"/>
        <w:jc w:val="both"/>
        <w:rPr>
          <w:sz w:val="28"/>
          <w:szCs w:val="28"/>
        </w:rPr>
      </w:pPr>
      <w:r w:rsidRPr="00991745">
        <w:rPr>
          <w:sz w:val="28"/>
          <w:szCs w:val="28"/>
        </w:rPr>
        <w:t>При цьому, чинною редакцією абзацу п'ятого пункту 3 Вимог передбачено, що інженер-консультант - суб’єкт господарювання, який надає дорожні консультаційні послуги з урахуванням умов, визначених у контрактах міжнародної федерації інженерів-консультантів FIDIC, або із залученням спеціалістів, що мають виданий відповідно до законодавства кваліфікаційний сертифікат для здійснення технічного нагляду за будівництвом автомобільних доріг загального користування.</w:t>
      </w:r>
    </w:p>
    <w:p w:rsidR="00991745" w:rsidRPr="00991745" w:rsidRDefault="00991745" w:rsidP="00991745">
      <w:pPr>
        <w:spacing w:line="322" w:lineRule="exact"/>
        <w:ind w:firstLine="600"/>
        <w:jc w:val="both"/>
        <w:rPr>
          <w:sz w:val="28"/>
          <w:szCs w:val="28"/>
        </w:rPr>
      </w:pPr>
      <w:r w:rsidRPr="00991745">
        <w:rPr>
          <w:sz w:val="28"/>
          <w:szCs w:val="28"/>
        </w:rPr>
        <w:t>Тобто закон наразі визначає інженера-консультанта та осіб, які мають кваліфікаційний сертифікат та уповноважені на здійснення технічного нагляду у будівництві, різними учасниками відносин у сфері містобудівної діяльності, передбачаючи при цьому право, а не обов’язок інженера-консультанта здійснювати технічний нагляд у разі прийняття замовником відповідного рішення.</w:t>
      </w:r>
    </w:p>
    <w:p w:rsidR="00991745" w:rsidRPr="00991745" w:rsidRDefault="00991745" w:rsidP="00991745">
      <w:pPr>
        <w:spacing w:line="322" w:lineRule="exact"/>
        <w:ind w:firstLine="600"/>
        <w:jc w:val="both"/>
        <w:rPr>
          <w:sz w:val="28"/>
          <w:szCs w:val="28"/>
        </w:rPr>
      </w:pPr>
      <w:r w:rsidRPr="00991745">
        <w:rPr>
          <w:sz w:val="28"/>
          <w:szCs w:val="28"/>
        </w:rPr>
        <w:t>Натомість у Вимогах статус інженера-консультанта передбачає обов’язковість кваліфікаційного сертифіката для здійснення технічного нагляду за будівництвом, що не відповідає закону та обмежує права осіб на здійснення підприємницької діяльності із надання інженерно-консультаційних послуг.</w:t>
      </w:r>
    </w:p>
    <w:p w:rsidR="00991745" w:rsidRPr="00991745" w:rsidRDefault="00991745" w:rsidP="00991745">
      <w:pPr>
        <w:spacing w:line="322" w:lineRule="exact"/>
        <w:ind w:firstLine="600"/>
        <w:jc w:val="both"/>
        <w:rPr>
          <w:sz w:val="28"/>
          <w:szCs w:val="28"/>
        </w:rPr>
      </w:pPr>
      <w:r w:rsidRPr="00991745">
        <w:rPr>
          <w:sz w:val="28"/>
          <w:szCs w:val="28"/>
        </w:rPr>
        <w:t>Вказане зумовлює невідповідність норм Вимог щодо функцій інженера-консультанта Закону України «Про регулювання містобудівної діяльності», а також невизначеність із рівнем оплати його послуг.</w:t>
      </w:r>
    </w:p>
    <w:p w:rsidR="00991745" w:rsidRPr="00991745" w:rsidRDefault="00991745" w:rsidP="00991745">
      <w:pPr>
        <w:spacing w:line="322" w:lineRule="exact"/>
        <w:ind w:firstLine="600"/>
        <w:jc w:val="both"/>
        <w:rPr>
          <w:sz w:val="28"/>
          <w:szCs w:val="28"/>
        </w:rPr>
      </w:pPr>
      <w:r w:rsidRPr="00991745">
        <w:rPr>
          <w:sz w:val="28"/>
          <w:szCs w:val="28"/>
        </w:rPr>
        <w:lastRenderedPageBreak/>
        <w:t xml:space="preserve">Разом із тим, у міжнародній практиці залучення інженера-консультанта здійснюється, у тому числі, в рамках міжнародно визнаних форм договорів. Форми будівельних контрактів, зокрема, розробляє Міжнародна федерація інженерів-консультантів (FIDIC). Інститутом цивільних інженерів Великобританії розроблено Новий інжиніринговий контракт (NEC), що широко використовується у країнах Британської співдружності і в країнах Східної Європи. Комісією Організації Об’єднаних Націй по праву міжнародної торгівлі  (UNCITRAL) розроблено Юридичне керівництво по складанню міжнародних контрактів на будівництво тощо. Проте чинна редакція Вимог не передбачає можливості використання вказаних актів в діяльності інженера-консультанта, що звужує можливості використання нових технологій у будівництві та оптимізації його вартості. </w:t>
      </w:r>
    </w:p>
    <w:p w:rsidR="00991745" w:rsidRPr="00991745" w:rsidRDefault="00991745" w:rsidP="00991745">
      <w:pPr>
        <w:spacing w:line="322" w:lineRule="exact"/>
        <w:ind w:firstLine="600"/>
        <w:jc w:val="both"/>
        <w:rPr>
          <w:sz w:val="28"/>
          <w:szCs w:val="28"/>
        </w:rPr>
      </w:pPr>
      <w:r w:rsidRPr="00991745">
        <w:rPr>
          <w:sz w:val="28"/>
          <w:szCs w:val="28"/>
        </w:rPr>
        <w:t>Відповідно до ДСТУ Б. Д.1.1-1:2013 «Правила визначення вартості будівництва» до глави 10 «Утримання служби замовника» (графи 6 та 7) можуть включатися кошти на надання послуг інженера-консультанта у разі його залучення (як правило, в розмірі до 4,5</w:t>
      </w:r>
      <w:r w:rsidR="006B164E">
        <w:rPr>
          <w:sz w:val="28"/>
          <w:szCs w:val="28"/>
        </w:rPr>
        <w:t xml:space="preserve"> %</w:t>
      </w:r>
      <w:r w:rsidRPr="00991745">
        <w:rPr>
          <w:sz w:val="28"/>
          <w:szCs w:val="28"/>
        </w:rPr>
        <w:t xml:space="preserve"> від підсумку глав 1 – 9, графа 7). Розмір вищезазначених коштів приймається за відповідними розрахунками у кошторисі та обраховується від підсумку окремих глав ЗКР, а не від загальної вартості об’єкту, та залежить від етапу, на якому залучається інженер-консультант, та обсягу його функцій і повноважень, визначених договором. При цьому остаточна вартість послуг визначається за результатами закупівель, що проводяться відповідно до законодавства.</w:t>
      </w:r>
    </w:p>
    <w:p w:rsidR="00991745" w:rsidRPr="00991745" w:rsidRDefault="00991745" w:rsidP="00991745">
      <w:pPr>
        <w:spacing w:line="322" w:lineRule="exact"/>
        <w:ind w:firstLine="600"/>
        <w:jc w:val="both"/>
        <w:rPr>
          <w:sz w:val="28"/>
          <w:szCs w:val="28"/>
        </w:rPr>
      </w:pPr>
      <w:r w:rsidRPr="00991745">
        <w:rPr>
          <w:sz w:val="28"/>
          <w:szCs w:val="28"/>
        </w:rPr>
        <w:t xml:space="preserve">Проте чинна редакція Вимог не містить </w:t>
      </w:r>
      <w:r w:rsidR="00A1089A">
        <w:rPr>
          <w:sz w:val="28"/>
          <w:szCs w:val="28"/>
        </w:rPr>
        <w:t>вимог щодо врегулювання</w:t>
      </w:r>
      <w:r w:rsidRPr="00991745">
        <w:rPr>
          <w:sz w:val="28"/>
          <w:szCs w:val="28"/>
        </w:rPr>
        <w:t xml:space="preserve"> розміру витрат на залучення інженера-консультанта, що не сприяє ефективному використанню бюджетних коштів.</w:t>
      </w:r>
    </w:p>
    <w:p w:rsidR="00991745" w:rsidRPr="00991745" w:rsidRDefault="00991745" w:rsidP="00991745">
      <w:pPr>
        <w:spacing w:line="322" w:lineRule="exact"/>
        <w:ind w:firstLine="600"/>
        <w:jc w:val="both"/>
        <w:rPr>
          <w:sz w:val="28"/>
          <w:szCs w:val="28"/>
        </w:rPr>
      </w:pPr>
    </w:p>
    <w:p w:rsidR="004F7A5F" w:rsidRPr="006D428E" w:rsidRDefault="004F7A5F" w:rsidP="004F7A5F">
      <w:pPr>
        <w:spacing w:line="322" w:lineRule="exact"/>
        <w:ind w:firstLine="600"/>
        <w:jc w:val="both"/>
        <w:rPr>
          <w:sz w:val="28"/>
          <w:szCs w:val="28"/>
        </w:rPr>
      </w:pPr>
      <w:r w:rsidRPr="006D428E">
        <w:rPr>
          <w:rStyle w:val="2"/>
          <w:rFonts w:eastAsia="Arial Unicode MS"/>
        </w:rPr>
        <w:t>Основні групи (підгрупи), на які проблема має вплив: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3274"/>
        <w:gridCol w:w="3029"/>
      </w:tblGrid>
      <w:tr w:rsidR="004F7A5F" w:rsidRPr="006D428E" w:rsidTr="00C75FF5">
        <w:trPr>
          <w:trHeight w:hRule="exact" w:val="336"/>
          <w:jc w:val="center"/>
        </w:trPr>
        <w:tc>
          <w:tcPr>
            <w:tcW w:w="3283" w:type="dxa"/>
            <w:tcBorders>
              <w:top w:val="single" w:sz="4" w:space="0" w:color="auto"/>
              <w:lef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ind w:right="300"/>
              <w:jc w:val="both"/>
              <w:rPr>
                <w:sz w:val="28"/>
                <w:szCs w:val="28"/>
              </w:rPr>
            </w:pPr>
            <w:r w:rsidRPr="006D428E">
              <w:rPr>
                <w:rStyle w:val="20"/>
                <w:rFonts w:eastAsia="Arial Unicode MS"/>
              </w:rPr>
              <w:t>Групи (підгрупи)</w:t>
            </w:r>
          </w:p>
        </w:tc>
        <w:tc>
          <w:tcPr>
            <w:tcW w:w="3274" w:type="dxa"/>
            <w:tcBorders>
              <w:top w:val="single" w:sz="4" w:space="0" w:color="auto"/>
              <w:lef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ind w:left="1680"/>
              <w:jc w:val="both"/>
              <w:rPr>
                <w:sz w:val="28"/>
                <w:szCs w:val="28"/>
              </w:rPr>
            </w:pPr>
            <w:r w:rsidRPr="006D428E">
              <w:rPr>
                <w:rStyle w:val="20"/>
                <w:rFonts w:eastAsia="Arial Unicode MS"/>
              </w:rPr>
              <w:t>Так</w:t>
            </w:r>
          </w:p>
        </w:tc>
        <w:tc>
          <w:tcPr>
            <w:tcW w:w="3029" w:type="dxa"/>
            <w:tcBorders>
              <w:top w:val="single" w:sz="4" w:space="0" w:color="auto"/>
              <w:left w:val="single" w:sz="4" w:space="0" w:color="auto"/>
              <w:righ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ind w:left="1660"/>
              <w:jc w:val="both"/>
              <w:rPr>
                <w:sz w:val="28"/>
                <w:szCs w:val="28"/>
              </w:rPr>
            </w:pPr>
            <w:r w:rsidRPr="006D428E">
              <w:rPr>
                <w:rStyle w:val="20"/>
                <w:rFonts w:eastAsia="Arial Unicode MS"/>
              </w:rPr>
              <w:t>Ні</w:t>
            </w:r>
          </w:p>
        </w:tc>
      </w:tr>
      <w:tr w:rsidR="004F7A5F" w:rsidRPr="006D428E" w:rsidTr="00C75FF5">
        <w:trPr>
          <w:trHeight w:hRule="exact" w:val="331"/>
          <w:jc w:val="center"/>
        </w:trPr>
        <w:tc>
          <w:tcPr>
            <w:tcW w:w="3283" w:type="dxa"/>
            <w:tcBorders>
              <w:top w:val="single" w:sz="4" w:space="0" w:color="auto"/>
              <w:lef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jc w:val="both"/>
              <w:rPr>
                <w:sz w:val="28"/>
                <w:szCs w:val="28"/>
              </w:rPr>
            </w:pPr>
            <w:r w:rsidRPr="006D428E">
              <w:rPr>
                <w:rStyle w:val="21"/>
                <w:rFonts w:eastAsia="Arial Unicode MS"/>
              </w:rPr>
              <w:t>Громадяни</w:t>
            </w:r>
          </w:p>
        </w:tc>
        <w:tc>
          <w:tcPr>
            <w:tcW w:w="3274" w:type="dxa"/>
            <w:tcBorders>
              <w:top w:val="single" w:sz="4" w:space="0" w:color="auto"/>
              <w:left w:val="single" w:sz="4" w:space="0" w:color="auto"/>
            </w:tcBorders>
            <w:shd w:val="clear" w:color="auto" w:fill="FFFFFF"/>
          </w:tcPr>
          <w:p w:rsidR="004F7A5F" w:rsidRPr="006D428E" w:rsidRDefault="004F7A5F" w:rsidP="00C75FF5">
            <w:pPr>
              <w:framePr w:w="9586" w:wrap="notBeside" w:vAnchor="text" w:hAnchor="text" w:xAlign="center" w:y="1"/>
              <w:jc w:val="both"/>
              <w:rPr>
                <w:sz w:val="28"/>
                <w:szCs w:val="28"/>
              </w:rPr>
            </w:pPr>
          </w:p>
        </w:tc>
        <w:tc>
          <w:tcPr>
            <w:tcW w:w="3029" w:type="dxa"/>
            <w:tcBorders>
              <w:top w:val="single" w:sz="4" w:space="0" w:color="auto"/>
              <w:left w:val="single" w:sz="4" w:space="0" w:color="auto"/>
              <w:righ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jc w:val="both"/>
              <w:rPr>
                <w:sz w:val="28"/>
                <w:szCs w:val="28"/>
              </w:rPr>
            </w:pPr>
            <w:r w:rsidRPr="006D428E">
              <w:rPr>
                <w:rStyle w:val="21"/>
                <w:rFonts w:eastAsia="Arial Unicode MS"/>
              </w:rPr>
              <w:t>+</w:t>
            </w:r>
          </w:p>
        </w:tc>
      </w:tr>
      <w:tr w:rsidR="004F7A5F" w:rsidRPr="006D428E" w:rsidTr="00C75FF5">
        <w:trPr>
          <w:trHeight w:hRule="exact" w:val="331"/>
          <w:jc w:val="center"/>
        </w:trPr>
        <w:tc>
          <w:tcPr>
            <w:tcW w:w="3283" w:type="dxa"/>
            <w:tcBorders>
              <w:top w:val="single" w:sz="4" w:space="0" w:color="auto"/>
              <w:lef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jc w:val="both"/>
              <w:rPr>
                <w:sz w:val="28"/>
                <w:szCs w:val="28"/>
              </w:rPr>
            </w:pPr>
            <w:r w:rsidRPr="006D428E">
              <w:rPr>
                <w:rStyle w:val="21"/>
                <w:rFonts w:eastAsia="Arial Unicode MS"/>
              </w:rPr>
              <w:t>Держава</w:t>
            </w:r>
          </w:p>
        </w:tc>
        <w:tc>
          <w:tcPr>
            <w:tcW w:w="3274" w:type="dxa"/>
            <w:tcBorders>
              <w:top w:val="single" w:sz="4" w:space="0" w:color="auto"/>
              <w:left w:val="single" w:sz="4" w:space="0" w:color="auto"/>
            </w:tcBorders>
            <w:shd w:val="clear" w:color="auto" w:fill="FFFFFF"/>
            <w:vAlign w:val="bottom"/>
          </w:tcPr>
          <w:p w:rsidR="004F7A5F" w:rsidRPr="006D428E" w:rsidRDefault="004F7A5F" w:rsidP="00C75FF5">
            <w:pPr>
              <w:framePr w:w="9586" w:wrap="notBeside" w:vAnchor="text" w:hAnchor="text" w:xAlign="center" w:y="1"/>
              <w:spacing w:line="280" w:lineRule="exact"/>
              <w:jc w:val="both"/>
              <w:rPr>
                <w:sz w:val="28"/>
                <w:szCs w:val="28"/>
              </w:rPr>
            </w:pPr>
            <w:r w:rsidRPr="006D428E">
              <w:rPr>
                <w:rStyle w:val="21"/>
                <w:rFonts w:eastAsia="Arial Unicode MS"/>
              </w:rPr>
              <w:t>+</w:t>
            </w:r>
          </w:p>
        </w:tc>
        <w:tc>
          <w:tcPr>
            <w:tcW w:w="3029" w:type="dxa"/>
            <w:tcBorders>
              <w:top w:val="single" w:sz="4" w:space="0" w:color="auto"/>
              <w:left w:val="single" w:sz="4" w:space="0" w:color="auto"/>
              <w:right w:val="single" w:sz="4" w:space="0" w:color="auto"/>
            </w:tcBorders>
            <w:shd w:val="clear" w:color="auto" w:fill="FFFFFF"/>
          </w:tcPr>
          <w:p w:rsidR="004F7A5F" w:rsidRPr="006D428E" w:rsidRDefault="004F7A5F" w:rsidP="00C75FF5">
            <w:pPr>
              <w:framePr w:w="9586" w:wrap="notBeside" w:vAnchor="text" w:hAnchor="text" w:xAlign="center" w:y="1"/>
              <w:jc w:val="both"/>
              <w:rPr>
                <w:sz w:val="28"/>
                <w:szCs w:val="28"/>
              </w:rPr>
            </w:pPr>
          </w:p>
        </w:tc>
      </w:tr>
      <w:tr w:rsidR="004F7A5F" w:rsidRPr="006D428E" w:rsidTr="00C75FF5">
        <w:trPr>
          <w:trHeight w:hRule="exact" w:val="658"/>
          <w:jc w:val="center"/>
        </w:trPr>
        <w:tc>
          <w:tcPr>
            <w:tcW w:w="3283" w:type="dxa"/>
            <w:tcBorders>
              <w:top w:val="single" w:sz="4" w:space="0" w:color="auto"/>
              <w:left w:val="single" w:sz="4" w:space="0" w:color="auto"/>
            </w:tcBorders>
            <w:shd w:val="clear" w:color="auto" w:fill="FFFFFF"/>
            <w:vAlign w:val="bottom"/>
          </w:tcPr>
          <w:p w:rsidR="004F7A5F" w:rsidRPr="006D428E" w:rsidRDefault="004F7A5F" w:rsidP="00C75FF5">
            <w:pPr>
              <w:framePr w:w="9586" w:wrap="notBeside" w:vAnchor="text" w:hAnchor="text" w:xAlign="center" w:y="1"/>
              <w:spacing w:after="120" w:line="280" w:lineRule="exact"/>
              <w:jc w:val="both"/>
              <w:rPr>
                <w:sz w:val="28"/>
                <w:szCs w:val="28"/>
              </w:rPr>
            </w:pPr>
            <w:r w:rsidRPr="006D428E">
              <w:rPr>
                <w:rStyle w:val="21"/>
                <w:rFonts w:eastAsia="Arial Unicode MS"/>
              </w:rPr>
              <w:t>Суб’єкти</w:t>
            </w:r>
          </w:p>
          <w:p w:rsidR="004F7A5F" w:rsidRPr="006D428E" w:rsidRDefault="004F7A5F" w:rsidP="00C75FF5">
            <w:pPr>
              <w:framePr w:w="9586" w:wrap="notBeside" w:vAnchor="text" w:hAnchor="text" w:xAlign="center" w:y="1"/>
              <w:spacing w:before="120" w:line="280" w:lineRule="exact"/>
              <w:jc w:val="both"/>
              <w:rPr>
                <w:sz w:val="28"/>
                <w:szCs w:val="28"/>
              </w:rPr>
            </w:pPr>
            <w:r w:rsidRPr="006D428E">
              <w:rPr>
                <w:rStyle w:val="21"/>
                <w:rFonts w:eastAsia="Arial Unicode MS"/>
              </w:rPr>
              <w:t>господарювання</w:t>
            </w:r>
          </w:p>
        </w:tc>
        <w:tc>
          <w:tcPr>
            <w:tcW w:w="3274" w:type="dxa"/>
            <w:tcBorders>
              <w:top w:val="single" w:sz="4" w:space="0" w:color="auto"/>
              <w:left w:val="single" w:sz="4" w:space="0" w:color="auto"/>
            </w:tcBorders>
            <w:shd w:val="clear" w:color="auto" w:fill="FFFFFF"/>
          </w:tcPr>
          <w:p w:rsidR="004F7A5F" w:rsidRPr="006D428E" w:rsidRDefault="004F7A5F" w:rsidP="00C75FF5">
            <w:pPr>
              <w:framePr w:w="9586" w:wrap="notBeside" w:vAnchor="text" w:hAnchor="text" w:xAlign="center" w:y="1"/>
              <w:spacing w:line="280" w:lineRule="exact"/>
              <w:jc w:val="both"/>
              <w:rPr>
                <w:sz w:val="28"/>
                <w:szCs w:val="28"/>
              </w:rPr>
            </w:pPr>
            <w:r w:rsidRPr="006D428E">
              <w:rPr>
                <w:rStyle w:val="21"/>
                <w:rFonts w:eastAsia="Arial Unicode MS"/>
              </w:rPr>
              <w:t>+</w:t>
            </w:r>
          </w:p>
        </w:tc>
        <w:tc>
          <w:tcPr>
            <w:tcW w:w="3029" w:type="dxa"/>
            <w:tcBorders>
              <w:top w:val="single" w:sz="4" w:space="0" w:color="auto"/>
              <w:left w:val="single" w:sz="4" w:space="0" w:color="auto"/>
              <w:right w:val="single" w:sz="4" w:space="0" w:color="auto"/>
            </w:tcBorders>
            <w:shd w:val="clear" w:color="auto" w:fill="FFFFFF"/>
          </w:tcPr>
          <w:p w:rsidR="004F7A5F" w:rsidRPr="006D428E" w:rsidRDefault="004F7A5F" w:rsidP="00C75FF5">
            <w:pPr>
              <w:framePr w:w="9586" w:wrap="notBeside" w:vAnchor="text" w:hAnchor="text" w:xAlign="center" w:y="1"/>
              <w:jc w:val="both"/>
              <w:rPr>
                <w:sz w:val="28"/>
                <w:szCs w:val="28"/>
              </w:rPr>
            </w:pPr>
          </w:p>
        </w:tc>
      </w:tr>
      <w:tr w:rsidR="004F7A5F" w:rsidRPr="006D428E" w:rsidTr="00C75FF5">
        <w:trPr>
          <w:trHeight w:hRule="exact" w:val="662"/>
          <w:jc w:val="center"/>
        </w:trPr>
        <w:tc>
          <w:tcPr>
            <w:tcW w:w="3283" w:type="dxa"/>
            <w:tcBorders>
              <w:top w:val="single" w:sz="4" w:space="0" w:color="auto"/>
              <w:left w:val="single" w:sz="4" w:space="0" w:color="auto"/>
              <w:bottom w:val="single" w:sz="4" w:space="0" w:color="auto"/>
            </w:tcBorders>
            <w:shd w:val="clear" w:color="auto" w:fill="FFFFFF"/>
            <w:vAlign w:val="bottom"/>
          </w:tcPr>
          <w:p w:rsidR="004F7A5F" w:rsidRPr="006D428E" w:rsidRDefault="004F7A5F" w:rsidP="00C75FF5">
            <w:pPr>
              <w:framePr w:w="9586" w:wrap="notBeside" w:vAnchor="text" w:hAnchor="text" w:xAlign="center" w:y="1"/>
              <w:spacing w:line="322" w:lineRule="exact"/>
              <w:jc w:val="both"/>
              <w:rPr>
                <w:sz w:val="28"/>
                <w:szCs w:val="28"/>
              </w:rPr>
            </w:pPr>
            <w:r w:rsidRPr="006D428E">
              <w:rPr>
                <w:rStyle w:val="21"/>
                <w:rFonts w:eastAsia="Arial Unicode MS"/>
              </w:rPr>
              <w:t>у тому числі суб’єкти малого підприємництва</w:t>
            </w:r>
          </w:p>
        </w:tc>
        <w:tc>
          <w:tcPr>
            <w:tcW w:w="3274" w:type="dxa"/>
            <w:tcBorders>
              <w:top w:val="single" w:sz="4" w:space="0" w:color="auto"/>
              <w:left w:val="single" w:sz="4" w:space="0" w:color="auto"/>
              <w:bottom w:val="single" w:sz="4" w:space="0" w:color="auto"/>
            </w:tcBorders>
            <w:shd w:val="clear" w:color="auto" w:fill="FFFFFF"/>
          </w:tcPr>
          <w:p w:rsidR="004F7A5F" w:rsidRPr="006D428E" w:rsidRDefault="004F7A5F" w:rsidP="00C75FF5">
            <w:pPr>
              <w:framePr w:w="9586" w:wrap="notBeside" w:vAnchor="text" w:hAnchor="text" w:xAlign="center" w:y="1"/>
              <w:spacing w:line="280" w:lineRule="exact"/>
              <w:jc w:val="both"/>
              <w:rPr>
                <w:sz w:val="28"/>
                <w:szCs w:val="28"/>
              </w:rPr>
            </w:pPr>
            <w:r w:rsidRPr="006D428E">
              <w:rPr>
                <w:rStyle w:val="21"/>
                <w:rFonts w:eastAsia="Arial Unicode MS"/>
              </w:rPr>
              <w:t>+</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4F7A5F" w:rsidRPr="006D428E" w:rsidRDefault="004F7A5F" w:rsidP="00C75FF5">
            <w:pPr>
              <w:framePr w:w="9586" w:wrap="notBeside" w:vAnchor="text" w:hAnchor="text" w:xAlign="center" w:y="1"/>
              <w:jc w:val="both"/>
              <w:rPr>
                <w:sz w:val="28"/>
                <w:szCs w:val="28"/>
              </w:rPr>
            </w:pPr>
          </w:p>
        </w:tc>
      </w:tr>
    </w:tbl>
    <w:p w:rsidR="004F7A5F" w:rsidRPr="004F7A5F" w:rsidRDefault="004F7A5F" w:rsidP="004F7A5F">
      <w:pPr>
        <w:pStyle w:val="af7"/>
        <w:framePr w:w="9586" w:wrap="notBeside" w:vAnchor="text" w:hAnchor="text" w:xAlign="center" w:y="1"/>
        <w:shd w:val="clear" w:color="auto" w:fill="auto"/>
        <w:ind w:firstLine="0"/>
        <w:jc w:val="both"/>
        <w:rPr>
          <w:sz w:val="28"/>
          <w:szCs w:val="28"/>
          <w:lang w:val="ru-RU"/>
        </w:rPr>
      </w:pPr>
      <w:r w:rsidRPr="004F7A5F">
        <w:rPr>
          <w:sz w:val="28"/>
          <w:szCs w:val="28"/>
          <w:lang w:val="ru-RU"/>
        </w:rPr>
        <w:t>* Питому вагу суб’єктів малого підприємництва зазначити неможливо, оскільки проблема однаково впливає на всіх суб’єктів господарювання незалежно від рівня доходу.</w:t>
      </w:r>
    </w:p>
    <w:p w:rsidR="00A873B0" w:rsidRDefault="004F7A5F" w:rsidP="004F7A5F">
      <w:pPr>
        <w:spacing w:before="309" w:line="317" w:lineRule="exact"/>
        <w:ind w:firstLine="600"/>
        <w:jc w:val="both"/>
        <w:rPr>
          <w:sz w:val="28"/>
          <w:szCs w:val="28"/>
        </w:rPr>
      </w:pPr>
      <w:r w:rsidRPr="006D428E">
        <w:rPr>
          <w:sz w:val="28"/>
          <w:szCs w:val="28"/>
        </w:rPr>
        <w:t>Врегулювання зазначеного питання не може бути здійснено за допомогою:</w:t>
      </w:r>
    </w:p>
    <w:p w:rsidR="004F7A5F" w:rsidRPr="006D428E" w:rsidRDefault="004F7A5F" w:rsidP="004F7A5F">
      <w:pPr>
        <w:spacing w:before="309" w:line="317" w:lineRule="exact"/>
        <w:ind w:firstLine="600"/>
        <w:jc w:val="both"/>
        <w:rPr>
          <w:sz w:val="28"/>
          <w:szCs w:val="28"/>
        </w:rPr>
      </w:pPr>
      <w:r w:rsidRPr="006D428E">
        <w:rPr>
          <w:sz w:val="28"/>
          <w:szCs w:val="28"/>
        </w:rPr>
        <w:t>ринкових механізмів, оскільки зазначене питання регулюється виключно нормативно-правовими актами;</w:t>
      </w:r>
    </w:p>
    <w:p w:rsidR="004F7A5F" w:rsidRDefault="004F7A5F" w:rsidP="004F7A5F">
      <w:pPr>
        <w:spacing w:line="317" w:lineRule="exact"/>
        <w:ind w:firstLine="600"/>
        <w:jc w:val="both"/>
        <w:rPr>
          <w:sz w:val="28"/>
          <w:szCs w:val="28"/>
        </w:rPr>
      </w:pPr>
      <w:r w:rsidRPr="006D428E">
        <w:rPr>
          <w:sz w:val="28"/>
          <w:szCs w:val="28"/>
        </w:rPr>
        <w:t xml:space="preserve">чинного регуляторного акта, оскільки на сьогодні акт, який регулює відповідне питання, </w:t>
      </w:r>
      <w:r w:rsidR="00991745">
        <w:rPr>
          <w:sz w:val="28"/>
          <w:szCs w:val="28"/>
        </w:rPr>
        <w:t>не відповідає актам вищої юридичної сили</w:t>
      </w:r>
      <w:r w:rsidRPr="006D428E">
        <w:rPr>
          <w:sz w:val="28"/>
          <w:szCs w:val="28"/>
        </w:rPr>
        <w:t>.</w:t>
      </w:r>
    </w:p>
    <w:p w:rsidR="00763D85" w:rsidRPr="006D428E" w:rsidRDefault="00763D85" w:rsidP="004F7A5F">
      <w:pPr>
        <w:spacing w:line="317" w:lineRule="exact"/>
        <w:ind w:firstLine="600"/>
        <w:jc w:val="both"/>
        <w:rPr>
          <w:sz w:val="28"/>
          <w:szCs w:val="28"/>
        </w:rPr>
      </w:pPr>
    </w:p>
    <w:p w:rsidR="004F7A5F" w:rsidRPr="004F7A5F" w:rsidRDefault="004F7A5F" w:rsidP="007B5A56">
      <w:pPr>
        <w:pStyle w:val="32"/>
        <w:keepNext/>
        <w:keepLines/>
        <w:shd w:val="clear" w:color="auto" w:fill="auto"/>
        <w:spacing w:before="0" w:line="322" w:lineRule="exact"/>
        <w:ind w:firstLine="0"/>
        <w:jc w:val="left"/>
        <w:rPr>
          <w:lang w:val="ru-RU"/>
        </w:rPr>
      </w:pPr>
      <w:r w:rsidRPr="006D428E">
        <w:lastRenderedPageBreak/>
        <w:t>II</w:t>
      </w:r>
      <w:r w:rsidRPr="004F7A5F">
        <w:rPr>
          <w:lang w:val="ru-RU"/>
        </w:rPr>
        <w:t xml:space="preserve">. </w:t>
      </w:r>
      <w:bookmarkStart w:id="1" w:name="bookmark8"/>
      <w:r w:rsidRPr="004F7A5F">
        <w:rPr>
          <w:lang w:val="ru-RU"/>
        </w:rPr>
        <w:t>Цілі державного регулювання</w:t>
      </w:r>
      <w:bookmarkEnd w:id="1"/>
    </w:p>
    <w:p w:rsidR="00991745" w:rsidRDefault="00991745" w:rsidP="00991745">
      <w:pPr>
        <w:widowControl w:val="0"/>
        <w:shd w:val="clear" w:color="auto" w:fill="FFFFFF"/>
        <w:ind w:firstLine="567"/>
        <w:jc w:val="both"/>
        <w:rPr>
          <w:rFonts w:eastAsia="Calibri"/>
          <w:bCs/>
          <w:kern w:val="36"/>
          <w:sz w:val="28"/>
          <w:szCs w:val="28"/>
          <w:lang w:eastAsia="en-US"/>
        </w:rPr>
      </w:pPr>
    </w:p>
    <w:p w:rsidR="00991745" w:rsidRDefault="00991745" w:rsidP="00991745">
      <w:pPr>
        <w:widowControl w:val="0"/>
        <w:shd w:val="clear" w:color="auto" w:fill="FFFFFF"/>
        <w:ind w:firstLine="567"/>
        <w:jc w:val="both"/>
        <w:rPr>
          <w:color w:val="000000"/>
          <w:sz w:val="28"/>
          <w:szCs w:val="28"/>
          <w:lang w:eastAsia="en-US"/>
        </w:rPr>
      </w:pPr>
      <w:r w:rsidRPr="00991745">
        <w:rPr>
          <w:rFonts w:eastAsia="Calibri"/>
          <w:bCs/>
          <w:kern w:val="36"/>
          <w:sz w:val="28"/>
          <w:szCs w:val="28"/>
          <w:lang w:eastAsia="en-US"/>
        </w:rPr>
        <w:t xml:space="preserve">Проєкт постанови Кабінету Міністрів України </w:t>
      </w:r>
      <w:r w:rsidRPr="00991745">
        <w:rPr>
          <w:bCs/>
          <w:color w:val="000000"/>
          <w:sz w:val="28"/>
          <w:szCs w:val="28"/>
          <w:lang w:eastAsia="en-US"/>
        </w:rPr>
        <w:t>«</w:t>
      </w:r>
      <w:r w:rsidRPr="00991745">
        <w:rPr>
          <w:rFonts w:eastAsia="Calibri"/>
          <w:sz w:val="28"/>
          <w:szCs w:val="28"/>
          <w:lang w:eastAsia="uk-UA"/>
        </w:rPr>
        <w:t>Про внесення змін до вимог щодо проведення контролю якості робіт з нового будівництва, реконструкції та капітального ремонту автомобільних доріг загального користування</w:t>
      </w:r>
      <w:r w:rsidRPr="00991745">
        <w:rPr>
          <w:bCs/>
          <w:color w:val="000000"/>
          <w:sz w:val="28"/>
          <w:szCs w:val="28"/>
          <w:lang w:eastAsia="en-US"/>
        </w:rPr>
        <w:t>»</w:t>
      </w:r>
      <w:r w:rsidRPr="00991745">
        <w:rPr>
          <w:rFonts w:eastAsia="Calibri"/>
          <w:bCs/>
          <w:kern w:val="36"/>
          <w:sz w:val="28"/>
          <w:szCs w:val="28"/>
          <w:lang w:eastAsia="en-US"/>
        </w:rPr>
        <w:t xml:space="preserve"> (далі – проєкт акта) розроблено з метою</w:t>
      </w:r>
      <w:r w:rsidRPr="00991745">
        <w:rPr>
          <w:color w:val="000000"/>
          <w:sz w:val="28"/>
          <w:szCs w:val="28"/>
          <w:lang w:eastAsia="en-US"/>
        </w:rPr>
        <w:t xml:space="preserve"> приведення вимог щодо проведення контролю якості робіт з нового будівництва, реконструкції та капітального ремонту автомобільних доріг загального користування, затверджених постановою Кабінету Міністрів України від 28</w:t>
      </w:r>
      <w:r w:rsidR="007B5A56">
        <w:rPr>
          <w:color w:val="000000"/>
          <w:sz w:val="28"/>
          <w:szCs w:val="28"/>
          <w:lang w:eastAsia="en-US"/>
        </w:rPr>
        <w:t xml:space="preserve"> грудня </w:t>
      </w:r>
      <w:r w:rsidRPr="00991745">
        <w:rPr>
          <w:color w:val="000000"/>
          <w:sz w:val="28"/>
          <w:szCs w:val="28"/>
          <w:lang w:eastAsia="en-US"/>
        </w:rPr>
        <w:t>2016</w:t>
      </w:r>
      <w:r w:rsidR="007B5A56">
        <w:rPr>
          <w:color w:val="000000"/>
          <w:sz w:val="28"/>
          <w:szCs w:val="28"/>
          <w:lang w:eastAsia="en-US"/>
        </w:rPr>
        <w:t xml:space="preserve"> р.</w:t>
      </w:r>
      <w:r w:rsidRPr="00991745">
        <w:rPr>
          <w:color w:val="000000"/>
          <w:sz w:val="28"/>
          <w:szCs w:val="28"/>
          <w:lang w:eastAsia="en-US"/>
        </w:rPr>
        <w:t xml:space="preserve"> № 1065 (далі - Вимоги), у відповідність до Закон</w:t>
      </w:r>
      <w:r w:rsidR="001B155D">
        <w:rPr>
          <w:color w:val="000000"/>
          <w:sz w:val="28"/>
          <w:szCs w:val="28"/>
          <w:lang w:eastAsia="en-US"/>
        </w:rPr>
        <w:t>у</w:t>
      </w:r>
      <w:r w:rsidRPr="00991745">
        <w:rPr>
          <w:color w:val="000000"/>
          <w:sz w:val="28"/>
          <w:szCs w:val="28"/>
          <w:lang w:eastAsia="en-US"/>
        </w:rPr>
        <w:t xml:space="preserve"> 199, а також з метою уточнення функцій інженера-консультанта, зважаючи на включення до ДК 003:2010 нової професії «інженер-консультант (будівництво)» (на</w:t>
      </w:r>
      <w:r w:rsidR="007B5A56">
        <w:rPr>
          <w:color w:val="000000"/>
          <w:sz w:val="28"/>
          <w:szCs w:val="28"/>
          <w:lang w:eastAsia="en-US"/>
        </w:rPr>
        <w:t xml:space="preserve">каз Мінекономрозвитку від 26 жовтня </w:t>
      </w:r>
      <w:r w:rsidRPr="00991745">
        <w:rPr>
          <w:color w:val="000000"/>
          <w:sz w:val="28"/>
          <w:szCs w:val="28"/>
          <w:lang w:eastAsia="en-US"/>
        </w:rPr>
        <w:t>2017</w:t>
      </w:r>
      <w:r w:rsidR="007B5A56">
        <w:rPr>
          <w:color w:val="000000"/>
          <w:sz w:val="28"/>
          <w:szCs w:val="28"/>
          <w:lang w:eastAsia="en-US"/>
        </w:rPr>
        <w:t xml:space="preserve"> р.</w:t>
      </w:r>
      <w:r w:rsidRPr="00991745">
        <w:rPr>
          <w:color w:val="000000"/>
          <w:sz w:val="28"/>
          <w:szCs w:val="28"/>
          <w:lang w:eastAsia="en-US"/>
        </w:rPr>
        <w:t xml:space="preserve"> №</w:t>
      </w:r>
      <w:r w:rsidR="007B5A56">
        <w:rPr>
          <w:color w:val="000000"/>
          <w:sz w:val="28"/>
          <w:szCs w:val="28"/>
          <w:lang w:eastAsia="en-US"/>
        </w:rPr>
        <w:t> </w:t>
      </w:r>
      <w:r w:rsidRPr="00991745">
        <w:rPr>
          <w:color w:val="000000"/>
          <w:sz w:val="28"/>
          <w:szCs w:val="28"/>
          <w:lang w:eastAsia="en-US"/>
        </w:rPr>
        <w:t>1542), та визначення в Довіднику кваліфікаційних характеристик професій працівників (Випуск 64 «Будівельні, монтажні та ремонтно-будівельні роботи») кваліфікаційних характеристик до цієї професі</w:t>
      </w:r>
      <w:r w:rsidR="007B5A56">
        <w:rPr>
          <w:color w:val="000000"/>
          <w:sz w:val="28"/>
          <w:szCs w:val="28"/>
          <w:lang w:eastAsia="en-US"/>
        </w:rPr>
        <w:t xml:space="preserve">ї (наказ Мінрегіону від 08 серпня </w:t>
      </w:r>
      <w:r w:rsidRPr="00991745">
        <w:rPr>
          <w:color w:val="000000"/>
          <w:sz w:val="28"/>
          <w:szCs w:val="28"/>
          <w:lang w:eastAsia="en-US"/>
        </w:rPr>
        <w:t>2017</w:t>
      </w:r>
      <w:r w:rsidR="007B5A56">
        <w:rPr>
          <w:color w:val="000000"/>
          <w:sz w:val="28"/>
          <w:szCs w:val="28"/>
          <w:lang w:eastAsia="en-US"/>
        </w:rPr>
        <w:t xml:space="preserve"> р.</w:t>
      </w:r>
      <w:r w:rsidRPr="00991745">
        <w:rPr>
          <w:color w:val="000000"/>
          <w:sz w:val="28"/>
          <w:szCs w:val="28"/>
          <w:lang w:eastAsia="en-US"/>
        </w:rPr>
        <w:t xml:space="preserve"> № 192). </w:t>
      </w:r>
    </w:p>
    <w:p w:rsidR="004F7A5F" w:rsidRPr="006D428E" w:rsidRDefault="004F7A5F" w:rsidP="00991745">
      <w:pPr>
        <w:widowControl w:val="0"/>
        <w:tabs>
          <w:tab w:val="left" w:pos="932"/>
        </w:tabs>
        <w:spacing w:line="322" w:lineRule="exact"/>
        <w:jc w:val="both"/>
        <w:rPr>
          <w:sz w:val="28"/>
          <w:szCs w:val="28"/>
        </w:rPr>
      </w:pPr>
    </w:p>
    <w:p w:rsidR="004F7A5F" w:rsidRDefault="004F7A5F" w:rsidP="007B5A56">
      <w:pPr>
        <w:pStyle w:val="32"/>
        <w:keepNext/>
        <w:keepLines/>
        <w:shd w:val="clear" w:color="auto" w:fill="auto"/>
        <w:spacing w:before="0" w:line="322" w:lineRule="exact"/>
        <w:ind w:firstLine="0"/>
        <w:jc w:val="left"/>
        <w:rPr>
          <w:lang w:val="ru-RU"/>
        </w:rPr>
      </w:pPr>
      <w:r w:rsidRPr="006D428E">
        <w:t>III</w:t>
      </w:r>
      <w:r w:rsidRPr="004F7A5F">
        <w:rPr>
          <w:lang w:val="ru-RU"/>
        </w:rPr>
        <w:t>. Визначення та оцінка альтернативних способів досягнення цілей</w:t>
      </w:r>
    </w:p>
    <w:p w:rsidR="004F7A5F" w:rsidRPr="00991745" w:rsidRDefault="004F7A5F" w:rsidP="004F7A5F">
      <w:pPr>
        <w:pStyle w:val="32"/>
        <w:keepNext/>
        <w:keepLines/>
        <w:shd w:val="clear" w:color="auto" w:fill="auto"/>
        <w:spacing w:before="0" w:line="322" w:lineRule="exact"/>
        <w:ind w:firstLine="0"/>
        <w:jc w:val="center"/>
        <w:rPr>
          <w:lang w:val="ru-RU"/>
        </w:rPr>
      </w:pPr>
    </w:p>
    <w:p w:rsidR="004F7A5F" w:rsidRPr="00991745" w:rsidRDefault="004F7A5F" w:rsidP="00991745">
      <w:pPr>
        <w:pStyle w:val="af4"/>
        <w:numPr>
          <w:ilvl w:val="0"/>
          <w:numId w:val="20"/>
        </w:numPr>
        <w:spacing w:line="280" w:lineRule="exact"/>
        <w:jc w:val="both"/>
        <w:rPr>
          <w:rFonts w:ascii="Times New Roman" w:hAnsi="Times New Roman" w:cs="Times New Roman"/>
          <w:sz w:val="28"/>
          <w:szCs w:val="28"/>
        </w:rPr>
      </w:pPr>
      <w:r w:rsidRPr="00991745">
        <w:rPr>
          <w:rFonts w:ascii="Times New Roman" w:hAnsi="Times New Roman" w:cs="Times New Roman"/>
          <w:sz w:val="28"/>
          <w:szCs w:val="28"/>
        </w:rPr>
        <w:t>Альтернативні способи досягнення цілей державного регулювання:</w:t>
      </w:r>
    </w:p>
    <w:p w:rsidR="00991745" w:rsidRPr="00991745" w:rsidRDefault="00991745" w:rsidP="00991745">
      <w:pPr>
        <w:pStyle w:val="af4"/>
        <w:spacing w:line="280" w:lineRule="exact"/>
        <w:jc w:val="both"/>
        <w:rPr>
          <w:sz w:val="28"/>
          <w:szCs w:val="28"/>
        </w:rPr>
      </w:pPr>
    </w:p>
    <w:tbl>
      <w:tblPr>
        <w:tblOverlap w:val="neve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7706"/>
      </w:tblGrid>
      <w:tr w:rsidR="004F7A5F" w:rsidRPr="006D428E" w:rsidTr="007B5A56">
        <w:trPr>
          <w:trHeight w:hRule="exact" w:val="734"/>
          <w:jc w:val="center"/>
        </w:trPr>
        <w:tc>
          <w:tcPr>
            <w:tcW w:w="1980" w:type="dxa"/>
            <w:shd w:val="clear" w:color="auto" w:fill="FFFFFF"/>
            <w:vAlign w:val="bottom"/>
          </w:tcPr>
          <w:p w:rsidR="004F7A5F" w:rsidRPr="00763D85" w:rsidRDefault="004F7A5F" w:rsidP="00763D85">
            <w:pPr>
              <w:spacing w:after="120"/>
              <w:jc w:val="both"/>
              <w:rPr>
                <w:sz w:val="28"/>
                <w:szCs w:val="28"/>
              </w:rPr>
            </w:pPr>
            <w:r w:rsidRPr="00763D85">
              <w:rPr>
                <w:rStyle w:val="210pt"/>
                <w:rFonts w:eastAsia="Arial Unicode MS"/>
                <w:sz w:val="28"/>
                <w:szCs w:val="28"/>
              </w:rPr>
              <w:t>Вид</w:t>
            </w:r>
            <w:r w:rsidR="00763D85">
              <w:rPr>
                <w:rStyle w:val="210pt"/>
                <w:rFonts w:eastAsia="Arial Unicode MS"/>
                <w:sz w:val="28"/>
                <w:szCs w:val="28"/>
              </w:rPr>
              <w:t xml:space="preserve"> </w:t>
            </w:r>
            <w:r w:rsidRPr="00763D85">
              <w:rPr>
                <w:rStyle w:val="210pt"/>
                <w:rFonts w:eastAsia="Arial Unicode MS"/>
                <w:sz w:val="28"/>
                <w:szCs w:val="28"/>
              </w:rPr>
              <w:t>альтернативи</w:t>
            </w:r>
          </w:p>
        </w:tc>
        <w:tc>
          <w:tcPr>
            <w:tcW w:w="7706" w:type="dxa"/>
            <w:shd w:val="clear" w:color="auto" w:fill="FFFFFF"/>
            <w:vAlign w:val="center"/>
          </w:tcPr>
          <w:p w:rsidR="004F7A5F" w:rsidRPr="00763D85" w:rsidRDefault="004F7A5F" w:rsidP="00763D85">
            <w:pPr>
              <w:ind w:left="2563"/>
              <w:jc w:val="both"/>
              <w:rPr>
                <w:sz w:val="28"/>
                <w:szCs w:val="28"/>
              </w:rPr>
            </w:pPr>
            <w:r w:rsidRPr="00763D85">
              <w:rPr>
                <w:rStyle w:val="210pt"/>
                <w:rFonts w:eastAsia="Arial Unicode MS"/>
                <w:sz w:val="28"/>
                <w:szCs w:val="28"/>
              </w:rPr>
              <w:t>Опис альтернативи</w:t>
            </w:r>
          </w:p>
        </w:tc>
      </w:tr>
      <w:tr w:rsidR="004F7A5F" w:rsidRPr="006D428E" w:rsidTr="007B5A56">
        <w:trPr>
          <w:trHeight w:hRule="exact" w:val="2736"/>
          <w:jc w:val="center"/>
        </w:trPr>
        <w:tc>
          <w:tcPr>
            <w:tcW w:w="1980" w:type="dxa"/>
            <w:shd w:val="clear" w:color="auto" w:fill="FFFFFF"/>
            <w:vAlign w:val="center"/>
          </w:tcPr>
          <w:p w:rsidR="004F7A5F" w:rsidRPr="00763D85" w:rsidRDefault="004F7A5F" w:rsidP="007B5A56">
            <w:pPr>
              <w:ind w:right="132"/>
              <w:jc w:val="both"/>
              <w:rPr>
                <w:sz w:val="28"/>
                <w:szCs w:val="28"/>
              </w:rPr>
            </w:pPr>
            <w:r w:rsidRPr="00763D85">
              <w:rPr>
                <w:rStyle w:val="210pt"/>
                <w:rFonts w:eastAsia="Arial Unicode MS"/>
                <w:sz w:val="28"/>
                <w:szCs w:val="28"/>
              </w:rPr>
              <w:t>Альтернатива 1</w:t>
            </w:r>
            <w:r w:rsidR="007B5A56">
              <w:rPr>
                <w:rStyle w:val="210pt"/>
                <w:rFonts w:eastAsia="Arial Unicode MS"/>
                <w:sz w:val="28"/>
                <w:szCs w:val="28"/>
              </w:rPr>
              <w:t xml:space="preserve"> – прийняття регуляторного акта</w:t>
            </w:r>
          </w:p>
        </w:tc>
        <w:tc>
          <w:tcPr>
            <w:tcW w:w="7706" w:type="dxa"/>
            <w:shd w:val="clear" w:color="auto" w:fill="FFFFFF"/>
          </w:tcPr>
          <w:p w:rsidR="004F7A5F" w:rsidRPr="00763D85" w:rsidRDefault="004F7A5F" w:rsidP="007B5A56">
            <w:pPr>
              <w:jc w:val="both"/>
              <w:rPr>
                <w:sz w:val="28"/>
                <w:szCs w:val="28"/>
              </w:rPr>
            </w:pPr>
            <w:r w:rsidRPr="00763D85">
              <w:rPr>
                <w:rStyle w:val="210pt"/>
                <w:rFonts w:eastAsia="Arial Unicode MS"/>
                <w:sz w:val="28"/>
                <w:szCs w:val="28"/>
              </w:rPr>
              <w:t>Прийнят</w:t>
            </w:r>
            <w:r w:rsidR="007B5A56">
              <w:rPr>
                <w:rStyle w:val="210pt"/>
                <w:rFonts w:eastAsia="Arial Unicode MS"/>
                <w:sz w:val="28"/>
                <w:szCs w:val="28"/>
              </w:rPr>
              <w:t>тя</w:t>
            </w:r>
            <w:r w:rsidRPr="00763D85">
              <w:rPr>
                <w:rStyle w:val="210pt"/>
                <w:rFonts w:eastAsia="Arial Unicode MS"/>
                <w:sz w:val="28"/>
                <w:szCs w:val="28"/>
              </w:rPr>
              <w:t xml:space="preserve"> </w:t>
            </w:r>
            <w:r w:rsidR="00A64B8D">
              <w:rPr>
                <w:sz w:val="28"/>
                <w:szCs w:val="28"/>
              </w:rPr>
              <w:t>постанов</w:t>
            </w:r>
            <w:r w:rsidR="007B5A56">
              <w:rPr>
                <w:sz w:val="28"/>
                <w:szCs w:val="28"/>
              </w:rPr>
              <w:t>и</w:t>
            </w:r>
            <w:r w:rsidR="00A64B8D" w:rsidRPr="00A64B8D">
              <w:rPr>
                <w:sz w:val="28"/>
                <w:szCs w:val="28"/>
              </w:rPr>
              <w:t xml:space="preserve"> Кабінету Міністрів України «Про внесення змін до вимог щодо проведення контролю якості робіт з нового будівництва, реконструкції та капітального ремонту автомобільних доріг загального користування»</w:t>
            </w:r>
            <w:r w:rsidR="00A64B8D">
              <w:rPr>
                <w:sz w:val="28"/>
                <w:szCs w:val="28"/>
              </w:rPr>
              <w:t xml:space="preserve">, </w:t>
            </w:r>
            <w:r w:rsidR="007B5A56">
              <w:rPr>
                <w:sz w:val="28"/>
                <w:szCs w:val="28"/>
              </w:rPr>
              <w:t>дасть змогу</w:t>
            </w:r>
            <w:r w:rsidR="00A64B8D">
              <w:rPr>
                <w:sz w:val="28"/>
                <w:szCs w:val="28"/>
              </w:rPr>
              <w:t xml:space="preserve"> розмежувати</w:t>
            </w:r>
            <w:r w:rsidR="00A64B8D" w:rsidRPr="00A64B8D">
              <w:rPr>
                <w:sz w:val="28"/>
                <w:szCs w:val="28"/>
              </w:rPr>
              <w:t xml:space="preserve"> діяльн</w:t>
            </w:r>
            <w:r w:rsidR="00A64B8D">
              <w:rPr>
                <w:sz w:val="28"/>
                <w:szCs w:val="28"/>
              </w:rPr>
              <w:t>ість</w:t>
            </w:r>
            <w:r w:rsidR="00A64B8D" w:rsidRPr="00A64B8D">
              <w:rPr>
                <w:sz w:val="28"/>
                <w:szCs w:val="28"/>
              </w:rPr>
              <w:t xml:space="preserve"> з надання інженерно-консультаційних послуг та здійсненням тех</w:t>
            </w:r>
            <w:r w:rsidR="00A64B8D">
              <w:rPr>
                <w:sz w:val="28"/>
                <w:szCs w:val="28"/>
              </w:rPr>
              <w:t>нічного нагляду за будівництвом</w:t>
            </w:r>
          </w:p>
        </w:tc>
      </w:tr>
      <w:tr w:rsidR="004F7A5F" w:rsidRPr="006D428E" w:rsidTr="007B5A56">
        <w:trPr>
          <w:trHeight w:hRule="exact" w:val="3332"/>
          <w:jc w:val="center"/>
        </w:trPr>
        <w:tc>
          <w:tcPr>
            <w:tcW w:w="1980" w:type="dxa"/>
            <w:shd w:val="clear" w:color="auto" w:fill="FFFFFF"/>
            <w:vAlign w:val="center"/>
          </w:tcPr>
          <w:p w:rsidR="004F7A5F" w:rsidRPr="00763D85" w:rsidRDefault="004F7A5F" w:rsidP="007B5A56">
            <w:pPr>
              <w:ind w:right="132"/>
              <w:jc w:val="both"/>
              <w:rPr>
                <w:sz w:val="28"/>
                <w:szCs w:val="28"/>
              </w:rPr>
            </w:pPr>
            <w:r w:rsidRPr="00763D85">
              <w:rPr>
                <w:rStyle w:val="210pt"/>
                <w:rFonts w:eastAsia="Arial Unicode MS"/>
                <w:sz w:val="28"/>
                <w:szCs w:val="28"/>
              </w:rPr>
              <w:t>Альтернатива 2</w:t>
            </w:r>
            <w:r w:rsidR="007B5A56">
              <w:rPr>
                <w:rStyle w:val="210pt"/>
                <w:rFonts w:eastAsia="Arial Unicode MS"/>
                <w:sz w:val="28"/>
                <w:szCs w:val="28"/>
              </w:rPr>
              <w:t xml:space="preserve"> – збереження чинного регулювання</w:t>
            </w:r>
          </w:p>
        </w:tc>
        <w:tc>
          <w:tcPr>
            <w:tcW w:w="7706" w:type="dxa"/>
            <w:shd w:val="clear" w:color="auto" w:fill="FFFFFF"/>
          </w:tcPr>
          <w:p w:rsidR="004F7A5F" w:rsidRPr="0048589D" w:rsidRDefault="007B5A56" w:rsidP="007B5A56">
            <w:pPr>
              <w:jc w:val="both"/>
              <w:rPr>
                <w:sz w:val="28"/>
                <w:szCs w:val="28"/>
              </w:rPr>
            </w:pPr>
            <w:r>
              <w:rPr>
                <w:rStyle w:val="210pt"/>
                <w:rFonts w:eastAsia="Arial Unicode MS"/>
                <w:sz w:val="28"/>
                <w:szCs w:val="28"/>
              </w:rPr>
              <w:t>Н</w:t>
            </w:r>
            <w:r w:rsidR="004F7A5F" w:rsidRPr="0048589D">
              <w:rPr>
                <w:rStyle w:val="210pt"/>
                <w:rFonts w:eastAsia="Arial Unicode MS"/>
                <w:sz w:val="28"/>
                <w:szCs w:val="28"/>
              </w:rPr>
              <w:t>еприйняття</w:t>
            </w:r>
            <w:r w:rsidR="00281497" w:rsidRPr="0048589D">
              <w:rPr>
                <w:rStyle w:val="210pt"/>
                <w:rFonts w:eastAsia="Arial Unicode MS"/>
                <w:sz w:val="28"/>
                <w:szCs w:val="28"/>
              </w:rPr>
              <w:t xml:space="preserve"> </w:t>
            </w:r>
            <w:r w:rsidR="004F7A5F" w:rsidRPr="0048589D">
              <w:rPr>
                <w:sz w:val="28"/>
                <w:szCs w:val="28"/>
              </w:rPr>
              <w:t xml:space="preserve"> </w:t>
            </w:r>
            <w:r w:rsidR="006B164E" w:rsidRPr="0048589D">
              <w:rPr>
                <w:sz w:val="28"/>
                <w:szCs w:val="28"/>
              </w:rPr>
              <w:t>постанов</w:t>
            </w:r>
            <w:r w:rsidR="001B155D" w:rsidRPr="0048589D">
              <w:rPr>
                <w:sz w:val="28"/>
                <w:szCs w:val="28"/>
              </w:rPr>
              <w:t>и</w:t>
            </w:r>
            <w:r w:rsidR="006B164E" w:rsidRPr="0048589D">
              <w:rPr>
                <w:sz w:val="28"/>
                <w:szCs w:val="28"/>
              </w:rPr>
              <w:t xml:space="preserve"> Кабінету Міністрів України </w:t>
            </w:r>
            <w:r>
              <w:rPr>
                <w:sz w:val="28"/>
                <w:szCs w:val="28"/>
              </w:rPr>
              <w:br/>
            </w:r>
            <w:r w:rsidR="006B164E" w:rsidRPr="0048589D">
              <w:rPr>
                <w:sz w:val="28"/>
                <w:szCs w:val="28"/>
              </w:rPr>
              <w:t>«Про внесення змін до вимог щодо проведення контролю якості робіт з нового будівництва, реконструкції та капітального ремонту автомобільних доріг загального користування»</w:t>
            </w:r>
            <w:r w:rsidR="001B155D" w:rsidRPr="0048589D">
              <w:rPr>
                <w:sz w:val="28"/>
                <w:szCs w:val="28"/>
              </w:rPr>
              <w:t xml:space="preserve">, що не дозволить усунути розбіжності </w:t>
            </w:r>
            <w:r w:rsidR="009945ED" w:rsidRPr="0048589D">
              <w:rPr>
                <w:sz w:val="28"/>
                <w:szCs w:val="28"/>
                <w:lang w:eastAsia="uk-UA"/>
              </w:rPr>
              <w:t>вимог щодо проведення контролю якості робіт з нового будівництва, реконструкції та капітального ремонту автомобільних доріг загального користування</w:t>
            </w:r>
            <w:r w:rsidR="0048589D" w:rsidRPr="0048589D">
              <w:rPr>
                <w:sz w:val="28"/>
                <w:szCs w:val="28"/>
                <w:lang w:eastAsia="uk-UA"/>
              </w:rPr>
              <w:t>, затверджених постановою Кабінету Міністрів України від 28</w:t>
            </w:r>
            <w:r>
              <w:rPr>
                <w:sz w:val="28"/>
                <w:szCs w:val="28"/>
                <w:lang w:eastAsia="uk-UA"/>
              </w:rPr>
              <w:t xml:space="preserve"> грудня </w:t>
            </w:r>
            <w:r w:rsidR="0048589D" w:rsidRPr="0048589D">
              <w:rPr>
                <w:sz w:val="28"/>
                <w:szCs w:val="28"/>
                <w:lang w:eastAsia="uk-UA"/>
              </w:rPr>
              <w:t>2016</w:t>
            </w:r>
            <w:r>
              <w:rPr>
                <w:sz w:val="28"/>
                <w:szCs w:val="28"/>
                <w:lang w:eastAsia="uk-UA"/>
              </w:rPr>
              <w:t xml:space="preserve"> р. № 1065</w:t>
            </w:r>
            <w:r w:rsidR="0048589D" w:rsidRPr="0048589D">
              <w:rPr>
                <w:sz w:val="28"/>
                <w:szCs w:val="28"/>
                <w:lang w:eastAsia="uk-UA"/>
              </w:rPr>
              <w:t>, до прийнятих нормативно-правових актів</w:t>
            </w:r>
            <w:r w:rsidR="0048589D">
              <w:rPr>
                <w:sz w:val="28"/>
                <w:szCs w:val="28"/>
                <w:lang w:eastAsia="uk-UA"/>
              </w:rPr>
              <w:t>.</w:t>
            </w:r>
          </w:p>
        </w:tc>
      </w:tr>
    </w:tbl>
    <w:p w:rsidR="004F7A5F" w:rsidRDefault="004F7A5F" w:rsidP="00281F72">
      <w:pPr>
        <w:spacing w:line="322" w:lineRule="exact"/>
        <w:ind w:firstLine="709"/>
        <w:jc w:val="both"/>
        <w:rPr>
          <w:sz w:val="28"/>
          <w:szCs w:val="28"/>
        </w:rPr>
      </w:pPr>
      <w:r w:rsidRPr="006D428E">
        <w:rPr>
          <w:sz w:val="28"/>
          <w:szCs w:val="28"/>
        </w:rPr>
        <w:t xml:space="preserve">Слід відзначити, що альтернативного способу досягти визначених у розділі ІІ цього Аналізу регуляторного впливу цілей державного регулювання, ніж прийняття </w:t>
      </w:r>
      <w:r w:rsidR="004F6F8D" w:rsidRPr="004F6F8D">
        <w:rPr>
          <w:sz w:val="28"/>
          <w:szCs w:val="28"/>
        </w:rPr>
        <w:t>постанов</w:t>
      </w:r>
      <w:r w:rsidR="004F6F8D">
        <w:rPr>
          <w:sz w:val="28"/>
          <w:szCs w:val="28"/>
        </w:rPr>
        <w:t>и</w:t>
      </w:r>
      <w:r w:rsidR="004F6F8D" w:rsidRPr="004F6F8D">
        <w:rPr>
          <w:sz w:val="28"/>
          <w:szCs w:val="28"/>
        </w:rPr>
        <w:t xml:space="preserve"> Кабінету Міністрів України «Про внесення змін до вимог щодо проведення контролю якості робіт з нового будівництва, реконструкції та капітального ремонту автомобільних доріг загального користування»</w:t>
      </w:r>
      <w:r w:rsidRPr="006D428E">
        <w:rPr>
          <w:sz w:val="28"/>
          <w:szCs w:val="28"/>
        </w:rPr>
        <w:t xml:space="preserve"> не існує.</w:t>
      </w:r>
    </w:p>
    <w:p w:rsidR="004F6F8D" w:rsidRPr="006D428E" w:rsidRDefault="004F6F8D" w:rsidP="00281F72">
      <w:pPr>
        <w:spacing w:line="322" w:lineRule="exact"/>
        <w:ind w:firstLine="709"/>
        <w:jc w:val="both"/>
        <w:rPr>
          <w:sz w:val="28"/>
          <w:szCs w:val="28"/>
        </w:rPr>
      </w:pPr>
    </w:p>
    <w:p w:rsidR="004F7A5F" w:rsidRPr="006D428E" w:rsidRDefault="004F7A5F" w:rsidP="00B72042">
      <w:pPr>
        <w:spacing w:line="280" w:lineRule="exact"/>
        <w:ind w:firstLine="709"/>
        <w:jc w:val="both"/>
      </w:pPr>
      <w:r w:rsidRPr="006D428E">
        <w:rPr>
          <w:sz w:val="28"/>
          <w:szCs w:val="28"/>
        </w:rPr>
        <w:t xml:space="preserve">2. </w:t>
      </w:r>
      <w:r w:rsidRPr="006D428E">
        <w:rPr>
          <w:rStyle w:val="2Exact"/>
          <w:rFonts w:eastAsia="Arial Unicode MS"/>
        </w:rPr>
        <w:t>Оцінка вибраних альтернативних способів досягнення цілей:</w:t>
      </w:r>
    </w:p>
    <w:p w:rsidR="004F7A5F" w:rsidRPr="004F7A5F" w:rsidRDefault="004F7A5F" w:rsidP="00B72042">
      <w:pPr>
        <w:pStyle w:val="130"/>
        <w:shd w:val="clear" w:color="auto" w:fill="auto"/>
        <w:spacing w:before="0" w:line="280" w:lineRule="exact"/>
        <w:ind w:firstLine="709"/>
        <w:jc w:val="both"/>
        <w:rPr>
          <w:lang w:val="ru-RU"/>
        </w:rPr>
      </w:pPr>
      <w:r w:rsidRPr="004F7A5F">
        <w:rPr>
          <w:rStyle w:val="13Exact"/>
          <w:lang w:val="ru-RU"/>
        </w:rPr>
        <w:t>1) оцінка впливу на сферу інтересів держави:</w:t>
      </w:r>
    </w:p>
    <w:tbl>
      <w:tblPr>
        <w:tblOverlap w:val="neve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8"/>
        <w:gridCol w:w="3941"/>
        <w:gridCol w:w="3787"/>
      </w:tblGrid>
      <w:tr w:rsidR="004F7A5F" w:rsidRPr="006D428E" w:rsidTr="00C75FF5">
        <w:trPr>
          <w:trHeight w:hRule="exact" w:val="734"/>
          <w:jc w:val="center"/>
        </w:trPr>
        <w:tc>
          <w:tcPr>
            <w:tcW w:w="1958" w:type="dxa"/>
            <w:shd w:val="clear" w:color="auto" w:fill="FFFFFF"/>
            <w:vAlign w:val="bottom"/>
          </w:tcPr>
          <w:p w:rsidR="004F7A5F" w:rsidRPr="00763D85" w:rsidRDefault="004F7A5F" w:rsidP="00763D85">
            <w:pPr>
              <w:spacing w:after="120"/>
              <w:jc w:val="both"/>
              <w:rPr>
                <w:sz w:val="28"/>
                <w:szCs w:val="28"/>
              </w:rPr>
            </w:pPr>
            <w:r w:rsidRPr="00763D85">
              <w:rPr>
                <w:rStyle w:val="210pt"/>
                <w:rFonts w:eastAsia="Arial Unicode MS"/>
                <w:sz w:val="28"/>
                <w:szCs w:val="28"/>
              </w:rPr>
              <w:t>Вид</w:t>
            </w:r>
            <w:r w:rsidR="00763D85">
              <w:rPr>
                <w:rStyle w:val="210pt"/>
                <w:rFonts w:eastAsia="Arial Unicode MS"/>
                <w:sz w:val="28"/>
                <w:szCs w:val="28"/>
              </w:rPr>
              <w:t xml:space="preserve"> </w:t>
            </w:r>
            <w:r w:rsidRPr="00763D85">
              <w:rPr>
                <w:rStyle w:val="210pt"/>
                <w:rFonts w:eastAsia="Arial Unicode MS"/>
                <w:sz w:val="28"/>
                <w:szCs w:val="28"/>
              </w:rPr>
              <w:t>альтернативи</w:t>
            </w:r>
          </w:p>
        </w:tc>
        <w:tc>
          <w:tcPr>
            <w:tcW w:w="3941" w:type="dxa"/>
            <w:shd w:val="clear" w:color="auto" w:fill="FFFFFF"/>
            <w:vAlign w:val="center"/>
          </w:tcPr>
          <w:p w:rsidR="004F7A5F" w:rsidRPr="00763D85" w:rsidRDefault="004F7A5F" w:rsidP="00763D85">
            <w:pPr>
              <w:jc w:val="both"/>
              <w:rPr>
                <w:sz w:val="28"/>
                <w:szCs w:val="28"/>
              </w:rPr>
            </w:pPr>
            <w:r w:rsidRPr="00763D85">
              <w:rPr>
                <w:rStyle w:val="210pt"/>
                <w:rFonts w:eastAsia="Arial Unicode MS"/>
                <w:sz w:val="28"/>
                <w:szCs w:val="28"/>
              </w:rPr>
              <w:t>Вигоди</w:t>
            </w:r>
          </w:p>
        </w:tc>
        <w:tc>
          <w:tcPr>
            <w:tcW w:w="3787" w:type="dxa"/>
            <w:shd w:val="clear" w:color="auto" w:fill="FFFFFF"/>
            <w:vAlign w:val="center"/>
          </w:tcPr>
          <w:p w:rsidR="004F7A5F" w:rsidRPr="00763D85" w:rsidRDefault="004F7A5F" w:rsidP="00763D85">
            <w:pPr>
              <w:jc w:val="both"/>
              <w:rPr>
                <w:sz w:val="28"/>
                <w:szCs w:val="28"/>
              </w:rPr>
            </w:pPr>
            <w:r w:rsidRPr="00763D85">
              <w:rPr>
                <w:rStyle w:val="210pt"/>
                <w:rFonts w:eastAsia="Arial Unicode MS"/>
                <w:sz w:val="28"/>
                <w:szCs w:val="28"/>
              </w:rPr>
              <w:t>Витрати</w:t>
            </w:r>
          </w:p>
        </w:tc>
      </w:tr>
      <w:tr w:rsidR="004F6F8D" w:rsidRPr="006D428E" w:rsidTr="007B5A56">
        <w:trPr>
          <w:trHeight w:val="11548"/>
          <w:jc w:val="center"/>
        </w:trPr>
        <w:tc>
          <w:tcPr>
            <w:tcW w:w="1958" w:type="dxa"/>
            <w:shd w:val="clear" w:color="auto" w:fill="FFFFFF"/>
          </w:tcPr>
          <w:p w:rsidR="004F6F8D" w:rsidRPr="00763D85" w:rsidRDefault="004F6F8D" w:rsidP="00763D85">
            <w:pPr>
              <w:spacing w:after="120"/>
              <w:rPr>
                <w:rStyle w:val="210pt"/>
                <w:rFonts w:eastAsia="Arial Unicode MS"/>
                <w:sz w:val="28"/>
                <w:szCs w:val="28"/>
              </w:rPr>
            </w:pPr>
            <w:r w:rsidRPr="00763D85">
              <w:rPr>
                <w:rStyle w:val="210pt"/>
                <w:rFonts w:eastAsia="Arial Unicode MS"/>
                <w:sz w:val="28"/>
                <w:szCs w:val="28"/>
              </w:rPr>
              <w:t>Альтернатива 1</w:t>
            </w:r>
          </w:p>
        </w:tc>
        <w:tc>
          <w:tcPr>
            <w:tcW w:w="3941" w:type="dxa"/>
            <w:shd w:val="clear" w:color="auto" w:fill="FFFFFF"/>
          </w:tcPr>
          <w:p w:rsidR="004F6F8D" w:rsidRPr="004F6F8D" w:rsidRDefault="004F6F8D" w:rsidP="007B5A56">
            <w:pPr>
              <w:widowControl w:val="0"/>
              <w:numPr>
                <w:ilvl w:val="0"/>
                <w:numId w:val="13"/>
              </w:numPr>
              <w:tabs>
                <w:tab w:val="left" w:pos="528"/>
              </w:tabs>
              <w:ind w:right="86"/>
              <w:rPr>
                <w:rStyle w:val="210pt"/>
                <w:rFonts w:eastAsia="Arial Unicode MS"/>
                <w:sz w:val="28"/>
                <w:szCs w:val="28"/>
              </w:rPr>
            </w:pPr>
            <w:r w:rsidRPr="004F6F8D">
              <w:rPr>
                <w:rStyle w:val="210pt"/>
                <w:rFonts w:eastAsia="Arial Unicode MS"/>
                <w:sz w:val="28"/>
                <w:szCs w:val="28"/>
              </w:rPr>
              <w:t>виключення норм, що передбача</w:t>
            </w:r>
            <w:r w:rsidR="007B5A56">
              <w:rPr>
                <w:rStyle w:val="210pt"/>
                <w:rFonts w:eastAsia="Arial Unicode MS"/>
                <w:sz w:val="28"/>
                <w:szCs w:val="28"/>
              </w:rPr>
              <w:t>ють</w:t>
            </w:r>
            <w:r w:rsidRPr="004F6F8D">
              <w:rPr>
                <w:rStyle w:val="210pt"/>
                <w:rFonts w:eastAsia="Arial Unicode MS"/>
                <w:sz w:val="28"/>
                <w:szCs w:val="28"/>
              </w:rPr>
              <w:t xml:space="preserve"> обов’язковість зв’язку діяльності з надання інженерно-консультаційних послуг та здійсненням технічного нагляду за будівництвом;</w:t>
            </w:r>
          </w:p>
          <w:p w:rsidR="004F6F8D" w:rsidRPr="004F6F8D" w:rsidRDefault="004F6F8D" w:rsidP="007B5A56">
            <w:pPr>
              <w:widowControl w:val="0"/>
              <w:numPr>
                <w:ilvl w:val="0"/>
                <w:numId w:val="13"/>
              </w:numPr>
              <w:tabs>
                <w:tab w:val="left" w:pos="528"/>
              </w:tabs>
              <w:ind w:right="86"/>
              <w:rPr>
                <w:rStyle w:val="210pt"/>
                <w:rFonts w:eastAsia="Arial Unicode MS"/>
                <w:sz w:val="28"/>
                <w:szCs w:val="28"/>
              </w:rPr>
            </w:pPr>
            <w:r w:rsidRPr="004F6F8D">
              <w:rPr>
                <w:rStyle w:val="210pt"/>
                <w:rFonts w:eastAsia="Arial Unicode MS"/>
                <w:sz w:val="28"/>
                <w:szCs w:val="28"/>
              </w:rPr>
              <w:t>приведення функцій інж</w:t>
            </w:r>
            <w:r w:rsidR="0048589D">
              <w:rPr>
                <w:rStyle w:val="210pt"/>
                <w:rFonts w:eastAsia="Arial Unicode MS"/>
                <w:sz w:val="28"/>
                <w:szCs w:val="28"/>
              </w:rPr>
              <w:t>е</w:t>
            </w:r>
            <w:r w:rsidRPr="004F6F8D">
              <w:rPr>
                <w:rStyle w:val="210pt"/>
                <w:rFonts w:eastAsia="Arial Unicode MS"/>
                <w:sz w:val="28"/>
                <w:szCs w:val="28"/>
              </w:rPr>
              <w:t xml:space="preserve">нера-консультанта у відповідність до Закону 199 з урахуванням </w:t>
            </w:r>
            <w:r w:rsidR="007B5A56">
              <w:rPr>
                <w:rStyle w:val="210pt"/>
                <w:rFonts w:eastAsia="Arial Unicode MS"/>
                <w:sz w:val="28"/>
                <w:szCs w:val="28"/>
              </w:rPr>
              <w:t xml:space="preserve">вимог </w:t>
            </w:r>
            <w:r w:rsidRPr="004F6F8D">
              <w:rPr>
                <w:rStyle w:val="210pt"/>
                <w:rFonts w:eastAsia="Arial Unicode MS"/>
                <w:sz w:val="28"/>
                <w:szCs w:val="28"/>
              </w:rPr>
              <w:t>наказу Мінекономрозвитку від 26</w:t>
            </w:r>
            <w:r w:rsidR="007B5A56">
              <w:rPr>
                <w:rStyle w:val="210pt"/>
                <w:rFonts w:eastAsia="Arial Unicode MS"/>
                <w:sz w:val="28"/>
                <w:szCs w:val="28"/>
              </w:rPr>
              <w:t xml:space="preserve"> жовтня </w:t>
            </w:r>
            <w:r w:rsidRPr="004F6F8D">
              <w:rPr>
                <w:rStyle w:val="210pt"/>
                <w:rFonts w:eastAsia="Arial Unicode MS"/>
                <w:sz w:val="28"/>
                <w:szCs w:val="28"/>
              </w:rPr>
              <w:t>2017</w:t>
            </w:r>
            <w:r w:rsidR="007B5A56">
              <w:rPr>
                <w:rStyle w:val="210pt"/>
                <w:rFonts w:eastAsia="Arial Unicode MS"/>
                <w:sz w:val="28"/>
                <w:szCs w:val="28"/>
              </w:rPr>
              <w:t xml:space="preserve"> р.</w:t>
            </w:r>
            <w:r w:rsidRPr="004F6F8D">
              <w:rPr>
                <w:rStyle w:val="210pt"/>
                <w:rFonts w:eastAsia="Arial Unicode MS"/>
                <w:sz w:val="28"/>
                <w:szCs w:val="28"/>
              </w:rPr>
              <w:t xml:space="preserve"> № 1542 та наказу Мінрегіону від 08</w:t>
            </w:r>
            <w:r w:rsidR="007B5A56">
              <w:rPr>
                <w:rStyle w:val="210pt"/>
                <w:rFonts w:eastAsia="Arial Unicode MS"/>
                <w:sz w:val="28"/>
                <w:szCs w:val="28"/>
              </w:rPr>
              <w:t xml:space="preserve"> серпня </w:t>
            </w:r>
            <w:r w:rsidRPr="004F6F8D">
              <w:rPr>
                <w:rStyle w:val="210pt"/>
                <w:rFonts w:eastAsia="Arial Unicode MS"/>
                <w:sz w:val="28"/>
                <w:szCs w:val="28"/>
              </w:rPr>
              <w:t>2017</w:t>
            </w:r>
            <w:r w:rsidR="007B5A56">
              <w:rPr>
                <w:rStyle w:val="210pt"/>
                <w:rFonts w:eastAsia="Arial Unicode MS"/>
                <w:sz w:val="28"/>
                <w:szCs w:val="28"/>
              </w:rPr>
              <w:t> р.</w:t>
            </w:r>
            <w:r w:rsidRPr="004F6F8D">
              <w:rPr>
                <w:rStyle w:val="210pt"/>
                <w:rFonts w:eastAsia="Arial Unicode MS"/>
                <w:sz w:val="28"/>
                <w:szCs w:val="28"/>
              </w:rPr>
              <w:t xml:space="preserve"> №</w:t>
            </w:r>
            <w:r w:rsidR="0048589D">
              <w:rPr>
                <w:rStyle w:val="210pt"/>
                <w:rFonts w:eastAsia="Arial Unicode MS"/>
                <w:sz w:val="28"/>
                <w:szCs w:val="28"/>
              </w:rPr>
              <w:t> </w:t>
            </w:r>
            <w:r w:rsidRPr="004F6F8D">
              <w:rPr>
                <w:rStyle w:val="210pt"/>
                <w:rFonts w:eastAsia="Arial Unicode MS"/>
                <w:sz w:val="28"/>
                <w:szCs w:val="28"/>
              </w:rPr>
              <w:t>192;</w:t>
            </w:r>
          </w:p>
          <w:p w:rsidR="004F6F8D" w:rsidRPr="004F6F8D" w:rsidRDefault="004F6F8D" w:rsidP="007B5A56">
            <w:pPr>
              <w:widowControl w:val="0"/>
              <w:numPr>
                <w:ilvl w:val="0"/>
                <w:numId w:val="13"/>
              </w:numPr>
              <w:tabs>
                <w:tab w:val="left" w:pos="528"/>
              </w:tabs>
              <w:ind w:right="86"/>
              <w:rPr>
                <w:rStyle w:val="210pt"/>
                <w:rFonts w:eastAsia="Arial Unicode MS"/>
                <w:sz w:val="28"/>
                <w:szCs w:val="28"/>
              </w:rPr>
            </w:pPr>
            <w:r w:rsidRPr="004F6F8D">
              <w:rPr>
                <w:rStyle w:val="210pt"/>
                <w:rFonts w:eastAsia="Arial Unicode MS"/>
                <w:sz w:val="28"/>
                <w:szCs w:val="28"/>
              </w:rPr>
              <w:t>передбач</w:t>
            </w:r>
            <w:r w:rsidR="007B5A56">
              <w:rPr>
                <w:rStyle w:val="210pt"/>
                <w:rFonts w:eastAsia="Arial Unicode MS"/>
                <w:sz w:val="28"/>
                <w:szCs w:val="28"/>
              </w:rPr>
              <w:t>ає</w:t>
            </w:r>
            <w:r w:rsidRPr="004F6F8D">
              <w:rPr>
                <w:rStyle w:val="210pt"/>
                <w:rFonts w:eastAsia="Arial Unicode MS"/>
                <w:sz w:val="28"/>
                <w:szCs w:val="28"/>
              </w:rPr>
              <w:t xml:space="preserve"> можлив</w:t>
            </w:r>
            <w:r w:rsidR="007B5A56">
              <w:rPr>
                <w:rStyle w:val="210pt"/>
                <w:rFonts w:eastAsia="Arial Unicode MS"/>
                <w:sz w:val="28"/>
                <w:szCs w:val="28"/>
              </w:rPr>
              <w:t>і</w:t>
            </w:r>
            <w:r w:rsidRPr="004F6F8D">
              <w:rPr>
                <w:rStyle w:val="210pt"/>
                <w:rFonts w:eastAsia="Arial Unicode MS"/>
                <w:sz w:val="28"/>
                <w:szCs w:val="28"/>
              </w:rPr>
              <w:t>ст</w:t>
            </w:r>
            <w:r w:rsidR="007B5A56">
              <w:rPr>
                <w:rStyle w:val="210pt"/>
                <w:rFonts w:eastAsia="Arial Unicode MS"/>
                <w:sz w:val="28"/>
                <w:szCs w:val="28"/>
              </w:rPr>
              <w:t>ь</w:t>
            </w:r>
            <w:r w:rsidRPr="004F6F8D">
              <w:rPr>
                <w:rStyle w:val="210pt"/>
                <w:rFonts w:eastAsia="Arial Unicode MS"/>
                <w:sz w:val="28"/>
                <w:szCs w:val="28"/>
              </w:rPr>
              <w:t xml:space="preserve"> використання міжнародних звичаїв, рекомендацій, правил та міжнародно визнаних форм договорів при наданні інженерно-консультаційних послуг</w:t>
            </w:r>
          </w:p>
          <w:p w:rsidR="004F6F8D" w:rsidRPr="00763D85" w:rsidRDefault="004F6F8D" w:rsidP="007B5A56">
            <w:pPr>
              <w:numPr>
                <w:ilvl w:val="0"/>
                <w:numId w:val="13"/>
              </w:numPr>
              <w:rPr>
                <w:rStyle w:val="210pt"/>
                <w:rFonts w:eastAsia="Arial Unicode MS"/>
                <w:sz w:val="28"/>
                <w:szCs w:val="28"/>
              </w:rPr>
            </w:pPr>
            <w:r w:rsidRPr="004F6F8D">
              <w:rPr>
                <w:rStyle w:val="210pt"/>
                <w:rFonts w:eastAsia="Arial Unicode MS"/>
                <w:sz w:val="28"/>
                <w:szCs w:val="28"/>
              </w:rPr>
              <w:t>визначення максимально допустимого обсягу фінансування послуг інженера-консультанта.</w:t>
            </w:r>
          </w:p>
          <w:p w:rsidR="004F6F8D" w:rsidRPr="00763D85" w:rsidRDefault="004F6F8D" w:rsidP="007B5A56">
            <w:pPr>
              <w:widowControl w:val="0"/>
              <w:numPr>
                <w:ilvl w:val="0"/>
                <w:numId w:val="13"/>
              </w:numPr>
              <w:tabs>
                <w:tab w:val="left" w:pos="538"/>
              </w:tabs>
              <w:ind w:left="12" w:right="86" w:firstLine="1"/>
              <w:rPr>
                <w:rStyle w:val="210pt"/>
                <w:rFonts w:eastAsia="Arial Unicode MS"/>
                <w:sz w:val="28"/>
                <w:szCs w:val="28"/>
              </w:rPr>
            </w:pPr>
            <w:r w:rsidRPr="00763D85">
              <w:rPr>
                <w:sz w:val="28"/>
                <w:szCs w:val="28"/>
              </w:rPr>
              <w:t>мінімізація корупційних ризиків під час залучення інженерів-консультантів</w:t>
            </w:r>
            <w:r w:rsidRPr="00763D85">
              <w:rPr>
                <w:rStyle w:val="210pt"/>
                <w:rFonts w:eastAsia="Arial Unicode MS"/>
                <w:sz w:val="28"/>
                <w:szCs w:val="28"/>
              </w:rPr>
              <w:t>;</w:t>
            </w:r>
          </w:p>
        </w:tc>
        <w:tc>
          <w:tcPr>
            <w:tcW w:w="3787" w:type="dxa"/>
            <w:shd w:val="clear" w:color="auto" w:fill="FFFFFF"/>
          </w:tcPr>
          <w:p w:rsidR="004F6F8D" w:rsidRPr="00763D85" w:rsidRDefault="004F6F8D" w:rsidP="00763D85">
            <w:pPr>
              <w:rPr>
                <w:sz w:val="28"/>
                <w:szCs w:val="28"/>
              </w:rPr>
            </w:pPr>
            <w:r w:rsidRPr="00763D85">
              <w:rPr>
                <w:rStyle w:val="210pt"/>
                <w:rFonts w:eastAsia="Arial Unicode MS"/>
                <w:sz w:val="28"/>
                <w:szCs w:val="28"/>
              </w:rPr>
              <w:t>Відсутні.</w:t>
            </w:r>
          </w:p>
          <w:p w:rsidR="004F6F8D" w:rsidRPr="00763D85" w:rsidRDefault="004F6F8D" w:rsidP="00763D85">
            <w:pPr>
              <w:rPr>
                <w:rStyle w:val="210pt"/>
                <w:rFonts w:eastAsia="Arial Unicode MS"/>
                <w:sz w:val="28"/>
                <w:szCs w:val="28"/>
              </w:rPr>
            </w:pPr>
          </w:p>
        </w:tc>
      </w:tr>
      <w:tr w:rsidR="004F7A5F" w:rsidRPr="006D428E" w:rsidTr="00D12685">
        <w:trPr>
          <w:trHeight w:hRule="exact" w:val="6304"/>
          <w:jc w:val="center"/>
        </w:trPr>
        <w:tc>
          <w:tcPr>
            <w:tcW w:w="1958" w:type="dxa"/>
            <w:shd w:val="clear" w:color="auto" w:fill="FFFFFF"/>
          </w:tcPr>
          <w:p w:rsidR="004F7A5F" w:rsidRPr="00763D85" w:rsidRDefault="004F7A5F" w:rsidP="00763D85">
            <w:pPr>
              <w:jc w:val="both"/>
              <w:rPr>
                <w:sz w:val="28"/>
                <w:szCs w:val="28"/>
              </w:rPr>
            </w:pPr>
            <w:r w:rsidRPr="00763D85">
              <w:rPr>
                <w:rStyle w:val="210pt"/>
                <w:rFonts w:eastAsia="Arial Unicode MS"/>
                <w:sz w:val="28"/>
                <w:szCs w:val="28"/>
              </w:rPr>
              <w:t>Альтернатива 2</w:t>
            </w:r>
          </w:p>
        </w:tc>
        <w:tc>
          <w:tcPr>
            <w:tcW w:w="3941" w:type="dxa"/>
            <w:shd w:val="clear" w:color="auto" w:fill="FFFFFF"/>
          </w:tcPr>
          <w:p w:rsidR="004F7A5F" w:rsidRPr="00763D85" w:rsidRDefault="004F7A5F" w:rsidP="00763D85">
            <w:pPr>
              <w:jc w:val="both"/>
              <w:rPr>
                <w:sz w:val="28"/>
                <w:szCs w:val="28"/>
              </w:rPr>
            </w:pPr>
            <w:r w:rsidRPr="00763D85">
              <w:rPr>
                <w:rStyle w:val="210pt"/>
                <w:rFonts w:eastAsia="Arial Unicode MS"/>
                <w:sz w:val="28"/>
                <w:szCs w:val="28"/>
              </w:rPr>
              <w:t>Відсутні.</w:t>
            </w:r>
          </w:p>
        </w:tc>
        <w:tc>
          <w:tcPr>
            <w:tcW w:w="3787" w:type="dxa"/>
            <w:shd w:val="clear" w:color="auto" w:fill="FFFFFF"/>
          </w:tcPr>
          <w:p w:rsidR="00154629" w:rsidRPr="00763D85" w:rsidRDefault="00154629" w:rsidP="00763D85">
            <w:pPr>
              <w:widowControl w:val="0"/>
              <w:tabs>
                <w:tab w:val="left" w:pos="624"/>
              </w:tabs>
              <w:jc w:val="both"/>
              <w:rPr>
                <w:rStyle w:val="210pt"/>
                <w:rFonts w:eastAsia="Arial Unicode MS"/>
                <w:sz w:val="28"/>
                <w:szCs w:val="28"/>
              </w:rPr>
            </w:pPr>
            <w:r w:rsidRPr="00763D85">
              <w:rPr>
                <w:rStyle w:val="210pt"/>
                <w:rFonts w:eastAsia="Arial Unicode MS"/>
                <w:sz w:val="28"/>
                <w:szCs w:val="28"/>
              </w:rPr>
              <w:t>Витрати відсутні.</w:t>
            </w:r>
          </w:p>
          <w:p w:rsidR="004F7A5F" w:rsidRPr="00763D85" w:rsidRDefault="00154629" w:rsidP="0048589D">
            <w:pPr>
              <w:widowControl w:val="0"/>
              <w:tabs>
                <w:tab w:val="left" w:pos="624"/>
              </w:tabs>
              <w:jc w:val="both"/>
              <w:rPr>
                <w:sz w:val="28"/>
                <w:szCs w:val="28"/>
              </w:rPr>
            </w:pPr>
            <w:r w:rsidRPr="00763D85">
              <w:rPr>
                <w:rStyle w:val="210pt"/>
                <w:rFonts w:eastAsia="Arial Unicode MS"/>
                <w:sz w:val="28"/>
                <w:szCs w:val="28"/>
              </w:rPr>
              <w:t>Водночас наявні ризики неефективного використання бюджетних коштів внаслідок</w:t>
            </w:r>
            <w:r w:rsidR="0048589D">
              <w:rPr>
                <w:rStyle w:val="210pt"/>
                <w:rFonts w:eastAsia="Arial Unicode MS"/>
                <w:sz w:val="28"/>
                <w:szCs w:val="28"/>
              </w:rPr>
              <w:t xml:space="preserve"> </w:t>
            </w:r>
            <w:r w:rsidR="004F7A5F" w:rsidRPr="00763D85">
              <w:rPr>
                <w:rStyle w:val="210pt"/>
                <w:rFonts w:eastAsia="Arial Unicode MS"/>
                <w:sz w:val="28"/>
                <w:szCs w:val="28"/>
              </w:rPr>
              <w:t>неможливо</w:t>
            </w:r>
            <w:r w:rsidRPr="00763D85">
              <w:rPr>
                <w:rStyle w:val="210pt"/>
                <w:rFonts w:eastAsia="Arial Unicode MS"/>
                <w:sz w:val="28"/>
                <w:szCs w:val="28"/>
              </w:rPr>
              <w:t xml:space="preserve">сті проведення незалежного консультаційного супроводження об’єкта будівництва, шляхом </w:t>
            </w:r>
            <w:r w:rsidR="004F7A5F" w:rsidRPr="00763D85">
              <w:rPr>
                <w:rStyle w:val="210pt"/>
                <w:rFonts w:eastAsia="Arial Unicode MS"/>
                <w:sz w:val="28"/>
                <w:szCs w:val="28"/>
              </w:rPr>
              <w:t xml:space="preserve"> залучення інженерів-консультантів для управління проектом, забезпечення організаційного і консультаційного</w:t>
            </w:r>
            <w:r w:rsidR="00D12685">
              <w:rPr>
                <w:rStyle w:val="210pt"/>
                <w:rFonts w:eastAsia="Arial Unicode MS"/>
                <w:sz w:val="28"/>
                <w:szCs w:val="28"/>
              </w:rPr>
              <w:t xml:space="preserve"> супроводження комплексу робіт при будівництві автомобільних доріг у відповідності до Закону України «Про регулювання містобудівної діяльності»</w:t>
            </w:r>
          </w:p>
        </w:tc>
      </w:tr>
    </w:tbl>
    <w:p w:rsidR="004F7A5F" w:rsidRPr="00154629" w:rsidRDefault="004F7A5F" w:rsidP="00B72042">
      <w:pPr>
        <w:ind w:firstLine="567"/>
        <w:jc w:val="both"/>
        <w:rPr>
          <w:iCs/>
          <w:sz w:val="28"/>
          <w:szCs w:val="28"/>
        </w:rPr>
      </w:pPr>
      <w:r w:rsidRPr="00154629">
        <w:rPr>
          <w:iCs/>
          <w:sz w:val="28"/>
          <w:szCs w:val="28"/>
        </w:rPr>
        <w:t>2) про</w:t>
      </w:r>
      <w:r w:rsidR="008D0E58" w:rsidRPr="00154629">
        <w:rPr>
          <w:iCs/>
          <w:sz w:val="28"/>
          <w:szCs w:val="28"/>
        </w:rPr>
        <w:t>є</w:t>
      </w:r>
      <w:r w:rsidRPr="00154629">
        <w:rPr>
          <w:iCs/>
          <w:sz w:val="28"/>
          <w:szCs w:val="28"/>
        </w:rPr>
        <w:t xml:space="preserve">кт </w:t>
      </w:r>
      <w:r w:rsidR="007B5A56">
        <w:rPr>
          <w:iCs/>
          <w:sz w:val="28"/>
          <w:szCs w:val="28"/>
        </w:rPr>
        <w:t>постанови</w:t>
      </w:r>
      <w:r w:rsidR="008D0E58" w:rsidRPr="00154629">
        <w:rPr>
          <w:iCs/>
          <w:sz w:val="28"/>
          <w:szCs w:val="28"/>
        </w:rPr>
        <w:t xml:space="preserve"> </w:t>
      </w:r>
      <w:r w:rsidRPr="00154629">
        <w:rPr>
          <w:iCs/>
          <w:sz w:val="28"/>
          <w:szCs w:val="28"/>
        </w:rPr>
        <w:t>не розповсюджується на сферу інтересів громадян;</w:t>
      </w:r>
    </w:p>
    <w:p w:rsidR="004F7A5F" w:rsidRPr="00154629" w:rsidRDefault="004F7A5F" w:rsidP="00B72042">
      <w:pPr>
        <w:ind w:firstLine="567"/>
        <w:jc w:val="both"/>
        <w:rPr>
          <w:iCs/>
          <w:sz w:val="28"/>
          <w:szCs w:val="28"/>
        </w:rPr>
      </w:pPr>
      <w:r w:rsidRPr="00154629">
        <w:rPr>
          <w:iCs/>
          <w:sz w:val="28"/>
          <w:szCs w:val="28"/>
        </w:rPr>
        <w:t>3)</w:t>
      </w:r>
      <w:r w:rsidR="00154629">
        <w:rPr>
          <w:iCs/>
          <w:sz w:val="28"/>
          <w:szCs w:val="28"/>
        </w:rPr>
        <w:t> </w:t>
      </w:r>
      <w:r w:rsidRPr="00154629">
        <w:rPr>
          <w:iCs/>
          <w:sz w:val="28"/>
          <w:szCs w:val="28"/>
        </w:rPr>
        <w:t>оцінка впливу на сферу інтересів суб’єктів господарювання.</w:t>
      </w:r>
    </w:p>
    <w:p w:rsidR="004F7A5F" w:rsidRPr="006D428E" w:rsidRDefault="004F7A5F" w:rsidP="00B72042">
      <w:pPr>
        <w:ind w:firstLine="567"/>
        <w:jc w:val="both"/>
        <w:rPr>
          <w:sz w:val="28"/>
          <w:szCs w:val="28"/>
        </w:rPr>
      </w:pPr>
      <w:r w:rsidRPr="006D428E">
        <w:rPr>
          <w:sz w:val="28"/>
          <w:szCs w:val="28"/>
        </w:rPr>
        <w:t>Оцінка впливу на сферу інтересів суб’єктів господарювання здійснюється з урахуванням того, що ринок інженерн</w:t>
      </w:r>
      <w:r w:rsidR="007B5A56">
        <w:rPr>
          <w:sz w:val="28"/>
          <w:szCs w:val="28"/>
        </w:rPr>
        <w:t>о</w:t>
      </w:r>
      <w:r w:rsidRPr="006D428E">
        <w:rPr>
          <w:sz w:val="28"/>
          <w:szCs w:val="28"/>
        </w:rPr>
        <w:t xml:space="preserve">-консультаційних послуг в Україні не дуже розвинений. Оцінка впливу здійснюється на основі орієнтовних даних, на </w:t>
      </w:r>
      <w:r w:rsidR="00221BB2">
        <w:rPr>
          <w:sz w:val="28"/>
          <w:szCs w:val="28"/>
        </w:rPr>
        <w:t>цей</w:t>
      </w:r>
      <w:r w:rsidRPr="006D428E">
        <w:rPr>
          <w:sz w:val="28"/>
          <w:szCs w:val="28"/>
        </w:rPr>
        <w:t xml:space="preserve"> час діяльність проводить близько 620 </w:t>
      </w:r>
      <w:r w:rsidRPr="006D428E">
        <w:rPr>
          <w:sz w:val="28"/>
          <w:szCs w:val="28"/>
          <w:shd w:val="clear" w:color="auto" w:fill="FFFFFF"/>
        </w:rPr>
        <w:t>фахівців із кваліфікаційним рівнем, підтвердженим органом із сертифікації персоналу, акредитованим у відповідній сфері згідно із законом, та/або суб’єктів господарювання, що має у своєму складі таких фахівців.</w:t>
      </w:r>
      <w:r w:rsidRPr="006D428E">
        <w:rPr>
          <w:sz w:val="28"/>
          <w:szCs w:val="28"/>
        </w:rPr>
        <w:t xml:space="preserve"> Питому вагу суб’єктів малого підприємництва зазначити неможливо, оскільки проблема однаково впливає на всіх суб’єктів господарювання, що здійснюють надання послух в якості інженерів-консультантів.</w:t>
      </w:r>
    </w:p>
    <w:p w:rsidR="004F7A5F" w:rsidRPr="006D428E" w:rsidRDefault="004F7A5F" w:rsidP="004F7A5F">
      <w:pPr>
        <w:ind w:firstLine="426"/>
        <w:jc w:val="both"/>
        <w:rPr>
          <w:sz w:val="28"/>
          <w:szCs w:val="28"/>
        </w:rPr>
      </w:pPr>
      <w:r w:rsidRPr="00A1089A">
        <w:rPr>
          <w:sz w:val="28"/>
          <w:szCs w:val="28"/>
        </w:rPr>
        <w:t>Згідно ДСТУ Б. Д.1.1-1:2013 «Правила визначення вартості будівництва» передбачає можливість</w:t>
      </w:r>
      <w:r w:rsidR="00A1089A" w:rsidRPr="00A1089A">
        <w:rPr>
          <w:sz w:val="28"/>
          <w:szCs w:val="28"/>
        </w:rPr>
        <w:t xml:space="preserve"> (тобто право, а не обов</w:t>
      </w:r>
      <w:r w:rsidR="00A1089A" w:rsidRPr="00A1089A">
        <w:rPr>
          <w:sz w:val="28"/>
          <w:szCs w:val="28"/>
          <w:lang w:val="ru-RU"/>
        </w:rPr>
        <w:t>’</w:t>
      </w:r>
      <w:r w:rsidR="00A1089A" w:rsidRPr="00A1089A">
        <w:rPr>
          <w:sz w:val="28"/>
          <w:szCs w:val="28"/>
        </w:rPr>
        <w:t>язок)</w:t>
      </w:r>
      <w:r w:rsidRPr="00A1089A">
        <w:rPr>
          <w:sz w:val="28"/>
          <w:szCs w:val="28"/>
        </w:rPr>
        <w:t xml:space="preserve"> виділення  на послуги залученого інженера-консультанта (будівництво) у обсязі до </w:t>
      </w:r>
      <w:r w:rsidR="00A1089A" w:rsidRPr="00A1089A">
        <w:rPr>
          <w:sz w:val="28"/>
          <w:szCs w:val="28"/>
        </w:rPr>
        <w:t xml:space="preserve">4,5 </w:t>
      </w:r>
      <w:r w:rsidRPr="00A1089A">
        <w:rPr>
          <w:sz w:val="28"/>
          <w:szCs w:val="28"/>
        </w:rPr>
        <w:t>% від зведеного кошторисного розрахунку. При цьому, ці витрати компенсуються економічним ефектом до 45%, що дозволяє скоротити інвестиційний цикл і заощадити до 15% інвестицій замовника. Тобто в результаті діяльність інженера-консультанта дозволяє отримати загальну економію коштів</w:t>
      </w:r>
      <w:r w:rsidRPr="006D428E">
        <w:rPr>
          <w:sz w:val="28"/>
          <w:szCs w:val="28"/>
        </w:rPr>
        <w:t xml:space="preserve"> замовника. Інженер-консультант виступає в ролі експерта, який консультує замовника з питань реалізації проекту, займається підбором постачальників і підрядників, об'єктивно і незалежно керує будівництвом на майданчику і повністю супроводжує проект на всіх стадіях будівництва і до його прийняття замовником. Його завдання – контролювати виконання усіх пунктів договору. У разі необхідності його залучають до участі у вирішенні спорів, аж до судових розглядів. Одне з основних завдань інженера-консультанта, як вбачається із досліджень вітчизняних вчених, – зниження вартості проекту, яке обумовлюється ефективністю контролю за витратами на етапі будівництва</w:t>
      </w:r>
      <w:r w:rsidRPr="006D428E">
        <w:rPr>
          <w:rStyle w:val="afa"/>
          <w:sz w:val="28"/>
          <w:szCs w:val="28"/>
        </w:rPr>
        <w:footnoteReference w:id="1"/>
      </w:r>
      <w:r w:rsidRPr="006D428E">
        <w:rPr>
          <w:sz w:val="28"/>
          <w:szCs w:val="28"/>
        </w:rPr>
        <w:t>, що, серед іншого, досягається шляхом ідентифікації, розрахунку і розподілу ризиків інвестиційних проектів</w:t>
      </w:r>
      <w:r w:rsidRPr="006D428E">
        <w:rPr>
          <w:rStyle w:val="afa"/>
          <w:sz w:val="28"/>
          <w:szCs w:val="28"/>
        </w:rPr>
        <w:footnoteReference w:id="2"/>
      </w:r>
      <w:r w:rsidRPr="006D428E">
        <w:rPr>
          <w:sz w:val="28"/>
          <w:szCs w:val="28"/>
        </w:rPr>
        <w:t xml:space="preserve">. Так, наприклад, в </w:t>
      </w:r>
      <w:r w:rsidRPr="0048589D">
        <w:rPr>
          <w:sz w:val="28"/>
          <w:szCs w:val="28"/>
        </w:rPr>
        <w:t>202</w:t>
      </w:r>
      <w:r w:rsidR="008E7E61" w:rsidRPr="0048589D">
        <w:rPr>
          <w:sz w:val="28"/>
          <w:szCs w:val="28"/>
        </w:rPr>
        <w:t>1</w:t>
      </w:r>
      <w:r w:rsidRPr="0048589D">
        <w:rPr>
          <w:sz w:val="28"/>
          <w:szCs w:val="28"/>
        </w:rPr>
        <w:t xml:space="preserve"> році</w:t>
      </w:r>
      <w:r w:rsidR="007B5A56">
        <w:rPr>
          <w:sz w:val="28"/>
          <w:szCs w:val="28"/>
        </w:rPr>
        <w:t>,</w:t>
      </w:r>
      <w:r w:rsidRPr="0048589D">
        <w:rPr>
          <w:sz w:val="28"/>
          <w:szCs w:val="28"/>
        </w:rPr>
        <w:t xml:space="preserve"> згідно </w:t>
      </w:r>
      <w:r w:rsidR="00221BB2" w:rsidRPr="0048589D">
        <w:rPr>
          <w:sz w:val="28"/>
          <w:szCs w:val="28"/>
        </w:rPr>
        <w:t xml:space="preserve">з </w:t>
      </w:r>
      <w:r w:rsidRPr="0048589D">
        <w:rPr>
          <w:sz w:val="28"/>
          <w:szCs w:val="28"/>
        </w:rPr>
        <w:t>Державно</w:t>
      </w:r>
      <w:r w:rsidR="00221BB2" w:rsidRPr="0048589D">
        <w:rPr>
          <w:sz w:val="28"/>
          <w:szCs w:val="28"/>
        </w:rPr>
        <w:t>ю</w:t>
      </w:r>
      <w:r w:rsidRPr="0048589D">
        <w:rPr>
          <w:sz w:val="28"/>
          <w:szCs w:val="28"/>
        </w:rPr>
        <w:t xml:space="preserve"> цільово</w:t>
      </w:r>
      <w:r w:rsidR="00221BB2" w:rsidRPr="0048589D">
        <w:rPr>
          <w:sz w:val="28"/>
          <w:szCs w:val="28"/>
        </w:rPr>
        <w:t>ю</w:t>
      </w:r>
      <w:r w:rsidRPr="0048589D">
        <w:rPr>
          <w:sz w:val="28"/>
          <w:szCs w:val="28"/>
        </w:rPr>
        <w:t xml:space="preserve"> економічно</w:t>
      </w:r>
      <w:r w:rsidR="00221BB2" w:rsidRPr="0048589D">
        <w:rPr>
          <w:sz w:val="28"/>
          <w:szCs w:val="28"/>
        </w:rPr>
        <w:t>ю</w:t>
      </w:r>
      <w:r w:rsidRPr="0048589D">
        <w:rPr>
          <w:sz w:val="28"/>
          <w:szCs w:val="28"/>
        </w:rPr>
        <w:t xml:space="preserve"> програм</w:t>
      </w:r>
      <w:r w:rsidR="00221BB2" w:rsidRPr="0048589D">
        <w:rPr>
          <w:sz w:val="28"/>
          <w:szCs w:val="28"/>
        </w:rPr>
        <w:t>ою</w:t>
      </w:r>
      <w:r w:rsidRPr="0048589D">
        <w:rPr>
          <w:sz w:val="28"/>
          <w:szCs w:val="28"/>
        </w:rPr>
        <w:t xml:space="preserve"> розвитку автомобільних доріг загального користування</w:t>
      </w:r>
      <w:r w:rsidR="00E07BDC" w:rsidRPr="0048589D">
        <w:rPr>
          <w:sz w:val="28"/>
          <w:szCs w:val="28"/>
        </w:rPr>
        <w:t xml:space="preserve"> державного значення</w:t>
      </w:r>
      <w:r w:rsidRPr="0048589D">
        <w:rPr>
          <w:sz w:val="28"/>
          <w:szCs w:val="28"/>
        </w:rPr>
        <w:t xml:space="preserve"> на 2018-2022 роки, затверджено</w:t>
      </w:r>
      <w:r w:rsidR="00221BB2" w:rsidRPr="0048589D">
        <w:rPr>
          <w:sz w:val="28"/>
          <w:szCs w:val="28"/>
        </w:rPr>
        <w:t>ю</w:t>
      </w:r>
      <w:r w:rsidRPr="0048589D">
        <w:rPr>
          <w:sz w:val="28"/>
          <w:szCs w:val="28"/>
        </w:rPr>
        <w:t xml:space="preserve"> постановою Кабінету Міністрів України від 21</w:t>
      </w:r>
      <w:r w:rsidR="007B5A56">
        <w:rPr>
          <w:sz w:val="28"/>
          <w:szCs w:val="28"/>
        </w:rPr>
        <w:t xml:space="preserve"> березня </w:t>
      </w:r>
      <w:r w:rsidR="005C0D87" w:rsidRPr="0048589D">
        <w:rPr>
          <w:sz w:val="28"/>
          <w:szCs w:val="28"/>
        </w:rPr>
        <w:t>2018</w:t>
      </w:r>
      <w:r w:rsidR="007B5A56">
        <w:rPr>
          <w:sz w:val="28"/>
          <w:szCs w:val="28"/>
        </w:rPr>
        <w:t> р.</w:t>
      </w:r>
      <w:r w:rsidR="005C0D87" w:rsidRPr="0048589D">
        <w:rPr>
          <w:sz w:val="28"/>
          <w:szCs w:val="28"/>
        </w:rPr>
        <w:t xml:space="preserve"> </w:t>
      </w:r>
      <w:r w:rsidRPr="0048589D">
        <w:rPr>
          <w:sz w:val="28"/>
          <w:szCs w:val="28"/>
        </w:rPr>
        <w:t>№</w:t>
      </w:r>
      <w:r w:rsidR="00A1089A" w:rsidRPr="0048589D">
        <w:rPr>
          <w:sz w:val="28"/>
          <w:szCs w:val="28"/>
        </w:rPr>
        <w:t> </w:t>
      </w:r>
      <w:r w:rsidRPr="0048589D">
        <w:rPr>
          <w:sz w:val="28"/>
          <w:szCs w:val="28"/>
        </w:rPr>
        <w:t xml:space="preserve">382, на нове будівництво, реконструкцію та капітальні ремонти </w:t>
      </w:r>
      <w:r w:rsidR="00221BB2" w:rsidRPr="0048589D">
        <w:rPr>
          <w:sz w:val="28"/>
          <w:szCs w:val="28"/>
        </w:rPr>
        <w:t>планується</w:t>
      </w:r>
      <w:r w:rsidRPr="0048589D">
        <w:rPr>
          <w:sz w:val="28"/>
          <w:szCs w:val="28"/>
        </w:rPr>
        <w:t xml:space="preserve"> виділ</w:t>
      </w:r>
      <w:r w:rsidR="00221BB2" w:rsidRPr="0048589D">
        <w:rPr>
          <w:sz w:val="28"/>
          <w:szCs w:val="28"/>
        </w:rPr>
        <w:t>ити</w:t>
      </w:r>
      <w:r w:rsidRPr="0048589D">
        <w:rPr>
          <w:sz w:val="28"/>
          <w:szCs w:val="28"/>
        </w:rPr>
        <w:t xml:space="preserve"> близько </w:t>
      </w:r>
      <w:r w:rsidR="008E7E61" w:rsidRPr="0048589D">
        <w:rPr>
          <w:sz w:val="28"/>
          <w:szCs w:val="28"/>
        </w:rPr>
        <w:t>39</w:t>
      </w:r>
      <w:r w:rsidR="00221BB2" w:rsidRPr="0048589D">
        <w:rPr>
          <w:sz w:val="28"/>
          <w:szCs w:val="28"/>
        </w:rPr>
        <w:t>,</w:t>
      </w:r>
      <w:r w:rsidR="008E7E61" w:rsidRPr="0048589D">
        <w:rPr>
          <w:sz w:val="28"/>
          <w:szCs w:val="28"/>
        </w:rPr>
        <w:t>13</w:t>
      </w:r>
      <w:r w:rsidRPr="0048589D">
        <w:rPr>
          <w:sz w:val="28"/>
          <w:szCs w:val="28"/>
        </w:rPr>
        <w:t xml:space="preserve"> млрд грн, тобто при затратах на інженера консультанта </w:t>
      </w:r>
      <w:r w:rsidR="00221BB2" w:rsidRPr="0048589D">
        <w:rPr>
          <w:sz w:val="28"/>
          <w:szCs w:val="28"/>
        </w:rPr>
        <w:t xml:space="preserve">до </w:t>
      </w:r>
      <w:r w:rsidRPr="0048589D">
        <w:rPr>
          <w:sz w:val="28"/>
          <w:szCs w:val="28"/>
        </w:rPr>
        <w:t>1</w:t>
      </w:r>
      <w:r w:rsidR="00221BB2" w:rsidRPr="0048589D">
        <w:rPr>
          <w:sz w:val="28"/>
          <w:szCs w:val="28"/>
        </w:rPr>
        <w:t>,</w:t>
      </w:r>
      <w:r w:rsidR="008E7E61" w:rsidRPr="0048589D">
        <w:rPr>
          <w:sz w:val="28"/>
          <w:szCs w:val="28"/>
        </w:rPr>
        <w:t>1</w:t>
      </w:r>
      <w:r w:rsidRPr="0048589D">
        <w:rPr>
          <w:sz w:val="28"/>
          <w:szCs w:val="28"/>
        </w:rPr>
        <w:t xml:space="preserve"> млрд грн, можна досягти економії в розмірі до </w:t>
      </w:r>
      <w:r w:rsidR="008E7E61" w:rsidRPr="0048589D">
        <w:rPr>
          <w:sz w:val="28"/>
          <w:szCs w:val="28"/>
        </w:rPr>
        <w:t>5</w:t>
      </w:r>
      <w:r w:rsidR="00221BB2" w:rsidRPr="0048589D">
        <w:rPr>
          <w:sz w:val="28"/>
          <w:szCs w:val="28"/>
        </w:rPr>
        <w:t>,</w:t>
      </w:r>
      <w:r w:rsidR="008E7E61" w:rsidRPr="0048589D">
        <w:rPr>
          <w:sz w:val="28"/>
          <w:szCs w:val="28"/>
        </w:rPr>
        <w:t>87</w:t>
      </w:r>
      <w:r w:rsidRPr="0048589D">
        <w:rPr>
          <w:sz w:val="28"/>
          <w:szCs w:val="28"/>
        </w:rPr>
        <w:t xml:space="preserve"> млрд грн.</w:t>
      </w:r>
    </w:p>
    <w:tbl>
      <w:tblPr>
        <w:tblW w:w="9696" w:type="dxa"/>
        <w:tblInd w:w="-10" w:type="dxa"/>
        <w:tblLayout w:type="fixed"/>
        <w:tblCellMar>
          <w:left w:w="10" w:type="dxa"/>
          <w:right w:w="10" w:type="dxa"/>
        </w:tblCellMar>
        <w:tblLook w:val="04A0" w:firstRow="1" w:lastRow="0" w:firstColumn="1" w:lastColumn="0" w:noHBand="0" w:noVBand="1"/>
      </w:tblPr>
      <w:tblGrid>
        <w:gridCol w:w="10"/>
        <w:gridCol w:w="1958"/>
        <w:gridCol w:w="10"/>
        <w:gridCol w:w="3931"/>
        <w:gridCol w:w="3778"/>
        <w:gridCol w:w="9"/>
      </w:tblGrid>
      <w:tr w:rsidR="004F7A5F" w:rsidRPr="006D428E" w:rsidTr="00221BB2">
        <w:trPr>
          <w:gridBefore w:val="1"/>
          <w:wBefore w:w="10" w:type="dxa"/>
          <w:trHeight w:hRule="exact" w:val="748"/>
        </w:trPr>
        <w:tc>
          <w:tcPr>
            <w:tcW w:w="1958" w:type="dxa"/>
            <w:tcBorders>
              <w:top w:val="single" w:sz="4" w:space="0" w:color="auto"/>
              <w:left w:val="single" w:sz="4" w:space="0" w:color="auto"/>
              <w:bottom w:val="single" w:sz="4" w:space="0" w:color="auto"/>
            </w:tcBorders>
            <w:shd w:val="clear" w:color="auto" w:fill="FFFFFF"/>
            <w:vAlign w:val="bottom"/>
          </w:tcPr>
          <w:p w:rsidR="004F7A5F" w:rsidRPr="00221BB2" w:rsidRDefault="004F7A5F" w:rsidP="00221BB2">
            <w:pPr>
              <w:spacing w:after="120"/>
              <w:jc w:val="both"/>
              <w:rPr>
                <w:sz w:val="28"/>
              </w:rPr>
            </w:pPr>
            <w:r w:rsidRPr="00221BB2">
              <w:rPr>
                <w:rStyle w:val="210pt"/>
                <w:rFonts w:eastAsia="Arial Unicode MS"/>
                <w:sz w:val="28"/>
              </w:rPr>
              <w:t>Вид</w:t>
            </w:r>
            <w:r w:rsidR="00221BB2">
              <w:rPr>
                <w:rStyle w:val="210pt"/>
                <w:rFonts w:eastAsia="Arial Unicode MS"/>
                <w:sz w:val="28"/>
              </w:rPr>
              <w:t xml:space="preserve"> </w:t>
            </w:r>
            <w:r w:rsidRPr="00221BB2">
              <w:rPr>
                <w:rStyle w:val="210pt"/>
                <w:rFonts w:eastAsia="Arial Unicode MS"/>
                <w:sz w:val="28"/>
              </w:rPr>
              <w:t>альтернативи</w:t>
            </w:r>
          </w:p>
        </w:tc>
        <w:tc>
          <w:tcPr>
            <w:tcW w:w="3941" w:type="dxa"/>
            <w:gridSpan w:val="2"/>
            <w:tcBorders>
              <w:top w:val="single" w:sz="4" w:space="0" w:color="auto"/>
              <w:left w:val="single" w:sz="4" w:space="0" w:color="auto"/>
              <w:bottom w:val="single" w:sz="4" w:space="0" w:color="auto"/>
            </w:tcBorders>
            <w:shd w:val="clear" w:color="auto" w:fill="FFFFFF"/>
            <w:vAlign w:val="center"/>
          </w:tcPr>
          <w:p w:rsidR="004F7A5F" w:rsidRPr="00221BB2" w:rsidRDefault="004F7A5F" w:rsidP="00221BB2">
            <w:pPr>
              <w:jc w:val="both"/>
              <w:rPr>
                <w:sz w:val="28"/>
              </w:rPr>
            </w:pPr>
            <w:r w:rsidRPr="00221BB2">
              <w:rPr>
                <w:rStyle w:val="210pt"/>
                <w:rFonts w:eastAsia="Arial Unicode MS"/>
                <w:sz w:val="28"/>
              </w:rPr>
              <w:t>Вигоди</w:t>
            </w:r>
          </w:p>
        </w:tc>
        <w:tc>
          <w:tcPr>
            <w:tcW w:w="37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A5F" w:rsidRPr="00221BB2" w:rsidRDefault="004F7A5F" w:rsidP="00221BB2">
            <w:pPr>
              <w:jc w:val="both"/>
              <w:rPr>
                <w:sz w:val="28"/>
              </w:rPr>
            </w:pPr>
            <w:r w:rsidRPr="00221BB2">
              <w:rPr>
                <w:rStyle w:val="210pt"/>
                <w:rFonts w:eastAsia="Arial Unicode MS"/>
                <w:sz w:val="28"/>
              </w:rPr>
              <w:t>Витрати</w:t>
            </w:r>
          </w:p>
        </w:tc>
      </w:tr>
      <w:tr w:rsidR="004F7A5F" w:rsidRPr="006D428E" w:rsidTr="00221BB2">
        <w:trPr>
          <w:gridBefore w:val="1"/>
          <w:wBefore w:w="10" w:type="dxa"/>
          <w:trHeight w:hRule="exact" w:val="3552"/>
        </w:trPr>
        <w:tc>
          <w:tcPr>
            <w:tcW w:w="1958" w:type="dxa"/>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Альтернатива 1</w:t>
            </w:r>
          </w:p>
        </w:tc>
        <w:tc>
          <w:tcPr>
            <w:tcW w:w="3941" w:type="dxa"/>
            <w:gridSpan w:val="2"/>
            <w:tcBorders>
              <w:top w:val="single" w:sz="4" w:space="0" w:color="auto"/>
              <w:left w:val="single" w:sz="4" w:space="0" w:color="auto"/>
              <w:bottom w:val="single" w:sz="4" w:space="0" w:color="auto"/>
            </w:tcBorders>
            <w:shd w:val="clear" w:color="auto" w:fill="FFFFFF"/>
          </w:tcPr>
          <w:p w:rsidR="004F7A5F" w:rsidRPr="00221BB2" w:rsidRDefault="004F7A5F" w:rsidP="00221BB2">
            <w:pPr>
              <w:widowControl w:val="0"/>
              <w:numPr>
                <w:ilvl w:val="0"/>
                <w:numId w:val="15"/>
              </w:numPr>
              <w:tabs>
                <w:tab w:val="left" w:pos="518"/>
              </w:tabs>
              <w:ind w:right="220" w:firstLine="320"/>
              <w:jc w:val="both"/>
              <w:rPr>
                <w:rStyle w:val="210pt"/>
                <w:rFonts w:eastAsia="Arial Unicode MS"/>
                <w:sz w:val="28"/>
              </w:rPr>
            </w:pPr>
            <w:r w:rsidRPr="00221BB2">
              <w:rPr>
                <w:rStyle w:val="210pt"/>
                <w:rFonts w:eastAsia="Arial Unicode MS"/>
                <w:sz w:val="28"/>
              </w:rPr>
              <w:t>забезпечення можливості отримання незалежного організаційного і консультаційного супроводження комплексу робіт, пов’язаних із створенням об’єкта архітектури;</w:t>
            </w:r>
          </w:p>
          <w:p w:rsidR="004F7A5F" w:rsidRPr="00221BB2" w:rsidRDefault="004F7A5F" w:rsidP="00221BB2">
            <w:pPr>
              <w:widowControl w:val="0"/>
              <w:numPr>
                <w:ilvl w:val="0"/>
                <w:numId w:val="15"/>
              </w:numPr>
              <w:tabs>
                <w:tab w:val="left" w:pos="518"/>
              </w:tabs>
              <w:ind w:right="220" w:firstLine="320"/>
              <w:jc w:val="both"/>
              <w:rPr>
                <w:sz w:val="28"/>
              </w:rPr>
            </w:pPr>
            <w:r w:rsidRPr="00221BB2">
              <w:rPr>
                <w:rStyle w:val="210pt"/>
                <w:rFonts w:eastAsia="Arial Unicode MS"/>
                <w:sz w:val="28"/>
              </w:rPr>
              <w:t>забезпечення економії матеріальних та часових витрат.</w:t>
            </w:r>
          </w:p>
        </w:tc>
        <w:tc>
          <w:tcPr>
            <w:tcW w:w="3787" w:type="dxa"/>
            <w:gridSpan w:val="2"/>
            <w:tcBorders>
              <w:top w:val="single" w:sz="4" w:space="0" w:color="auto"/>
              <w:left w:val="single" w:sz="4" w:space="0" w:color="auto"/>
              <w:bottom w:val="single" w:sz="4" w:space="0" w:color="auto"/>
              <w:right w:val="single" w:sz="4" w:space="0" w:color="auto"/>
            </w:tcBorders>
            <w:shd w:val="clear" w:color="auto" w:fill="FFFFFF"/>
          </w:tcPr>
          <w:p w:rsidR="004F7A5F" w:rsidRPr="00A1089A" w:rsidRDefault="004F7A5F" w:rsidP="00221BB2">
            <w:pPr>
              <w:tabs>
                <w:tab w:val="left" w:pos="518"/>
              </w:tabs>
              <w:ind w:left="44" w:right="182" w:firstLine="141"/>
              <w:jc w:val="both"/>
              <w:rPr>
                <w:rStyle w:val="210pt"/>
                <w:rFonts w:eastAsia="Arial Unicode MS"/>
                <w:sz w:val="28"/>
                <w:szCs w:val="28"/>
              </w:rPr>
            </w:pPr>
            <w:r w:rsidRPr="00221BB2">
              <w:rPr>
                <w:rStyle w:val="210pt"/>
                <w:rFonts w:eastAsia="Arial Unicode MS"/>
                <w:sz w:val="28"/>
              </w:rPr>
              <w:t>Витрати підприємства</w:t>
            </w:r>
            <w:r w:rsidR="00221BB2" w:rsidRPr="00221BB2">
              <w:rPr>
                <w:rStyle w:val="210pt"/>
                <w:rFonts w:eastAsia="Arial Unicode MS"/>
                <w:sz w:val="28"/>
              </w:rPr>
              <w:t>,</w:t>
            </w:r>
            <w:r w:rsidRPr="00221BB2">
              <w:rPr>
                <w:rStyle w:val="210pt"/>
                <w:rFonts w:eastAsia="Arial Unicode MS"/>
                <w:sz w:val="28"/>
              </w:rPr>
              <w:t xml:space="preserve"> що </w:t>
            </w:r>
            <w:r w:rsidRPr="00A1089A">
              <w:rPr>
                <w:rStyle w:val="210pt"/>
                <w:rFonts w:eastAsia="Arial Unicode MS"/>
                <w:sz w:val="28"/>
              </w:rPr>
              <w:t>залучили інженера-</w:t>
            </w:r>
            <w:r w:rsidRPr="00A1089A">
              <w:rPr>
                <w:rStyle w:val="210pt"/>
                <w:rFonts w:eastAsia="Arial Unicode MS"/>
                <w:sz w:val="28"/>
                <w:szCs w:val="28"/>
              </w:rPr>
              <w:t xml:space="preserve">консультанта складають у обсязі до 3% від зведеного кошторисного розрахунку. </w:t>
            </w:r>
          </w:p>
          <w:p w:rsidR="00A1089A" w:rsidRPr="00A1089A" w:rsidRDefault="00A1089A" w:rsidP="00221BB2">
            <w:pPr>
              <w:tabs>
                <w:tab w:val="left" w:pos="518"/>
              </w:tabs>
              <w:ind w:left="44" w:right="182" w:firstLine="141"/>
              <w:jc w:val="both"/>
              <w:rPr>
                <w:sz w:val="28"/>
              </w:rPr>
            </w:pPr>
            <w:r w:rsidRPr="00A1089A">
              <w:rPr>
                <w:rStyle w:val="210pt"/>
                <w:rFonts w:eastAsia="Arial Unicode MS"/>
                <w:sz w:val="28"/>
                <w:szCs w:val="28"/>
              </w:rPr>
              <w:t>А при здійсненні ним і технічного нагляду – 4,5 %</w:t>
            </w:r>
            <w:r>
              <w:t xml:space="preserve"> </w:t>
            </w:r>
            <w:r w:rsidRPr="00A1089A">
              <w:rPr>
                <w:rStyle w:val="210pt"/>
                <w:rFonts w:eastAsia="Arial Unicode MS"/>
                <w:sz w:val="28"/>
                <w:szCs w:val="28"/>
              </w:rPr>
              <w:t>від зведеного кошторисного розрахунку.</w:t>
            </w:r>
          </w:p>
        </w:tc>
      </w:tr>
      <w:tr w:rsidR="004F7A5F" w:rsidRPr="006D428E" w:rsidTr="00221BB2">
        <w:trPr>
          <w:gridBefore w:val="1"/>
          <w:wBefore w:w="10" w:type="dxa"/>
          <w:trHeight w:hRule="exact" w:val="1985"/>
        </w:trPr>
        <w:tc>
          <w:tcPr>
            <w:tcW w:w="1958" w:type="dxa"/>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Альтернатива 2</w:t>
            </w:r>
          </w:p>
        </w:tc>
        <w:tc>
          <w:tcPr>
            <w:tcW w:w="3941" w:type="dxa"/>
            <w:gridSpan w:val="2"/>
            <w:tcBorders>
              <w:top w:val="single" w:sz="4" w:space="0" w:color="auto"/>
              <w:left w:val="single" w:sz="4" w:space="0" w:color="auto"/>
              <w:bottom w:val="single" w:sz="4" w:space="0" w:color="auto"/>
            </w:tcBorders>
            <w:shd w:val="clear" w:color="auto" w:fill="FFFFFF"/>
          </w:tcPr>
          <w:p w:rsidR="004F7A5F" w:rsidRPr="00221BB2" w:rsidRDefault="004F7A5F" w:rsidP="00221BB2">
            <w:pPr>
              <w:tabs>
                <w:tab w:val="left" w:pos="518"/>
              </w:tabs>
              <w:ind w:firstLine="320"/>
              <w:jc w:val="both"/>
              <w:rPr>
                <w:sz w:val="28"/>
              </w:rPr>
            </w:pPr>
            <w:r w:rsidRPr="00221BB2">
              <w:rPr>
                <w:rStyle w:val="210pt"/>
                <w:rFonts w:eastAsia="Arial Unicode MS"/>
                <w:sz w:val="28"/>
              </w:rPr>
              <w:t>Відсутні</w:t>
            </w:r>
          </w:p>
        </w:tc>
        <w:tc>
          <w:tcPr>
            <w:tcW w:w="3787" w:type="dxa"/>
            <w:gridSpan w:val="2"/>
            <w:tcBorders>
              <w:top w:val="single" w:sz="4" w:space="0" w:color="auto"/>
              <w:left w:val="single" w:sz="4" w:space="0" w:color="auto"/>
              <w:bottom w:val="single" w:sz="4" w:space="0" w:color="auto"/>
              <w:right w:val="single" w:sz="4" w:space="0" w:color="auto"/>
            </w:tcBorders>
            <w:shd w:val="clear" w:color="auto" w:fill="FFFFFF"/>
          </w:tcPr>
          <w:p w:rsidR="004F7A5F" w:rsidRPr="00221BB2" w:rsidRDefault="00380CD1" w:rsidP="00221BB2">
            <w:pPr>
              <w:widowControl w:val="0"/>
              <w:tabs>
                <w:tab w:val="left" w:pos="538"/>
              </w:tabs>
              <w:ind w:right="182"/>
              <w:jc w:val="both"/>
              <w:rPr>
                <w:sz w:val="28"/>
              </w:rPr>
            </w:pPr>
            <w:r w:rsidRPr="00221BB2">
              <w:rPr>
                <w:rStyle w:val="210pt"/>
                <w:rFonts w:eastAsia="Arial Unicode MS"/>
                <w:sz w:val="28"/>
              </w:rPr>
              <w:t>Н</w:t>
            </w:r>
            <w:r w:rsidR="004F7A5F" w:rsidRPr="00221BB2">
              <w:rPr>
                <w:rStyle w:val="210pt"/>
                <w:rFonts w:eastAsia="Arial Unicode MS"/>
                <w:sz w:val="28"/>
              </w:rPr>
              <w:t>еможливість забезпечити зменшення матеріальних витрат орієнтовно на 15%.</w:t>
            </w:r>
          </w:p>
        </w:tc>
      </w:tr>
      <w:tr w:rsidR="004F7A5F" w:rsidRPr="006D428E" w:rsidTr="00C75FF5">
        <w:trPr>
          <w:gridAfter w:val="1"/>
          <w:wAfter w:w="9" w:type="dxa"/>
          <w:trHeight w:hRule="exact" w:val="1042"/>
        </w:trPr>
        <w:tc>
          <w:tcPr>
            <w:tcW w:w="9687" w:type="dxa"/>
            <w:gridSpan w:val="5"/>
            <w:shd w:val="clear" w:color="auto" w:fill="FFFFFF"/>
            <w:vAlign w:val="bottom"/>
          </w:tcPr>
          <w:p w:rsidR="004F7A5F" w:rsidRPr="00154629" w:rsidRDefault="004F7A5F" w:rsidP="00C75FF5">
            <w:pPr>
              <w:pStyle w:val="32"/>
              <w:keepNext/>
              <w:keepLines/>
              <w:shd w:val="clear" w:color="auto" w:fill="auto"/>
              <w:spacing w:before="0" w:line="322" w:lineRule="exact"/>
              <w:ind w:firstLine="0"/>
              <w:jc w:val="center"/>
              <w:rPr>
                <w:lang w:val="ru-RU"/>
              </w:rPr>
            </w:pPr>
          </w:p>
          <w:p w:rsidR="004F7A5F" w:rsidRPr="004F7A5F" w:rsidRDefault="004F7A5F" w:rsidP="007B5A56">
            <w:pPr>
              <w:pStyle w:val="32"/>
              <w:keepNext/>
              <w:keepLines/>
              <w:shd w:val="clear" w:color="auto" w:fill="auto"/>
              <w:spacing w:before="0" w:line="322" w:lineRule="exact"/>
              <w:ind w:firstLine="0"/>
              <w:rPr>
                <w:lang w:val="ru-RU"/>
              </w:rPr>
            </w:pPr>
            <w:r w:rsidRPr="006D428E">
              <w:t>IV</w:t>
            </w:r>
            <w:r w:rsidRPr="004F7A5F">
              <w:rPr>
                <w:lang w:val="ru-RU"/>
              </w:rPr>
              <w:t>. Вибір найбільш оптимального альтернативного способу</w:t>
            </w:r>
            <w:r>
              <w:rPr>
                <w:lang w:val="ru-RU"/>
              </w:rPr>
              <w:t xml:space="preserve"> </w:t>
            </w:r>
            <w:r w:rsidRPr="004F7A5F">
              <w:rPr>
                <w:lang w:val="ru-RU"/>
              </w:rPr>
              <w:t>досягнення цілей</w:t>
            </w:r>
          </w:p>
          <w:p w:rsidR="004F7A5F" w:rsidRPr="004F7A5F" w:rsidRDefault="004F7A5F" w:rsidP="00C75FF5">
            <w:pPr>
              <w:pStyle w:val="32"/>
              <w:keepNext/>
              <w:keepLines/>
              <w:shd w:val="clear" w:color="auto" w:fill="auto"/>
              <w:spacing w:before="0" w:line="322" w:lineRule="exact"/>
              <w:ind w:firstLine="0"/>
              <w:jc w:val="center"/>
              <w:rPr>
                <w:lang w:val="ru-RU"/>
              </w:rPr>
            </w:pPr>
          </w:p>
        </w:tc>
      </w:tr>
      <w:tr w:rsidR="004F7A5F" w:rsidRPr="006D428E" w:rsidTr="00221BB2">
        <w:trPr>
          <w:gridAfter w:val="1"/>
          <w:wAfter w:w="9" w:type="dxa"/>
          <w:trHeight w:hRule="exact" w:val="2023"/>
        </w:trPr>
        <w:tc>
          <w:tcPr>
            <w:tcW w:w="1978" w:type="dxa"/>
            <w:gridSpan w:val="3"/>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Рейтинг</w:t>
            </w:r>
          </w:p>
          <w:p w:rsidR="004F7A5F" w:rsidRPr="00221BB2" w:rsidRDefault="004F7A5F" w:rsidP="00221BB2">
            <w:pPr>
              <w:jc w:val="both"/>
              <w:rPr>
                <w:sz w:val="28"/>
              </w:rPr>
            </w:pPr>
            <w:r w:rsidRPr="00221BB2">
              <w:rPr>
                <w:rStyle w:val="210pt"/>
                <w:rFonts w:eastAsia="Arial Unicode MS"/>
                <w:sz w:val="28"/>
              </w:rPr>
              <w:t>результативності (досягнення цілей під час вирішення проблеми)</w:t>
            </w:r>
          </w:p>
        </w:tc>
        <w:tc>
          <w:tcPr>
            <w:tcW w:w="3931" w:type="dxa"/>
            <w:tcBorders>
              <w:top w:val="single" w:sz="4" w:space="0" w:color="auto"/>
              <w:left w:val="single" w:sz="4" w:space="0" w:color="auto"/>
              <w:bottom w:val="single" w:sz="4" w:space="0" w:color="auto"/>
            </w:tcBorders>
            <w:shd w:val="clear" w:color="auto" w:fill="FFFFFF"/>
          </w:tcPr>
          <w:p w:rsidR="004F7A5F" w:rsidRPr="00221BB2" w:rsidRDefault="004F7A5F" w:rsidP="00221BB2">
            <w:pPr>
              <w:rPr>
                <w:sz w:val="28"/>
              </w:rPr>
            </w:pPr>
            <w:r w:rsidRPr="00221BB2">
              <w:rPr>
                <w:rStyle w:val="210pt"/>
                <w:rFonts w:eastAsia="Arial Unicode MS"/>
                <w:sz w:val="28"/>
              </w:rPr>
              <w:t>Бал результативності (за чотирибальною системою оцінки)</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4F7A5F" w:rsidRPr="00221BB2" w:rsidRDefault="004F7A5F" w:rsidP="00221BB2">
            <w:pPr>
              <w:ind w:left="40"/>
              <w:rPr>
                <w:sz w:val="28"/>
              </w:rPr>
            </w:pPr>
            <w:r w:rsidRPr="00221BB2">
              <w:rPr>
                <w:rStyle w:val="210pt"/>
                <w:rFonts w:eastAsia="Arial Unicode MS"/>
                <w:sz w:val="28"/>
              </w:rPr>
              <w:t>Коментарі щодо присвоєння відповідного бала</w:t>
            </w:r>
          </w:p>
        </w:tc>
      </w:tr>
      <w:tr w:rsidR="004F7A5F" w:rsidRPr="006D428E" w:rsidTr="00221BB2">
        <w:trPr>
          <w:gridAfter w:val="1"/>
          <w:wAfter w:w="9" w:type="dxa"/>
          <w:trHeight w:hRule="exact" w:val="3256"/>
        </w:trPr>
        <w:tc>
          <w:tcPr>
            <w:tcW w:w="1978" w:type="dxa"/>
            <w:gridSpan w:val="3"/>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Альтернатива 1</w:t>
            </w:r>
          </w:p>
        </w:tc>
        <w:tc>
          <w:tcPr>
            <w:tcW w:w="3931" w:type="dxa"/>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4</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Альтернатива 1 дозволяє повністю досягнути поставлених цілей державного регулювання, а також забезпечити можливість суб’єктам господарювання, які залучили інженера консультанта, зменшити часові та матеріальні витрати орієнтовно на 15%.</w:t>
            </w:r>
          </w:p>
        </w:tc>
      </w:tr>
      <w:tr w:rsidR="004F7A5F" w:rsidRPr="006D428E" w:rsidTr="00221BB2">
        <w:trPr>
          <w:gridAfter w:val="1"/>
          <w:wAfter w:w="9" w:type="dxa"/>
          <w:trHeight w:hRule="exact" w:val="1134"/>
        </w:trPr>
        <w:tc>
          <w:tcPr>
            <w:tcW w:w="1978" w:type="dxa"/>
            <w:gridSpan w:val="3"/>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Альтернатива 2</w:t>
            </w:r>
          </w:p>
        </w:tc>
        <w:tc>
          <w:tcPr>
            <w:tcW w:w="3931" w:type="dxa"/>
            <w:tcBorders>
              <w:top w:val="single" w:sz="4" w:space="0" w:color="auto"/>
              <w:left w:val="single" w:sz="4" w:space="0" w:color="auto"/>
              <w:bottom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1</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4F7A5F" w:rsidRPr="00221BB2" w:rsidRDefault="004F7A5F" w:rsidP="00221BB2">
            <w:pPr>
              <w:jc w:val="both"/>
              <w:rPr>
                <w:sz w:val="28"/>
              </w:rPr>
            </w:pPr>
            <w:r w:rsidRPr="00221BB2">
              <w:rPr>
                <w:rStyle w:val="210pt"/>
                <w:rFonts w:eastAsia="Arial Unicode MS"/>
                <w:sz w:val="28"/>
              </w:rPr>
              <w:t xml:space="preserve">Не дозволяє досягнути поставлених цілей державного регулювання </w:t>
            </w:r>
          </w:p>
        </w:tc>
      </w:tr>
    </w:tbl>
    <w:p w:rsidR="004F7A5F" w:rsidRPr="006D428E" w:rsidRDefault="004F7A5F" w:rsidP="004F7A5F">
      <w:pPr>
        <w:ind w:firstLine="426"/>
        <w:jc w:val="both"/>
        <w:rPr>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3"/>
        <w:gridCol w:w="2694"/>
        <w:gridCol w:w="2258"/>
        <w:gridCol w:w="12"/>
        <w:gridCol w:w="2407"/>
      </w:tblGrid>
      <w:tr w:rsidR="004F7A5F" w:rsidRPr="006D428E" w:rsidTr="00820EDC">
        <w:tc>
          <w:tcPr>
            <w:tcW w:w="1175" w:type="pct"/>
            <w:hideMark/>
          </w:tcPr>
          <w:p w:rsidR="004F7A5F" w:rsidRPr="00820EDC" w:rsidRDefault="004F7A5F" w:rsidP="00820EDC">
            <w:pPr>
              <w:tabs>
                <w:tab w:val="left" w:pos="1778"/>
              </w:tabs>
              <w:ind w:right="142" w:hanging="12"/>
              <w:rPr>
                <w:sz w:val="28"/>
              </w:rPr>
            </w:pPr>
            <w:r w:rsidRPr="00820EDC">
              <w:rPr>
                <w:sz w:val="28"/>
              </w:rPr>
              <w:t>Рейтинг результативності</w:t>
            </w:r>
          </w:p>
        </w:tc>
        <w:tc>
          <w:tcPr>
            <w:tcW w:w="1398" w:type="pct"/>
            <w:hideMark/>
          </w:tcPr>
          <w:p w:rsidR="004F7A5F" w:rsidRPr="00820EDC" w:rsidRDefault="004F7A5F" w:rsidP="00820EDC">
            <w:pPr>
              <w:tabs>
                <w:tab w:val="left" w:pos="1778"/>
              </w:tabs>
              <w:ind w:right="142" w:hanging="12"/>
              <w:rPr>
                <w:sz w:val="28"/>
              </w:rPr>
            </w:pPr>
            <w:r w:rsidRPr="00820EDC">
              <w:rPr>
                <w:sz w:val="28"/>
              </w:rPr>
              <w:t>Вигоди (підсумок)</w:t>
            </w:r>
          </w:p>
        </w:tc>
        <w:tc>
          <w:tcPr>
            <w:tcW w:w="1178" w:type="pct"/>
            <w:gridSpan w:val="2"/>
            <w:hideMark/>
          </w:tcPr>
          <w:p w:rsidR="004F7A5F" w:rsidRPr="00820EDC" w:rsidRDefault="004F7A5F" w:rsidP="00820EDC">
            <w:pPr>
              <w:tabs>
                <w:tab w:val="left" w:pos="1778"/>
              </w:tabs>
              <w:ind w:right="142" w:hanging="12"/>
              <w:rPr>
                <w:sz w:val="28"/>
              </w:rPr>
            </w:pPr>
            <w:r w:rsidRPr="00820EDC">
              <w:rPr>
                <w:sz w:val="28"/>
              </w:rPr>
              <w:t>Витрати (підсумок)</w:t>
            </w:r>
          </w:p>
        </w:tc>
        <w:tc>
          <w:tcPr>
            <w:tcW w:w="1249" w:type="pct"/>
            <w:vAlign w:val="center"/>
            <w:hideMark/>
          </w:tcPr>
          <w:p w:rsidR="004F7A5F" w:rsidRPr="00820EDC" w:rsidRDefault="004F7A5F" w:rsidP="00820EDC">
            <w:pPr>
              <w:tabs>
                <w:tab w:val="left" w:pos="1778"/>
              </w:tabs>
              <w:ind w:right="142" w:hanging="12"/>
              <w:jc w:val="both"/>
              <w:rPr>
                <w:sz w:val="28"/>
              </w:rPr>
            </w:pPr>
            <w:r w:rsidRPr="00820EDC">
              <w:rPr>
                <w:sz w:val="28"/>
              </w:rPr>
              <w:t>Обґрунтування відповідного місця альтернативи у рейтингу</w:t>
            </w:r>
          </w:p>
        </w:tc>
      </w:tr>
      <w:tr w:rsidR="004F7A5F" w:rsidRPr="006D428E" w:rsidTr="00C75FF5">
        <w:tc>
          <w:tcPr>
            <w:tcW w:w="1175" w:type="pct"/>
            <w:tcBorders>
              <w:bottom w:val="single" w:sz="4" w:space="0" w:color="auto"/>
            </w:tcBorders>
          </w:tcPr>
          <w:p w:rsidR="004F7A5F" w:rsidRPr="00820EDC" w:rsidRDefault="004F7A5F" w:rsidP="00820EDC">
            <w:pPr>
              <w:tabs>
                <w:tab w:val="left" w:pos="1778"/>
              </w:tabs>
              <w:ind w:left="-28" w:hanging="12"/>
              <w:jc w:val="both"/>
              <w:rPr>
                <w:sz w:val="28"/>
              </w:rPr>
            </w:pPr>
            <w:r w:rsidRPr="00820EDC">
              <w:rPr>
                <w:sz w:val="28"/>
              </w:rPr>
              <w:t>Альтернатива 1.</w:t>
            </w:r>
          </w:p>
          <w:p w:rsidR="004F7A5F" w:rsidRPr="00820EDC" w:rsidRDefault="004F7A5F" w:rsidP="00820EDC">
            <w:pPr>
              <w:tabs>
                <w:tab w:val="left" w:pos="1778"/>
              </w:tabs>
              <w:ind w:left="-28" w:hanging="12"/>
              <w:jc w:val="both"/>
              <w:rPr>
                <w:sz w:val="28"/>
              </w:rPr>
            </w:pPr>
          </w:p>
        </w:tc>
        <w:tc>
          <w:tcPr>
            <w:tcW w:w="1398" w:type="pct"/>
            <w:tcBorders>
              <w:bottom w:val="single" w:sz="4" w:space="0" w:color="auto"/>
            </w:tcBorders>
          </w:tcPr>
          <w:p w:rsidR="004F7A5F" w:rsidRPr="00820EDC" w:rsidRDefault="004F7A5F" w:rsidP="00820EDC">
            <w:pPr>
              <w:ind w:left="13" w:right="32"/>
              <w:jc w:val="both"/>
              <w:rPr>
                <w:sz w:val="28"/>
              </w:rPr>
            </w:pPr>
            <w:r w:rsidRPr="00820EDC">
              <w:rPr>
                <w:sz w:val="28"/>
              </w:rPr>
              <w:t xml:space="preserve">Урегулювання процесу організації виконання будівельних робіт із залученням незалежних інженерів-консультантів на всіх етапах життєвого циклу об’єкта; </w:t>
            </w:r>
          </w:p>
          <w:p w:rsidR="004F7A5F" w:rsidRPr="00820EDC" w:rsidRDefault="004F7A5F" w:rsidP="00820EDC">
            <w:pPr>
              <w:ind w:left="13" w:right="32"/>
              <w:jc w:val="both"/>
              <w:rPr>
                <w:sz w:val="28"/>
              </w:rPr>
            </w:pPr>
            <w:r w:rsidRPr="00820EDC">
              <w:rPr>
                <w:sz w:val="28"/>
              </w:rPr>
              <w:t>своєчасне виконання робіт;</w:t>
            </w:r>
          </w:p>
          <w:p w:rsidR="004F7A5F" w:rsidRPr="00820EDC" w:rsidRDefault="004F7A5F" w:rsidP="00820EDC">
            <w:pPr>
              <w:ind w:left="13" w:right="32"/>
              <w:jc w:val="both"/>
              <w:rPr>
                <w:sz w:val="28"/>
              </w:rPr>
            </w:pPr>
            <w:r w:rsidRPr="00820EDC">
              <w:rPr>
                <w:sz w:val="28"/>
              </w:rPr>
              <w:t>чітке розмежування функцій і уточнення порядку взаємодії сторін залучених до будівництва.</w:t>
            </w:r>
          </w:p>
        </w:tc>
        <w:tc>
          <w:tcPr>
            <w:tcW w:w="1178" w:type="pct"/>
            <w:gridSpan w:val="2"/>
            <w:tcBorders>
              <w:bottom w:val="single" w:sz="4" w:space="0" w:color="auto"/>
            </w:tcBorders>
          </w:tcPr>
          <w:p w:rsidR="004F7A5F" w:rsidRPr="00820EDC" w:rsidRDefault="004F7A5F" w:rsidP="00820EDC">
            <w:pPr>
              <w:ind w:left="13" w:right="32"/>
              <w:jc w:val="both"/>
              <w:rPr>
                <w:sz w:val="28"/>
              </w:rPr>
            </w:pPr>
            <w:r w:rsidRPr="00820EDC">
              <w:rPr>
                <w:sz w:val="28"/>
              </w:rPr>
              <w:t>Витрати на залучення інженера-консультанта в межах визначних чинними стандартами з ціноутворення в будівництві.</w:t>
            </w:r>
          </w:p>
        </w:tc>
        <w:tc>
          <w:tcPr>
            <w:tcW w:w="1249" w:type="pct"/>
            <w:tcBorders>
              <w:bottom w:val="single" w:sz="4" w:space="0" w:color="auto"/>
            </w:tcBorders>
          </w:tcPr>
          <w:p w:rsidR="004F7A5F" w:rsidRPr="00820EDC" w:rsidRDefault="004F7A5F" w:rsidP="00D12685">
            <w:pPr>
              <w:ind w:left="13" w:right="32"/>
              <w:jc w:val="both"/>
              <w:rPr>
                <w:sz w:val="28"/>
              </w:rPr>
            </w:pPr>
            <w:r w:rsidRPr="00820EDC">
              <w:rPr>
                <w:sz w:val="28"/>
              </w:rPr>
              <w:t xml:space="preserve">Прийняття </w:t>
            </w:r>
            <w:r w:rsidR="00D12685">
              <w:rPr>
                <w:sz w:val="28"/>
              </w:rPr>
              <w:t>проекту акта</w:t>
            </w:r>
            <w:r w:rsidRPr="00820EDC">
              <w:rPr>
                <w:sz w:val="28"/>
              </w:rPr>
              <w:t xml:space="preserve"> дозволить досягнути цілей державного регулювання.</w:t>
            </w:r>
          </w:p>
        </w:tc>
      </w:tr>
      <w:tr w:rsidR="004F7A5F" w:rsidRPr="006D428E" w:rsidTr="00C75FF5">
        <w:tc>
          <w:tcPr>
            <w:tcW w:w="1175" w:type="pct"/>
            <w:tcBorders>
              <w:bottom w:val="single" w:sz="4" w:space="0" w:color="auto"/>
            </w:tcBorders>
          </w:tcPr>
          <w:p w:rsidR="004F7A5F" w:rsidRPr="00820EDC" w:rsidRDefault="004F7A5F" w:rsidP="00820EDC">
            <w:pPr>
              <w:tabs>
                <w:tab w:val="left" w:pos="1778"/>
              </w:tabs>
              <w:ind w:left="-28" w:hanging="12"/>
              <w:jc w:val="both"/>
              <w:rPr>
                <w:sz w:val="28"/>
              </w:rPr>
            </w:pPr>
            <w:r w:rsidRPr="00820EDC">
              <w:rPr>
                <w:sz w:val="28"/>
              </w:rPr>
              <w:t>Альтернатива 2.</w:t>
            </w:r>
          </w:p>
          <w:p w:rsidR="004F7A5F" w:rsidRPr="00820EDC" w:rsidRDefault="004F7A5F" w:rsidP="00820EDC">
            <w:pPr>
              <w:tabs>
                <w:tab w:val="left" w:pos="1778"/>
              </w:tabs>
              <w:ind w:left="-28" w:hanging="12"/>
              <w:jc w:val="both"/>
              <w:rPr>
                <w:sz w:val="28"/>
              </w:rPr>
            </w:pPr>
          </w:p>
        </w:tc>
        <w:tc>
          <w:tcPr>
            <w:tcW w:w="1398" w:type="pct"/>
            <w:tcBorders>
              <w:bottom w:val="single" w:sz="4" w:space="0" w:color="auto"/>
            </w:tcBorders>
          </w:tcPr>
          <w:p w:rsidR="004F7A5F" w:rsidRPr="00820EDC" w:rsidRDefault="004F7A5F" w:rsidP="00820EDC">
            <w:pPr>
              <w:ind w:left="13" w:right="32"/>
              <w:jc w:val="both"/>
              <w:rPr>
                <w:sz w:val="28"/>
              </w:rPr>
            </w:pPr>
            <w:r w:rsidRPr="00820EDC">
              <w:rPr>
                <w:sz w:val="28"/>
              </w:rPr>
              <w:t>Відсутні.</w:t>
            </w:r>
          </w:p>
        </w:tc>
        <w:tc>
          <w:tcPr>
            <w:tcW w:w="1178" w:type="pct"/>
            <w:gridSpan w:val="2"/>
            <w:tcBorders>
              <w:bottom w:val="single" w:sz="4" w:space="0" w:color="auto"/>
            </w:tcBorders>
          </w:tcPr>
          <w:p w:rsidR="004F7A5F" w:rsidRPr="00820EDC" w:rsidRDefault="004F7A5F" w:rsidP="00820EDC">
            <w:pPr>
              <w:ind w:left="13" w:right="32"/>
              <w:jc w:val="both"/>
              <w:rPr>
                <w:sz w:val="28"/>
              </w:rPr>
            </w:pPr>
            <w:r w:rsidRPr="00820EDC">
              <w:rPr>
                <w:sz w:val="28"/>
              </w:rPr>
              <w:t>Відсутність незалежного контролю створює корупційні ризики, що в свою чергу може призвести до виконання підрядниками неякісних робіт та збільшення витрат на утримання інфраструктурних об’єктів</w:t>
            </w:r>
          </w:p>
        </w:tc>
        <w:tc>
          <w:tcPr>
            <w:tcW w:w="1249" w:type="pct"/>
            <w:tcBorders>
              <w:bottom w:val="single" w:sz="4" w:space="0" w:color="auto"/>
            </w:tcBorders>
          </w:tcPr>
          <w:p w:rsidR="004F7A5F" w:rsidRPr="00820EDC" w:rsidRDefault="004F7A5F" w:rsidP="00820EDC">
            <w:pPr>
              <w:ind w:left="13" w:right="32"/>
              <w:jc w:val="both"/>
              <w:rPr>
                <w:sz w:val="28"/>
              </w:rPr>
            </w:pPr>
            <w:r w:rsidRPr="00820EDC">
              <w:rPr>
                <w:sz w:val="28"/>
              </w:rPr>
              <w:t>Ця альтернатива не дозволить досягнути цілей державного регулювання</w:t>
            </w:r>
          </w:p>
        </w:tc>
      </w:tr>
      <w:tr w:rsidR="004F7A5F" w:rsidRPr="006D428E" w:rsidTr="00C75FF5">
        <w:tc>
          <w:tcPr>
            <w:tcW w:w="1175" w:type="pct"/>
            <w:tcBorders>
              <w:top w:val="single" w:sz="4" w:space="0" w:color="auto"/>
              <w:left w:val="nil"/>
              <w:bottom w:val="nil"/>
              <w:right w:val="nil"/>
            </w:tcBorders>
          </w:tcPr>
          <w:p w:rsidR="004F7A5F" w:rsidRPr="006D428E" w:rsidRDefault="004F7A5F" w:rsidP="00C75FF5">
            <w:pPr>
              <w:tabs>
                <w:tab w:val="left" w:pos="1778"/>
              </w:tabs>
              <w:ind w:left="-28" w:hanging="12"/>
              <w:jc w:val="both"/>
            </w:pPr>
          </w:p>
        </w:tc>
        <w:tc>
          <w:tcPr>
            <w:tcW w:w="1398" w:type="pct"/>
            <w:tcBorders>
              <w:top w:val="single" w:sz="4" w:space="0" w:color="auto"/>
              <w:left w:val="nil"/>
              <w:bottom w:val="nil"/>
              <w:right w:val="nil"/>
            </w:tcBorders>
          </w:tcPr>
          <w:p w:rsidR="004F7A5F" w:rsidRPr="006D428E" w:rsidRDefault="004F7A5F" w:rsidP="00C75FF5">
            <w:pPr>
              <w:spacing w:line="360" w:lineRule="auto"/>
              <w:ind w:left="13" w:right="32"/>
              <w:jc w:val="both"/>
            </w:pPr>
          </w:p>
        </w:tc>
        <w:tc>
          <w:tcPr>
            <w:tcW w:w="1178" w:type="pct"/>
            <w:gridSpan w:val="2"/>
            <w:tcBorders>
              <w:top w:val="single" w:sz="4" w:space="0" w:color="auto"/>
              <w:left w:val="nil"/>
              <w:bottom w:val="nil"/>
              <w:right w:val="nil"/>
            </w:tcBorders>
          </w:tcPr>
          <w:p w:rsidR="004F7A5F" w:rsidRPr="006D428E" w:rsidRDefault="004F7A5F" w:rsidP="00C75FF5">
            <w:pPr>
              <w:spacing w:line="360" w:lineRule="auto"/>
              <w:ind w:left="13" w:right="32"/>
              <w:jc w:val="both"/>
            </w:pPr>
          </w:p>
        </w:tc>
        <w:tc>
          <w:tcPr>
            <w:tcW w:w="1249" w:type="pct"/>
            <w:tcBorders>
              <w:top w:val="single" w:sz="4" w:space="0" w:color="auto"/>
              <w:left w:val="nil"/>
              <w:bottom w:val="nil"/>
              <w:right w:val="nil"/>
            </w:tcBorders>
          </w:tcPr>
          <w:p w:rsidR="004F7A5F" w:rsidRPr="006D428E" w:rsidRDefault="004F7A5F" w:rsidP="00C75FF5">
            <w:pPr>
              <w:spacing w:line="360" w:lineRule="auto"/>
              <w:ind w:left="13" w:right="32"/>
              <w:jc w:val="both"/>
            </w:pPr>
          </w:p>
        </w:tc>
      </w:tr>
      <w:tr w:rsidR="004F7A5F" w:rsidRPr="006D428E" w:rsidTr="00C75FF5">
        <w:tc>
          <w:tcPr>
            <w:tcW w:w="1175" w:type="pct"/>
            <w:tcBorders>
              <w:top w:val="nil"/>
              <w:left w:val="nil"/>
              <w:bottom w:val="nil"/>
              <w:right w:val="nil"/>
            </w:tcBorders>
          </w:tcPr>
          <w:p w:rsidR="004F7A5F" w:rsidRPr="006D428E" w:rsidRDefault="004F7A5F" w:rsidP="00C75FF5">
            <w:pPr>
              <w:tabs>
                <w:tab w:val="left" w:pos="1778"/>
              </w:tabs>
              <w:ind w:left="-28" w:hanging="12"/>
              <w:jc w:val="both"/>
            </w:pPr>
          </w:p>
        </w:tc>
        <w:tc>
          <w:tcPr>
            <w:tcW w:w="1398" w:type="pct"/>
            <w:tcBorders>
              <w:top w:val="nil"/>
              <w:left w:val="nil"/>
              <w:bottom w:val="nil"/>
              <w:right w:val="nil"/>
            </w:tcBorders>
          </w:tcPr>
          <w:p w:rsidR="004F7A5F" w:rsidRPr="006D428E" w:rsidRDefault="004F7A5F" w:rsidP="00C75FF5">
            <w:pPr>
              <w:spacing w:line="360" w:lineRule="auto"/>
              <w:ind w:left="13" w:right="32"/>
              <w:jc w:val="both"/>
            </w:pPr>
          </w:p>
        </w:tc>
        <w:tc>
          <w:tcPr>
            <w:tcW w:w="1178" w:type="pct"/>
            <w:gridSpan w:val="2"/>
            <w:tcBorders>
              <w:top w:val="nil"/>
              <w:left w:val="nil"/>
              <w:bottom w:val="nil"/>
              <w:right w:val="nil"/>
            </w:tcBorders>
          </w:tcPr>
          <w:p w:rsidR="004F7A5F" w:rsidRPr="006D428E" w:rsidRDefault="004F7A5F" w:rsidP="00C75FF5">
            <w:pPr>
              <w:spacing w:line="360" w:lineRule="auto"/>
              <w:ind w:left="13" w:right="32"/>
              <w:jc w:val="both"/>
            </w:pPr>
          </w:p>
        </w:tc>
        <w:tc>
          <w:tcPr>
            <w:tcW w:w="1249" w:type="pct"/>
            <w:tcBorders>
              <w:top w:val="nil"/>
              <w:left w:val="nil"/>
              <w:bottom w:val="nil"/>
              <w:right w:val="nil"/>
            </w:tcBorders>
          </w:tcPr>
          <w:p w:rsidR="004F7A5F" w:rsidRPr="006D428E" w:rsidRDefault="004F7A5F" w:rsidP="00C75FF5">
            <w:pPr>
              <w:spacing w:line="360" w:lineRule="auto"/>
              <w:ind w:left="13" w:right="32"/>
              <w:jc w:val="both"/>
            </w:pPr>
          </w:p>
        </w:tc>
      </w:tr>
      <w:tr w:rsidR="004F7A5F" w:rsidRPr="006D428E" w:rsidTr="00820EDC">
        <w:trPr>
          <w:trHeight w:val="2646"/>
        </w:trPr>
        <w:tc>
          <w:tcPr>
            <w:tcW w:w="1175" w:type="pct"/>
            <w:hideMark/>
          </w:tcPr>
          <w:p w:rsidR="004F7A5F" w:rsidRPr="00820EDC" w:rsidRDefault="004F7A5F" w:rsidP="00820EDC">
            <w:pPr>
              <w:ind w:left="142" w:right="89"/>
              <w:jc w:val="both"/>
              <w:rPr>
                <w:sz w:val="28"/>
              </w:rPr>
            </w:pPr>
            <w:r w:rsidRPr="00820EDC">
              <w:rPr>
                <w:sz w:val="28"/>
              </w:rPr>
              <w:t>Рейтинг</w:t>
            </w:r>
          </w:p>
        </w:tc>
        <w:tc>
          <w:tcPr>
            <w:tcW w:w="2570" w:type="pct"/>
            <w:gridSpan w:val="2"/>
            <w:hideMark/>
          </w:tcPr>
          <w:p w:rsidR="004F7A5F" w:rsidRPr="00820EDC" w:rsidRDefault="004F7A5F" w:rsidP="00820EDC">
            <w:pPr>
              <w:ind w:left="142" w:right="89"/>
              <w:jc w:val="both"/>
              <w:rPr>
                <w:sz w:val="28"/>
              </w:rPr>
            </w:pPr>
            <w:r w:rsidRPr="00820EDC">
              <w:rPr>
                <w:sz w:val="28"/>
              </w:rPr>
              <w:t>Аргументи щодо переваги обраної альтернативи/причини відмови від альтернативи</w:t>
            </w:r>
          </w:p>
        </w:tc>
        <w:tc>
          <w:tcPr>
            <w:tcW w:w="1255" w:type="pct"/>
            <w:gridSpan w:val="2"/>
            <w:hideMark/>
          </w:tcPr>
          <w:p w:rsidR="004F7A5F" w:rsidRPr="00820EDC" w:rsidRDefault="004F7A5F" w:rsidP="00820EDC">
            <w:pPr>
              <w:ind w:left="142" w:right="89"/>
              <w:rPr>
                <w:sz w:val="28"/>
              </w:rPr>
            </w:pPr>
            <w:r w:rsidRPr="00820EDC">
              <w:rPr>
                <w:sz w:val="28"/>
              </w:rPr>
              <w:t>Оцінка ризику зовнішніх чинників на дію запропонованого регуляторного акта</w:t>
            </w:r>
          </w:p>
        </w:tc>
      </w:tr>
      <w:tr w:rsidR="004F7A5F" w:rsidRPr="006D428E" w:rsidTr="00C75FF5">
        <w:trPr>
          <w:trHeight w:val="2646"/>
        </w:trPr>
        <w:tc>
          <w:tcPr>
            <w:tcW w:w="1175" w:type="pct"/>
          </w:tcPr>
          <w:p w:rsidR="004F7A5F" w:rsidRPr="00820EDC" w:rsidRDefault="004F7A5F" w:rsidP="00820EDC">
            <w:pPr>
              <w:ind w:left="142" w:right="89"/>
              <w:jc w:val="both"/>
              <w:rPr>
                <w:sz w:val="28"/>
              </w:rPr>
            </w:pPr>
            <w:r w:rsidRPr="00820EDC">
              <w:rPr>
                <w:sz w:val="28"/>
              </w:rPr>
              <w:t xml:space="preserve">Альтернатива </w:t>
            </w:r>
            <w:r w:rsidR="00E26276" w:rsidRPr="00820EDC">
              <w:rPr>
                <w:sz w:val="28"/>
              </w:rPr>
              <w:t>1</w:t>
            </w:r>
          </w:p>
          <w:p w:rsidR="004F7A5F" w:rsidRPr="00820EDC" w:rsidRDefault="004F7A5F" w:rsidP="00820EDC">
            <w:pPr>
              <w:ind w:left="142" w:right="89"/>
              <w:jc w:val="both"/>
              <w:rPr>
                <w:sz w:val="28"/>
              </w:rPr>
            </w:pPr>
          </w:p>
        </w:tc>
        <w:tc>
          <w:tcPr>
            <w:tcW w:w="2570" w:type="pct"/>
            <w:gridSpan w:val="2"/>
          </w:tcPr>
          <w:p w:rsidR="004F7A5F" w:rsidRPr="00820EDC" w:rsidRDefault="004F7A5F" w:rsidP="00D12685">
            <w:pPr>
              <w:ind w:left="142" w:right="89"/>
              <w:jc w:val="both"/>
              <w:rPr>
                <w:sz w:val="28"/>
              </w:rPr>
            </w:pPr>
            <w:r w:rsidRPr="00820EDC">
              <w:rPr>
                <w:sz w:val="28"/>
              </w:rPr>
              <w:t>Основною перевагою альтернативи</w:t>
            </w:r>
            <w:r w:rsidR="00E26276" w:rsidRPr="00820EDC">
              <w:rPr>
                <w:sz w:val="28"/>
              </w:rPr>
              <w:t xml:space="preserve"> 1</w:t>
            </w:r>
            <w:r w:rsidRPr="00820EDC">
              <w:rPr>
                <w:sz w:val="28"/>
              </w:rPr>
              <w:t xml:space="preserve"> є урегулювання процесу організації виконання будівельних робіт із залученням незалежних інженерів-консультантів на всіх етапах життєвого циклу об’єкта з чітким становленням їх </w:t>
            </w:r>
            <w:r w:rsidR="00D12685">
              <w:rPr>
                <w:sz w:val="28"/>
              </w:rPr>
              <w:t>функцій у відповідності до Закону України «Про регулювання містобудівної діяльності»</w:t>
            </w:r>
            <w:r w:rsidRPr="00820EDC">
              <w:rPr>
                <w:sz w:val="28"/>
              </w:rPr>
              <w:t xml:space="preserve">. </w:t>
            </w:r>
          </w:p>
        </w:tc>
        <w:tc>
          <w:tcPr>
            <w:tcW w:w="1255" w:type="pct"/>
            <w:gridSpan w:val="2"/>
          </w:tcPr>
          <w:p w:rsidR="004F7A5F" w:rsidRPr="00820EDC" w:rsidRDefault="004F7A5F" w:rsidP="00820EDC">
            <w:pPr>
              <w:ind w:left="142" w:right="89"/>
              <w:jc w:val="both"/>
              <w:rPr>
                <w:sz w:val="28"/>
              </w:rPr>
            </w:pPr>
            <w:r w:rsidRPr="00820EDC">
              <w:rPr>
                <w:sz w:val="28"/>
              </w:rPr>
              <w:t>Відсутній ризик зовнішніх чинників на дію запропонованого регуляторного акта</w:t>
            </w:r>
          </w:p>
        </w:tc>
      </w:tr>
      <w:tr w:rsidR="004F7A5F" w:rsidRPr="006D428E" w:rsidTr="00C75FF5">
        <w:tc>
          <w:tcPr>
            <w:tcW w:w="1175" w:type="pct"/>
            <w:hideMark/>
          </w:tcPr>
          <w:p w:rsidR="004F7A5F" w:rsidRPr="00820EDC" w:rsidRDefault="004F7A5F" w:rsidP="00820EDC">
            <w:pPr>
              <w:ind w:left="142" w:right="89"/>
              <w:jc w:val="both"/>
              <w:rPr>
                <w:sz w:val="28"/>
              </w:rPr>
            </w:pPr>
            <w:r w:rsidRPr="00820EDC">
              <w:rPr>
                <w:sz w:val="28"/>
              </w:rPr>
              <w:t xml:space="preserve">Альтернатива </w:t>
            </w:r>
            <w:r w:rsidR="00E26276" w:rsidRPr="00820EDC">
              <w:rPr>
                <w:sz w:val="28"/>
              </w:rPr>
              <w:t>2</w:t>
            </w:r>
          </w:p>
          <w:p w:rsidR="004F7A5F" w:rsidRPr="00820EDC" w:rsidRDefault="004F7A5F" w:rsidP="00820EDC">
            <w:pPr>
              <w:ind w:left="142" w:right="89"/>
              <w:jc w:val="both"/>
              <w:rPr>
                <w:sz w:val="28"/>
              </w:rPr>
            </w:pPr>
          </w:p>
        </w:tc>
        <w:tc>
          <w:tcPr>
            <w:tcW w:w="2570" w:type="pct"/>
            <w:gridSpan w:val="2"/>
            <w:hideMark/>
          </w:tcPr>
          <w:p w:rsidR="004F7A5F" w:rsidRDefault="004F7A5F" w:rsidP="00D12685">
            <w:pPr>
              <w:ind w:left="142" w:right="89"/>
              <w:jc w:val="both"/>
              <w:rPr>
                <w:sz w:val="28"/>
              </w:rPr>
            </w:pPr>
            <w:r w:rsidRPr="00820EDC">
              <w:rPr>
                <w:sz w:val="28"/>
              </w:rPr>
              <w:t xml:space="preserve">Основною причиною відмови від альтернативи є стимулювання можливих корупційних дій на ринку інженерних консультаційних послуг у зв’язку з </w:t>
            </w:r>
            <w:r w:rsidR="00D12685">
              <w:rPr>
                <w:sz w:val="28"/>
              </w:rPr>
              <w:t>невідповідністю</w:t>
            </w:r>
            <w:r w:rsidRPr="00820EDC">
              <w:rPr>
                <w:sz w:val="28"/>
              </w:rPr>
              <w:t xml:space="preserve"> процедури залучення інженера-консультанта</w:t>
            </w:r>
            <w:r w:rsidR="00D12685">
              <w:rPr>
                <w:sz w:val="28"/>
              </w:rPr>
              <w:t xml:space="preserve"> закону як акту вищої юридичної сили</w:t>
            </w:r>
            <w:r w:rsidRPr="00820EDC">
              <w:rPr>
                <w:sz w:val="28"/>
              </w:rPr>
              <w:t>.</w:t>
            </w:r>
          </w:p>
          <w:p w:rsidR="00D12685" w:rsidRPr="00820EDC" w:rsidRDefault="00D12685" w:rsidP="00D12685">
            <w:pPr>
              <w:ind w:left="142" w:right="89"/>
              <w:jc w:val="both"/>
              <w:rPr>
                <w:sz w:val="28"/>
              </w:rPr>
            </w:pPr>
          </w:p>
        </w:tc>
        <w:tc>
          <w:tcPr>
            <w:tcW w:w="1255" w:type="pct"/>
            <w:gridSpan w:val="2"/>
            <w:hideMark/>
          </w:tcPr>
          <w:p w:rsidR="004F7A5F" w:rsidRPr="00820EDC" w:rsidRDefault="004F7A5F" w:rsidP="00820EDC">
            <w:pPr>
              <w:ind w:left="142" w:right="89"/>
              <w:jc w:val="both"/>
              <w:rPr>
                <w:sz w:val="28"/>
              </w:rPr>
            </w:pPr>
            <w:r w:rsidRPr="00820EDC">
              <w:rPr>
                <w:sz w:val="28"/>
              </w:rPr>
              <w:t>Відсутній ризик зовнішніх чинників</w:t>
            </w:r>
          </w:p>
        </w:tc>
      </w:tr>
    </w:tbl>
    <w:p w:rsidR="007B5A56" w:rsidRDefault="007B5A56" w:rsidP="007B5A56">
      <w:pPr>
        <w:pStyle w:val="32"/>
        <w:keepNext/>
        <w:keepLines/>
        <w:shd w:val="clear" w:color="auto" w:fill="auto"/>
        <w:tabs>
          <w:tab w:val="left" w:pos="1497"/>
        </w:tabs>
        <w:spacing w:before="0" w:line="322" w:lineRule="exact"/>
        <w:ind w:firstLine="0"/>
        <w:rPr>
          <w:lang w:val="ru-RU"/>
        </w:rPr>
      </w:pPr>
      <w:bookmarkStart w:id="2" w:name="bookmark9"/>
    </w:p>
    <w:p w:rsidR="004F7A5F" w:rsidRPr="004F7A5F" w:rsidRDefault="004F7A5F" w:rsidP="007B5A56">
      <w:pPr>
        <w:pStyle w:val="32"/>
        <w:keepNext/>
        <w:keepLines/>
        <w:numPr>
          <w:ilvl w:val="0"/>
          <w:numId w:val="17"/>
        </w:numPr>
        <w:shd w:val="clear" w:color="auto" w:fill="auto"/>
        <w:tabs>
          <w:tab w:val="left" w:pos="426"/>
        </w:tabs>
        <w:spacing w:before="0" w:line="322" w:lineRule="exact"/>
        <w:ind w:firstLine="0"/>
        <w:jc w:val="left"/>
        <w:rPr>
          <w:lang w:val="ru-RU"/>
        </w:rPr>
      </w:pPr>
      <w:r w:rsidRPr="004F7A5F">
        <w:rPr>
          <w:lang w:val="ru-RU"/>
        </w:rPr>
        <w:t>Механізми та заходи, які забезпечать розв’язання визначеної</w:t>
      </w:r>
      <w:bookmarkEnd w:id="2"/>
      <w:r w:rsidRPr="004F7A5F">
        <w:rPr>
          <w:lang w:val="ru-RU"/>
        </w:rPr>
        <w:t xml:space="preserve"> </w:t>
      </w:r>
      <w:bookmarkStart w:id="3" w:name="bookmark10"/>
      <w:r w:rsidRPr="004F7A5F">
        <w:rPr>
          <w:lang w:val="ru-RU"/>
        </w:rPr>
        <w:t>Проблеми</w:t>
      </w:r>
      <w:bookmarkEnd w:id="3"/>
    </w:p>
    <w:p w:rsidR="004F7A5F" w:rsidRPr="004F7A5F" w:rsidRDefault="004F7A5F" w:rsidP="004F7A5F">
      <w:pPr>
        <w:pStyle w:val="32"/>
        <w:keepNext/>
        <w:keepLines/>
        <w:shd w:val="clear" w:color="auto" w:fill="auto"/>
        <w:spacing w:before="0" w:line="322" w:lineRule="exact"/>
        <w:ind w:firstLine="0"/>
        <w:jc w:val="center"/>
        <w:rPr>
          <w:lang w:val="ru-RU"/>
        </w:rPr>
      </w:pPr>
    </w:p>
    <w:p w:rsidR="004F7A5F" w:rsidRPr="006D428E" w:rsidRDefault="004F7A5F" w:rsidP="004F7A5F">
      <w:pPr>
        <w:pStyle w:val="130"/>
        <w:numPr>
          <w:ilvl w:val="0"/>
          <w:numId w:val="18"/>
        </w:numPr>
        <w:shd w:val="clear" w:color="auto" w:fill="auto"/>
        <w:tabs>
          <w:tab w:val="left" w:pos="988"/>
        </w:tabs>
        <w:spacing w:before="0" w:line="322" w:lineRule="exact"/>
        <w:ind w:firstLine="620"/>
        <w:jc w:val="both"/>
      </w:pPr>
      <w:r w:rsidRPr="006D428E">
        <w:t>Механізм дії регуляторного акта</w:t>
      </w:r>
    </w:p>
    <w:p w:rsidR="004F7A5F" w:rsidRPr="006D428E" w:rsidRDefault="004F7A5F" w:rsidP="004F7A5F">
      <w:pPr>
        <w:spacing w:line="322" w:lineRule="exact"/>
        <w:ind w:firstLine="620"/>
        <w:jc w:val="both"/>
        <w:rPr>
          <w:rStyle w:val="210pt"/>
          <w:rFonts w:eastAsia="Arial Unicode MS"/>
          <w:sz w:val="28"/>
          <w:szCs w:val="28"/>
        </w:rPr>
      </w:pPr>
      <w:r w:rsidRPr="006D428E">
        <w:rPr>
          <w:rStyle w:val="210pt"/>
          <w:rFonts w:eastAsia="Arial Unicode MS"/>
          <w:sz w:val="28"/>
          <w:szCs w:val="28"/>
        </w:rPr>
        <w:t xml:space="preserve">Реалізація поставлених цілей державного регулювання забезпечується шляхом прийняття </w:t>
      </w:r>
      <w:r w:rsidR="00D12685">
        <w:rPr>
          <w:rStyle w:val="210pt"/>
          <w:rFonts w:eastAsia="Arial Unicode MS"/>
          <w:sz w:val="28"/>
          <w:szCs w:val="28"/>
        </w:rPr>
        <w:t>проекту акта</w:t>
      </w:r>
      <w:r w:rsidR="00180806">
        <w:rPr>
          <w:rStyle w:val="210pt"/>
          <w:rFonts w:eastAsia="Arial Unicode MS"/>
          <w:sz w:val="28"/>
          <w:szCs w:val="28"/>
        </w:rPr>
        <w:t>.</w:t>
      </w:r>
      <w:r w:rsidRPr="006D428E">
        <w:rPr>
          <w:rStyle w:val="210pt"/>
          <w:rFonts w:eastAsia="Arial Unicode MS"/>
          <w:sz w:val="28"/>
          <w:szCs w:val="28"/>
        </w:rPr>
        <w:t xml:space="preserve"> </w:t>
      </w:r>
    </w:p>
    <w:p w:rsidR="004F7A5F" w:rsidRDefault="004F7A5F" w:rsidP="004F7A5F">
      <w:pPr>
        <w:spacing w:line="322" w:lineRule="exact"/>
        <w:ind w:firstLine="620"/>
        <w:jc w:val="both"/>
        <w:rPr>
          <w:sz w:val="28"/>
          <w:szCs w:val="28"/>
        </w:rPr>
      </w:pPr>
      <w:r w:rsidRPr="006D428E">
        <w:rPr>
          <w:sz w:val="28"/>
          <w:szCs w:val="28"/>
        </w:rPr>
        <w:t xml:space="preserve">Прийняття </w:t>
      </w:r>
      <w:r w:rsidR="00180806">
        <w:rPr>
          <w:sz w:val="28"/>
          <w:szCs w:val="28"/>
        </w:rPr>
        <w:t>регуляторного акта</w:t>
      </w:r>
      <w:r w:rsidRPr="006D428E">
        <w:rPr>
          <w:sz w:val="28"/>
          <w:szCs w:val="28"/>
        </w:rPr>
        <w:t xml:space="preserve"> забезпечить можливість практичного застосування положень </w:t>
      </w:r>
      <w:r w:rsidRPr="006D428E">
        <w:rPr>
          <w:rStyle w:val="210pt"/>
          <w:rFonts w:eastAsia="Arial Unicode MS"/>
          <w:sz w:val="28"/>
          <w:szCs w:val="28"/>
        </w:rPr>
        <w:t>законів України «Про регулювання містобудівної діяльності», «Про архітектурну діяльність», «Про автомобільні дороги»  щодо залучення інженера- консультанта</w:t>
      </w:r>
      <w:r w:rsidRPr="006D428E">
        <w:rPr>
          <w:sz w:val="28"/>
          <w:szCs w:val="28"/>
        </w:rPr>
        <w:t>.</w:t>
      </w:r>
    </w:p>
    <w:p w:rsidR="00D12685" w:rsidRPr="006D428E" w:rsidRDefault="00D12685" w:rsidP="004F7A5F">
      <w:pPr>
        <w:spacing w:line="322" w:lineRule="exact"/>
        <w:ind w:firstLine="620"/>
        <w:jc w:val="both"/>
        <w:rPr>
          <w:sz w:val="28"/>
          <w:szCs w:val="28"/>
        </w:rPr>
      </w:pPr>
    </w:p>
    <w:p w:rsidR="004F7A5F" w:rsidRPr="004F7A5F" w:rsidRDefault="004F7A5F" w:rsidP="004F7A5F">
      <w:pPr>
        <w:pStyle w:val="130"/>
        <w:numPr>
          <w:ilvl w:val="0"/>
          <w:numId w:val="18"/>
        </w:numPr>
        <w:shd w:val="clear" w:color="auto" w:fill="auto"/>
        <w:tabs>
          <w:tab w:val="left" w:pos="988"/>
        </w:tabs>
        <w:spacing w:before="0" w:line="280" w:lineRule="exact"/>
        <w:ind w:firstLine="620"/>
        <w:jc w:val="both"/>
        <w:rPr>
          <w:lang w:val="ru-RU"/>
        </w:rPr>
      </w:pPr>
      <w:r w:rsidRPr="004F7A5F">
        <w:rPr>
          <w:lang w:val="ru-RU"/>
        </w:rPr>
        <w:t>Організаційні заходи впровадження регуляторного акта в дію</w:t>
      </w:r>
    </w:p>
    <w:p w:rsidR="004F7A5F" w:rsidRPr="006D428E" w:rsidRDefault="004F7A5F" w:rsidP="004F7A5F">
      <w:pPr>
        <w:spacing w:after="300" w:line="322" w:lineRule="exact"/>
        <w:ind w:firstLine="620"/>
        <w:jc w:val="both"/>
        <w:rPr>
          <w:sz w:val="28"/>
          <w:szCs w:val="28"/>
        </w:rPr>
      </w:pPr>
      <w:r w:rsidRPr="006D428E">
        <w:rPr>
          <w:sz w:val="28"/>
          <w:szCs w:val="28"/>
        </w:rPr>
        <w:t xml:space="preserve">Для впровадження регуляторного акта в дію необхідно забезпечити інформування громадськості про вимоги </w:t>
      </w:r>
      <w:r w:rsidRPr="006D428E">
        <w:rPr>
          <w:sz w:val="28"/>
          <w:szCs w:val="28"/>
          <w:lang w:bidi="ru-RU"/>
        </w:rPr>
        <w:t xml:space="preserve">регуляторного акта </w:t>
      </w:r>
      <w:r w:rsidRPr="006D428E">
        <w:rPr>
          <w:sz w:val="28"/>
          <w:szCs w:val="28"/>
        </w:rPr>
        <w:t xml:space="preserve">шляхом його оприлюднення в </w:t>
      </w:r>
      <w:r w:rsidR="002D1027">
        <w:rPr>
          <w:sz w:val="28"/>
          <w:szCs w:val="28"/>
        </w:rPr>
        <w:t>установленому порядку</w:t>
      </w:r>
      <w:r w:rsidRPr="006D428E">
        <w:rPr>
          <w:sz w:val="28"/>
          <w:szCs w:val="28"/>
        </w:rPr>
        <w:t xml:space="preserve"> та на офіційному вебсайті Мінінфраструктури.</w:t>
      </w:r>
    </w:p>
    <w:p w:rsidR="004F7A5F" w:rsidRDefault="004F7A5F" w:rsidP="007B5A56">
      <w:pPr>
        <w:pStyle w:val="60"/>
        <w:keepNext/>
        <w:keepLines/>
        <w:numPr>
          <w:ilvl w:val="0"/>
          <w:numId w:val="17"/>
        </w:numPr>
        <w:shd w:val="clear" w:color="auto" w:fill="auto"/>
        <w:tabs>
          <w:tab w:val="left" w:pos="567"/>
        </w:tabs>
        <w:spacing w:line="280" w:lineRule="exact"/>
        <w:jc w:val="both"/>
        <w:rPr>
          <w:lang w:val="uk-UA"/>
        </w:rPr>
      </w:pPr>
      <w:r w:rsidRPr="004F7A5F">
        <w:rPr>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w:t>
      </w:r>
      <w:bookmarkStart w:id="4" w:name="bookmark11"/>
      <w:r>
        <w:rPr>
          <w:lang w:val="uk-UA"/>
        </w:rPr>
        <w:t xml:space="preserve"> </w:t>
      </w:r>
      <w:r w:rsidRPr="004F7A5F">
        <w:rPr>
          <w:lang w:val="uk-UA"/>
        </w:rPr>
        <w:t>виконувати ці вимоги</w:t>
      </w:r>
      <w:bookmarkEnd w:id="4"/>
    </w:p>
    <w:p w:rsidR="004F7A5F" w:rsidRPr="004F7A5F" w:rsidRDefault="004F7A5F" w:rsidP="004F7A5F">
      <w:pPr>
        <w:pStyle w:val="60"/>
        <w:keepNext/>
        <w:keepLines/>
        <w:shd w:val="clear" w:color="auto" w:fill="auto"/>
        <w:tabs>
          <w:tab w:val="left" w:pos="1113"/>
        </w:tabs>
        <w:spacing w:line="280" w:lineRule="exact"/>
        <w:rPr>
          <w:lang w:val="uk-UA"/>
        </w:rPr>
      </w:pPr>
    </w:p>
    <w:p w:rsidR="004F7A5F" w:rsidRPr="006D428E" w:rsidRDefault="004F7A5F" w:rsidP="004F7A5F">
      <w:pPr>
        <w:spacing w:line="322" w:lineRule="exact"/>
        <w:ind w:firstLine="600"/>
        <w:jc w:val="both"/>
        <w:rPr>
          <w:sz w:val="28"/>
          <w:szCs w:val="28"/>
        </w:rPr>
      </w:pPr>
      <w:r w:rsidRPr="006D428E">
        <w:rPr>
          <w:sz w:val="28"/>
          <w:szCs w:val="28"/>
        </w:rPr>
        <w:t xml:space="preserve">Державний орган, для якого здійснюється розрахунок адміністрування регулювання: </w:t>
      </w:r>
      <w:r w:rsidR="00D12685">
        <w:rPr>
          <w:sz w:val="28"/>
          <w:szCs w:val="28"/>
        </w:rPr>
        <w:t>Укравтодор</w:t>
      </w:r>
      <w:r w:rsidRPr="006D428E">
        <w:rPr>
          <w:sz w:val="28"/>
          <w:szCs w:val="28"/>
        </w:rPr>
        <w:t xml:space="preserve">.  </w:t>
      </w:r>
    </w:p>
    <w:p w:rsidR="004F7A5F" w:rsidRPr="006D428E" w:rsidRDefault="004F7A5F" w:rsidP="004F7A5F">
      <w:pPr>
        <w:spacing w:line="322" w:lineRule="exact"/>
        <w:ind w:firstLine="600"/>
        <w:jc w:val="both"/>
        <w:rPr>
          <w:sz w:val="28"/>
          <w:szCs w:val="28"/>
        </w:rPr>
      </w:pPr>
      <w:r w:rsidRPr="006D428E">
        <w:rPr>
          <w:sz w:val="28"/>
          <w:szCs w:val="28"/>
        </w:rPr>
        <w:t xml:space="preserve">Додаткових витрат ресурсів, якими розпоряджаються </w:t>
      </w:r>
      <w:r w:rsidR="00D12685">
        <w:rPr>
          <w:sz w:val="28"/>
          <w:szCs w:val="28"/>
        </w:rPr>
        <w:t>Укравтодор,</w:t>
      </w:r>
      <w:r w:rsidRPr="006D428E">
        <w:rPr>
          <w:sz w:val="28"/>
          <w:szCs w:val="28"/>
        </w:rPr>
        <w:t xml:space="preserve"> не передбачається.</w:t>
      </w:r>
    </w:p>
    <w:p w:rsidR="004F7A5F" w:rsidRPr="006D428E" w:rsidRDefault="004F7A5F" w:rsidP="004F7A5F">
      <w:pPr>
        <w:spacing w:line="322" w:lineRule="exact"/>
        <w:ind w:firstLine="600"/>
        <w:jc w:val="both"/>
        <w:rPr>
          <w:sz w:val="28"/>
          <w:szCs w:val="28"/>
        </w:rPr>
      </w:pPr>
      <w:r w:rsidRPr="006D428E">
        <w:rPr>
          <w:sz w:val="28"/>
          <w:szCs w:val="28"/>
        </w:rPr>
        <w:t>Тест малого підприємництва (М-тест) не проводився, оскільки суб’єкти малого підприємництва додаткових витрат на виконання регулювання не зазнають та будуть в однакових умовах з іншими суб’єктами підприємництва. Визначити витрати замовників послуг з будівництва на залучення інженерів - консультантів  також неможливо, адже у відповідності до світової практики вартість послуг інженерів-консультантів є пропорційною до вартості будівельних робіт.</w:t>
      </w:r>
    </w:p>
    <w:p w:rsidR="004F7A5F" w:rsidRPr="006D428E" w:rsidRDefault="004F7A5F" w:rsidP="004F7A5F">
      <w:pPr>
        <w:spacing w:line="322" w:lineRule="exact"/>
        <w:ind w:firstLine="600"/>
        <w:jc w:val="both"/>
        <w:rPr>
          <w:sz w:val="28"/>
          <w:szCs w:val="28"/>
        </w:rPr>
      </w:pPr>
      <w:r w:rsidRPr="006D428E">
        <w:rPr>
          <w:sz w:val="28"/>
          <w:szCs w:val="28"/>
        </w:rPr>
        <w:t xml:space="preserve">Органи виконавчої влади та органи місцевого самоврядування додаткових витрат не зазнають. </w:t>
      </w:r>
    </w:p>
    <w:p w:rsidR="004F7A5F" w:rsidRPr="006D428E" w:rsidRDefault="004F7A5F" w:rsidP="004F7A5F">
      <w:pPr>
        <w:spacing w:line="322" w:lineRule="exact"/>
        <w:ind w:firstLine="600"/>
        <w:jc w:val="both"/>
        <w:rPr>
          <w:sz w:val="28"/>
          <w:szCs w:val="28"/>
        </w:rPr>
      </w:pPr>
    </w:p>
    <w:p w:rsidR="004F7A5F" w:rsidRDefault="004F7A5F" w:rsidP="00A90413">
      <w:pPr>
        <w:pStyle w:val="32"/>
        <w:keepNext/>
        <w:keepLines/>
        <w:numPr>
          <w:ilvl w:val="0"/>
          <w:numId w:val="17"/>
        </w:numPr>
        <w:shd w:val="clear" w:color="auto" w:fill="auto"/>
        <w:tabs>
          <w:tab w:val="left" w:pos="709"/>
          <w:tab w:val="left" w:pos="1220"/>
        </w:tabs>
        <w:spacing w:before="0" w:line="322" w:lineRule="exact"/>
        <w:ind w:firstLine="0"/>
        <w:rPr>
          <w:lang w:val="ru-RU"/>
        </w:rPr>
      </w:pPr>
      <w:bookmarkStart w:id="5" w:name="bookmark12"/>
      <w:r w:rsidRPr="004F7A5F">
        <w:rPr>
          <w:lang w:val="ru-RU"/>
        </w:rPr>
        <w:t>Обґру</w:t>
      </w:r>
      <w:bookmarkStart w:id="6" w:name="_GoBack"/>
      <w:bookmarkEnd w:id="6"/>
      <w:r w:rsidRPr="004F7A5F">
        <w:rPr>
          <w:lang w:val="ru-RU"/>
        </w:rPr>
        <w:t>нтування запропонованого строку дії регуляторного акта</w:t>
      </w:r>
      <w:bookmarkEnd w:id="5"/>
    </w:p>
    <w:p w:rsidR="004F7A5F" w:rsidRPr="004F7A5F" w:rsidRDefault="004F7A5F" w:rsidP="004F7A5F">
      <w:pPr>
        <w:pStyle w:val="32"/>
        <w:keepNext/>
        <w:keepLines/>
        <w:shd w:val="clear" w:color="auto" w:fill="auto"/>
        <w:tabs>
          <w:tab w:val="left" w:pos="1220"/>
        </w:tabs>
        <w:spacing w:before="0" w:line="322" w:lineRule="exact"/>
        <w:ind w:left="600" w:firstLine="0"/>
        <w:rPr>
          <w:lang w:val="ru-RU"/>
        </w:rPr>
      </w:pPr>
    </w:p>
    <w:p w:rsidR="004F7A5F" w:rsidRPr="006D428E" w:rsidRDefault="004F7A5F" w:rsidP="004F7A5F">
      <w:pPr>
        <w:spacing w:line="322" w:lineRule="exact"/>
        <w:ind w:firstLine="600"/>
        <w:jc w:val="both"/>
        <w:rPr>
          <w:sz w:val="28"/>
          <w:szCs w:val="28"/>
        </w:rPr>
      </w:pPr>
      <w:r w:rsidRPr="006D428E">
        <w:rPr>
          <w:sz w:val="28"/>
          <w:szCs w:val="28"/>
        </w:rPr>
        <w:t>Строк дії регуляторного акта не обмежується в часі, що надасть можливість розв’язати проблеми та досягти цілей державного регулювання.</w:t>
      </w:r>
    </w:p>
    <w:p w:rsidR="004F7A5F" w:rsidRPr="006D428E" w:rsidRDefault="004F7A5F" w:rsidP="004F7A5F">
      <w:pPr>
        <w:spacing w:after="300" w:line="322" w:lineRule="exact"/>
        <w:ind w:firstLine="600"/>
        <w:jc w:val="both"/>
        <w:rPr>
          <w:sz w:val="28"/>
          <w:szCs w:val="28"/>
        </w:rPr>
      </w:pPr>
      <w:r w:rsidRPr="006D428E">
        <w:rPr>
          <w:sz w:val="28"/>
          <w:szCs w:val="28"/>
        </w:rPr>
        <w:t>Зміна терміну дії акта можлива в разі зміни правових актів, на виконання вимог яких базується про</w:t>
      </w:r>
      <w:r w:rsidR="002D1027">
        <w:rPr>
          <w:sz w:val="28"/>
          <w:szCs w:val="28"/>
        </w:rPr>
        <w:t>є</w:t>
      </w:r>
      <w:r w:rsidRPr="006D428E">
        <w:rPr>
          <w:sz w:val="28"/>
          <w:szCs w:val="28"/>
        </w:rPr>
        <w:t>кт</w:t>
      </w:r>
      <w:r w:rsidR="002D1027">
        <w:rPr>
          <w:sz w:val="28"/>
          <w:szCs w:val="28"/>
        </w:rPr>
        <w:t xml:space="preserve"> </w:t>
      </w:r>
      <w:r w:rsidR="007B5A56">
        <w:rPr>
          <w:sz w:val="28"/>
          <w:szCs w:val="28"/>
        </w:rPr>
        <w:t>постанови</w:t>
      </w:r>
      <w:r w:rsidRPr="006D428E">
        <w:rPr>
          <w:sz w:val="28"/>
          <w:szCs w:val="28"/>
        </w:rPr>
        <w:t>.</w:t>
      </w:r>
    </w:p>
    <w:p w:rsidR="004F7A5F" w:rsidRDefault="004F7A5F" w:rsidP="00A90413">
      <w:pPr>
        <w:pStyle w:val="32"/>
        <w:keepNext/>
        <w:keepLines/>
        <w:numPr>
          <w:ilvl w:val="0"/>
          <w:numId w:val="17"/>
        </w:numPr>
        <w:shd w:val="clear" w:color="auto" w:fill="auto"/>
        <w:spacing w:before="0" w:line="322" w:lineRule="exact"/>
        <w:ind w:firstLine="0"/>
        <w:rPr>
          <w:lang w:val="ru-RU"/>
        </w:rPr>
      </w:pPr>
      <w:bookmarkStart w:id="7" w:name="bookmark13"/>
      <w:r w:rsidRPr="004F7A5F">
        <w:rPr>
          <w:lang w:val="ru-RU"/>
        </w:rPr>
        <w:t>Визначення показників результативності дії регуляторного акта</w:t>
      </w:r>
      <w:bookmarkEnd w:id="7"/>
    </w:p>
    <w:p w:rsidR="004F7A5F" w:rsidRDefault="004F7A5F" w:rsidP="004F7A5F">
      <w:pPr>
        <w:pStyle w:val="32"/>
        <w:keepNext/>
        <w:keepLines/>
        <w:shd w:val="clear" w:color="auto" w:fill="auto"/>
        <w:spacing w:before="0" w:line="322" w:lineRule="exact"/>
        <w:ind w:left="740" w:firstLine="0"/>
        <w:rPr>
          <w:lang w:val="ru-RU"/>
        </w:rPr>
      </w:pPr>
    </w:p>
    <w:p w:rsidR="007B5A56" w:rsidRPr="007B5A56" w:rsidRDefault="007B5A56" w:rsidP="007B5A56">
      <w:pPr>
        <w:pStyle w:val="32"/>
        <w:keepNext/>
        <w:keepLines/>
        <w:shd w:val="clear" w:color="auto" w:fill="auto"/>
        <w:spacing w:before="0" w:line="322" w:lineRule="exact"/>
        <w:ind w:left="567" w:firstLine="0"/>
        <w:rPr>
          <w:b w:val="0"/>
          <w:lang w:val="ru-RU"/>
        </w:rPr>
      </w:pPr>
      <w:r w:rsidRPr="007B5A56">
        <w:rPr>
          <w:b w:val="0"/>
          <w:lang w:val="ru-RU"/>
        </w:rPr>
        <w:t>Основними показниками результативності регуляторного акта є:</w:t>
      </w:r>
    </w:p>
    <w:p w:rsidR="004F7A5F" w:rsidRPr="006D428E" w:rsidRDefault="00014773" w:rsidP="004F7A5F">
      <w:pPr>
        <w:widowControl w:val="0"/>
        <w:numPr>
          <w:ilvl w:val="0"/>
          <w:numId w:val="19"/>
        </w:numPr>
        <w:tabs>
          <w:tab w:val="left" w:pos="936"/>
        </w:tabs>
        <w:spacing w:line="322" w:lineRule="exact"/>
        <w:ind w:firstLine="600"/>
        <w:jc w:val="both"/>
        <w:rPr>
          <w:sz w:val="28"/>
          <w:szCs w:val="28"/>
        </w:rPr>
      </w:pPr>
      <w:r>
        <w:rPr>
          <w:sz w:val="28"/>
          <w:szCs w:val="28"/>
        </w:rPr>
        <w:t xml:space="preserve">Кількість </w:t>
      </w:r>
      <w:r w:rsidR="004F7A5F" w:rsidRPr="006D428E">
        <w:rPr>
          <w:sz w:val="28"/>
          <w:szCs w:val="28"/>
        </w:rPr>
        <w:t xml:space="preserve">суб’єктів господарювання, </w:t>
      </w:r>
      <w:r>
        <w:rPr>
          <w:sz w:val="28"/>
          <w:szCs w:val="28"/>
        </w:rPr>
        <w:t>на яких поширюватиметься дія акта</w:t>
      </w:r>
      <w:r w:rsidR="004F7A5F" w:rsidRPr="006D428E">
        <w:rPr>
          <w:sz w:val="28"/>
          <w:szCs w:val="28"/>
        </w:rPr>
        <w:t>.</w:t>
      </w:r>
    </w:p>
    <w:p w:rsidR="004F7A5F" w:rsidRPr="006D428E" w:rsidRDefault="00014773" w:rsidP="004F7A5F">
      <w:pPr>
        <w:widowControl w:val="0"/>
        <w:numPr>
          <w:ilvl w:val="0"/>
          <w:numId w:val="19"/>
        </w:numPr>
        <w:tabs>
          <w:tab w:val="left" w:pos="936"/>
        </w:tabs>
        <w:spacing w:line="322" w:lineRule="exact"/>
        <w:ind w:firstLine="600"/>
        <w:jc w:val="both"/>
        <w:rPr>
          <w:sz w:val="28"/>
          <w:szCs w:val="28"/>
        </w:rPr>
      </w:pPr>
      <w:r>
        <w:rPr>
          <w:sz w:val="28"/>
          <w:szCs w:val="28"/>
        </w:rPr>
        <w:t>Розмір коштів і час, що витрачатимуть суб’єкти господарювання</w:t>
      </w:r>
      <w:r w:rsidRPr="006D428E">
        <w:rPr>
          <w:sz w:val="28"/>
          <w:szCs w:val="28"/>
        </w:rPr>
        <w:t xml:space="preserve">, </w:t>
      </w:r>
      <w:r>
        <w:rPr>
          <w:sz w:val="28"/>
          <w:szCs w:val="28"/>
        </w:rPr>
        <w:t>на яких поширюватиметься дія акта</w:t>
      </w:r>
      <w:r w:rsidR="004F7A5F" w:rsidRPr="006D428E">
        <w:rPr>
          <w:sz w:val="28"/>
          <w:szCs w:val="28"/>
        </w:rPr>
        <w:t>.</w:t>
      </w:r>
    </w:p>
    <w:p w:rsidR="004F7A5F" w:rsidRDefault="004F7A5F" w:rsidP="004F7A5F">
      <w:pPr>
        <w:widowControl w:val="0"/>
        <w:numPr>
          <w:ilvl w:val="0"/>
          <w:numId w:val="19"/>
        </w:numPr>
        <w:tabs>
          <w:tab w:val="left" w:pos="936"/>
        </w:tabs>
        <w:spacing w:line="322" w:lineRule="exact"/>
        <w:ind w:firstLine="600"/>
        <w:jc w:val="both"/>
        <w:rPr>
          <w:sz w:val="28"/>
          <w:szCs w:val="28"/>
        </w:rPr>
      </w:pPr>
      <w:r w:rsidRPr="006D428E">
        <w:rPr>
          <w:sz w:val="28"/>
          <w:szCs w:val="28"/>
        </w:rPr>
        <w:t xml:space="preserve">Рівень поінформованості суб’єктів господарювання </w:t>
      </w:r>
      <w:r w:rsidR="00F004F7">
        <w:rPr>
          <w:sz w:val="28"/>
          <w:szCs w:val="28"/>
        </w:rPr>
        <w:t>з</w:t>
      </w:r>
      <w:r w:rsidRPr="006D428E">
        <w:rPr>
          <w:sz w:val="28"/>
          <w:szCs w:val="28"/>
        </w:rPr>
        <w:t xml:space="preserve"> основних положень регуляторного акта.</w:t>
      </w:r>
    </w:p>
    <w:p w:rsidR="00014773" w:rsidRPr="006D428E" w:rsidRDefault="00014773" w:rsidP="00014773">
      <w:pPr>
        <w:widowControl w:val="0"/>
        <w:tabs>
          <w:tab w:val="left" w:pos="567"/>
        </w:tabs>
        <w:spacing w:line="322" w:lineRule="exact"/>
        <w:jc w:val="both"/>
        <w:rPr>
          <w:sz w:val="28"/>
          <w:szCs w:val="28"/>
        </w:rPr>
      </w:pPr>
      <w:r>
        <w:rPr>
          <w:sz w:val="28"/>
          <w:szCs w:val="28"/>
        </w:rPr>
        <w:tab/>
        <w:t xml:space="preserve">Реалізація акта не передбачає </w:t>
      </w:r>
      <w:r>
        <w:rPr>
          <w:sz w:val="28"/>
          <w:szCs w:val="28"/>
          <w:lang w:val="ru-RU"/>
        </w:rPr>
        <w:t>д</w:t>
      </w:r>
      <w:r w:rsidRPr="006D428E">
        <w:rPr>
          <w:sz w:val="28"/>
          <w:szCs w:val="28"/>
        </w:rPr>
        <w:t>одаткових надходжень до держ</w:t>
      </w:r>
      <w:r>
        <w:rPr>
          <w:sz w:val="28"/>
          <w:szCs w:val="28"/>
        </w:rPr>
        <w:t xml:space="preserve">авного </w:t>
      </w:r>
      <w:r w:rsidRPr="006D428E">
        <w:rPr>
          <w:sz w:val="28"/>
          <w:szCs w:val="28"/>
        </w:rPr>
        <w:t>та місцевих бюджетів, оскільки норми регуляторного акта не запроваджують нових податків і зборів (обов’язкових платежів).</w:t>
      </w:r>
    </w:p>
    <w:p w:rsidR="00014773" w:rsidRPr="006D428E" w:rsidRDefault="00014773" w:rsidP="00014773">
      <w:pPr>
        <w:widowControl w:val="0"/>
        <w:tabs>
          <w:tab w:val="left" w:pos="936"/>
        </w:tabs>
        <w:spacing w:line="322" w:lineRule="exact"/>
        <w:jc w:val="both"/>
        <w:rPr>
          <w:sz w:val="28"/>
          <w:szCs w:val="28"/>
        </w:rPr>
      </w:pPr>
    </w:p>
    <w:p w:rsidR="004F7A5F" w:rsidRPr="006D428E" w:rsidRDefault="004F7A5F" w:rsidP="004F7A5F">
      <w:pPr>
        <w:spacing w:line="322" w:lineRule="exact"/>
        <w:ind w:firstLine="600"/>
        <w:jc w:val="both"/>
        <w:rPr>
          <w:sz w:val="28"/>
          <w:szCs w:val="28"/>
        </w:rPr>
      </w:pPr>
      <w:r w:rsidRPr="006D428E">
        <w:rPr>
          <w:sz w:val="28"/>
          <w:szCs w:val="28"/>
        </w:rPr>
        <w:t>Про</w:t>
      </w:r>
      <w:r w:rsidR="002D1027">
        <w:rPr>
          <w:sz w:val="28"/>
          <w:szCs w:val="28"/>
        </w:rPr>
        <w:t>є</w:t>
      </w:r>
      <w:r w:rsidRPr="006D428E">
        <w:rPr>
          <w:sz w:val="28"/>
          <w:szCs w:val="28"/>
        </w:rPr>
        <w:t xml:space="preserve">кт регуляторного акта </w:t>
      </w:r>
      <w:r w:rsidR="00F004F7">
        <w:rPr>
          <w:sz w:val="28"/>
          <w:szCs w:val="28"/>
        </w:rPr>
        <w:t>оприлюднено</w:t>
      </w:r>
      <w:r w:rsidRPr="006D428E">
        <w:rPr>
          <w:sz w:val="28"/>
          <w:szCs w:val="28"/>
        </w:rPr>
        <w:t xml:space="preserve"> на офіційному вебсайті Мінінфраструктури </w:t>
      </w:r>
      <w:r w:rsidR="00F004F7">
        <w:rPr>
          <w:sz w:val="28"/>
          <w:szCs w:val="28"/>
        </w:rPr>
        <w:t>у розділі «Діяльність» - «Регуляторна діяльність»</w:t>
      </w:r>
      <w:r w:rsidRPr="006D428E">
        <w:rPr>
          <w:sz w:val="28"/>
          <w:szCs w:val="28"/>
        </w:rPr>
        <w:t xml:space="preserve"> для отримання пропозицій та зауважень громадськості.</w:t>
      </w:r>
    </w:p>
    <w:p w:rsidR="004F7A5F" w:rsidRPr="006D428E" w:rsidRDefault="004F7A5F" w:rsidP="004F7A5F">
      <w:pPr>
        <w:spacing w:line="322" w:lineRule="exact"/>
        <w:ind w:firstLine="600"/>
        <w:jc w:val="both"/>
        <w:rPr>
          <w:sz w:val="28"/>
          <w:szCs w:val="28"/>
        </w:rPr>
      </w:pPr>
      <w:r w:rsidRPr="006D428E">
        <w:rPr>
          <w:sz w:val="28"/>
          <w:szCs w:val="28"/>
        </w:rPr>
        <w:t>Також представники Мінінфраструктури беруть участь у круглих столах та обговореннях про</w:t>
      </w:r>
      <w:r w:rsidR="002D1027">
        <w:rPr>
          <w:sz w:val="28"/>
          <w:szCs w:val="28"/>
        </w:rPr>
        <w:t>є</w:t>
      </w:r>
      <w:r w:rsidRPr="006D428E">
        <w:rPr>
          <w:sz w:val="28"/>
          <w:szCs w:val="28"/>
        </w:rPr>
        <w:t xml:space="preserve">кту регуляторного акта із профільними бізнес- асоціаціями. Після прийняття </w:t>
      </w:r>
      <w:r w:rsidR="002D1027">
        <w:rPr>
          <w:sz w:val="28"/>
          <w:szCs w:val="28"/>
        </w:rPr>
        <w:t xml:space="preserve">регуляторний </w:t>
      </w:r>
      <w:r w:rsidRPr="006D428E">
        <w:rPr>
          <w:sz w:val="28"/>
          <w:szCs w:val="28"/>
        </w:rPr>
        <w:t>акт буде оприлюднено у засобах масової інформації для ознайомлення із ним суб’єктами господар</w:t>
      </w:r>
      <w:r w:rsidR="002D1027">
        <w:rPr>
          <w:sz w:val="28"/>
          <w:szCs w:val="28"/>
        </w:rPr>
        <w:t>ювання</w:t>
      </w:r>
      <w:r w:rsidRPr="006D428E">
        <w:rPr>
          <w:sz w:val="28"/>
          <w:szCs w:val="28"/>
        </w:rPr>
        <w:t>.</w:t>
      </w:r>
    </w:p>
    <w:p w:rsidR="004F7A5F" w:rsidRPr="006D428E" w:rsidRDefault="004F7A5F" w:rsidP="004F7A5F">
      <w:pPr>
        <w:spacing w:line="322" w:lineRule="exact"/>
        <w:ind w:firstLine="600"/>
        <w:jc w:val="both"/>
      </w:pPr>
    </w:p>
    <w:p w:rsidR="004F7A5F" w:rsidRPr="004F7A5F" w:rsidRDefault="004F7A5F" w:rsidP="00A90413">
      <w:pPr>
        <w:pStyle w:val="32"/>
        <w:keepNext/>
        <w:keepLines/>
        <w:shd w:val="clear" w:color="auto" w:fill="auto"/>
        <w:spacing w:before="0" w:after="236" w:line="322" w:lineRule="exact"/>
        <w:ind w:firstLine="0"/>
        <w:rPr>
          <w:lang w:val="ru-RU"/>
        </w:rPr>
      </w:pPr>
      <w:bookmarkStart w:id="8" w:name="bookmark14"/>
      <w:r w:rsidRPr="006D428E">
        <w:t>IX</w:t>
      </w:r>
      <w:r w:rsidRPr="004F7A5F">
        <w:rPr>
          <w:lang w:val="ru-RU"/>
        </w:rPr>
        <w:t>. Визначення заходів, за допомогою яких здійснюватиметься відстеження результативності дії регуляторного акта</w:t>
      </w:r>
      <w:bookmarkEnd w:id="8"/>
    </w:p>
    <w:p w:rsidR="004F7A5F" w:rsidRPr="006D428E" w:rsidRDefault="004F7A5F" w:rsidP="004F7A5F">
      <w:pPr>
        <w:ind w:firstLine="426"/>
        <w:jc w:val="both"/>
        <w:rPr>
          <w:sz w:val="28"/>
          <w:szCs w:val="28"/>
        </w:rPr>
      </w:pPr>
      <w:r w:rsidRPr="006D428E">
        <w:rPr>
          <w:sz w:val="28"/>
          <w:szCs w:val="28"/>
        </w:rPr>
        <w:t>Відстеження результативності регуляторного акта буде здійснювати Міністерство інфраструктури України.</w:t>
      </w:r>
    </w:p>
    <w:p w:rsidR="004F7A5F" w:rsidRPr="006D428E" w:rsidRDefault="004F7A5F" w:rsidP="004F7A5F">
      <w:pPr>
        <w:ind w:firstLine="426"/>
        <w:jc w:val="both"/>
        <w:rPr>
          <w:sz w:val="28"/>
          <w:szCs w:val="28"/>
        </w:rPr>
      </w:pPr>
      <w:r w:rsidRPr="006D428E">
        <w:rPr>
          <w:sz w:val="28"/>
          <w:szCs w:val="28"/>
        </w:rPr>
        <w:t xml:space="preserve">Базове відстеження результативності регуляторного акта буде </w:t>
      </w:r>
      <w:r w:rsidR="00F004F7">
        <w:rPr>
          <w:sz w:val="28"/>
          <w:szCs w:val="28"/>
        </w:rPr>
        <w:t>здійснено</w:t>
      </w:r>
      <w:r w:rsidRPr="006D428E">
        <w:rPr>
          <w:sz w:val="28"/>
          <w:szCs w:val="28"/>
        </w:rPr>
        <w:t xml:space="preserve"> до дня набрання чинності </w:t>
      </w:r>
      <w:r w:rsidR="00F004F7">
        <w:rPr>
          <w:sz w:val="28"/>
          <w:szCs w:val="28"/>
        </w:rPr>
        <w:t xml:space="preserve">цим </w:t>
      </w:r>
      <w:r w:rsidRPr="006D428E">
        <w:rPr>
          <w:sz w:val="28"/>
          <w:szCs w:val="28"/>
        </w:rPr>
        <w:t xml:space="preserve">регуляторним актом. </w:t>
      </w:r>
    </w:p>
    <w:p w:rsidR="004F7A5F" w:rsidRPr="006D428E" w:rsidRDefault="004F7A5F" w:rsidP="004F7A5F">
      <w:pPr>
        <w:ind w:firstLine="426"/>
        <w:jc w:val="both"/>
        <w:rPr>
          <w:sz w:val="28"/>
          <w:szCs w:val="28"/>
        </w:rPr>
      </w:pPr>
      <w:r w:rsidRPr="006D428E">
        <w:rPr>
          <w:sz w:val="28"/>
          <w:szCs w:val="28"/>
        </w:rPr>
        <w:t xml:space="preserve">Повторне відстеження результативності регуляторного акта буде </w:t>
      </w:r>
      <w:r w:rsidR="00F004F7">
        <w:rPr>
          <w:sz w:val="28"/>
          <w:szCs w:val="28"/>
        </w:rPr>
        <w:t>здійснено</w:t>
      </w:r>
      <w:r w:rsidRPr="006D428E">
        <w:rPr>
          <w:sz w:val="28"/>
          <w:szCs w:val="28"/>
        </w:rPr>
        <w:t xml:space="preserve"> через рік </w:t>
      </w:r>
      <w:r w:rsidR="00F004F7">
        <w:rPr>
          <w:sz w:val="28"/>
          <w:szCs w:val="28"/>
        </w:rPr>
        <w:t>з дня</w:t>
      </w:r>
      <w:r w:rsidRPr="006D428E">
        <w:rPr>
          <w:sz w:val="28"/>
          <w:szCs w:val="28"/>
        </w:rPr>
        <w:t xml:space="preserve"> набрання чинності</w:t>
      </w:r>
      <w:r w:rsidR="00F004F7">
        <w:rPr>
          <w:sz w:val="28"/>
          <w:szCs w:val="28"/>
        </w:rPr>
        <w:t xml:space="preserve"> цим</w:t>
      </w:r>
      <w:r w:rsidRPr="006D428E">
        <w:rPr>
          <w:sz w:val="28"/>
          <w:szCs w:val="28"/>
        </w:rPr>
        <w:t xml:space="preserve"> актом шляхом аналізу статистичних даних. </w:t>
      </w:r>
    </w:p>
    <w:p w:rsidR="004F7A5F" w:rsidRPr="006D428E" w:rsidRDefault="004F7A5F" w:rsidP="004F7A5F">
      <w:pPr>
        <w:ind w:firstLine="426"/>
        <w:jc w:val="both"/>
        <w:rPr>
          <w:sz w:val="28"/>
          <w:szCs w:val="28"/>
        </w:rPr>
      </w:pPr>
      <w:r w:rsidRPr="006D428E">
        <w:rPr>
          <w:sz w:val="28"/>
          <w:szCs w:val="28"/>
        </w:rPr>
        <w:t xml:space="preserve">Періодичне відстеження результативності регуляторного акта буде </w:t>
      </w:r>
      <w:r w:rsidR="00F004F7">
        <w:rPr>
          <w:sz w:val="28"/>
          <w:szCs w:val="28"/>
        </w:rPr>
        <w:t>здійснено</w:t>
      </w:r>
      <w:r w:rsidRPr="006D428E">
        <w:rPr>
          <w:sz w:val="28"/>
          <w:szCs w:val="28"/>
        </w:rPr>
        <w:t xml:space="preserve"> раз на</w:t>
      </w:r>
      <w:r w:rsidR="00F004F7">
        <w:rPr>
          <w:sz w:val="28"/>
          <w:szCs w:val="28"/>
        </w:rPr>
        <w:t xml:space="preserve"> кожні</w:t>
      </w:r>
      <w:r w:rsidRPr="006D428E">
        <w:rPr>
          <w:sz w:val="28"/>
          <w:szCs w:val="28"/>
        </w:rPr>
        <w:t xml:space="preserve"> три роки починаючи з дня </w:t>
      </w:r>
      <w:r w:rsidR="00F004F7">
        <w:rPr>
          <w:sz w:val="28"/>
          <w:szCs w:val="28"/>
        </w:rPr>
        <w:t xml:space="preserve">закінчення </w:t>
      </w:r>
      <w:r w:rsidRPr="006D428E">
        <w:rPr>
          <w:sz w:val="28"/>
          <w:szCs w:val="28"/>
        </w:rPr>
        <w:t xml:space="preserve">заходів з повторного відстеження результативності </w:t>
      </w:r>
      <w:r w:rsidR="00F004F7">
        <w:rPr>
          <w:sz w:val="28"/>
          <w:szCs w:val="28"/>
        </w:rPr>
        <w:t xml:space="preserve">цього </w:t>
      </w:r>
      <w:r w:rsidRPr="006D428E">
        <w:rPr>
          <w:sz w:val="28"/>
          <w:szCs w:val="28"/>
        </w:rPr>
        <w:t>акта шляхом аналізу статистичних даних щодо показників діяльності суб’єктів господарювання.</w:t>
      </w:r>
    </w:p>
    <w:p w:rsidR="004F7A5F" w:rsidRPr="006D428E" w:rsidRDefault="004F7A5F" w:rsidP="004F7A5F">
      <w:pPr>
        <w:ind w:firstLine="426"/>
        <w:jc w:val="both"/>
        <w:rPr>
          <w:sz w:val="28"/>
          <w:szCs w:val="28"/>
        </w:rPr>
      </w:pPr>
    </w:p>
    <w:p w:rsidR="004F7A5F" w:rsidRPr="006D428E" w:rsidRDefault="004F7A5F" w:rsidP="004F7A5F">
      <w:pPr>
        <w:ind w:firstLine="426"/>
        <w:jc w:val="both"/>
        <w:rPr>
          <w:sz w:val="28"/>
          <w:szCs w:val="28"/>
        </w:rPr>
      </w:pPr>
    </w:p>
    <w:p w:rsidR="00B35711" w:rsidRPr="008E1D3D" w:rsidRDefault="00F004F7" w:rsidP="008E1D3D">
      <w:pPr>
        <w:jc w:val="both"/>
        <w:rPr>
          <w:rStyle w:val="rvts15"/>
          <w:sz w:val="28"/>
          <w:szCs w:val="28"/>
        </w:rPr>
      </w:pPr>
      <w:r>
        <w:rPr>
          <w:sz w:val="28"/>
          <w:szCs w:val="28"/>
        </w:rPr>
        <w:t xml:space="preserve">Т. в. о. </w:t>
      </w:r>
      <w:r w:rsidR="004F7A5F" w:rsidRPr="006D428E">
        <w:rPr>
          <w:sz w:val="28"/>
          <w:szCs w:val="28"/>
        </w:rPr>
        <w:t>Міністр</w:t>
      </w:r>
      <w:r>
        <w:rPr>
          <w:sz w:val="28"/>
          <w:szCs w:val="28"/>
        </w:rPr>
        <w:t>а</w:t>
      </w:r>
      <w:r w:rsidR="004F7A5F" w:rsidRPr="006D428E">
        <w:rPr>
          <w:sz w:val="28"/>
          <w:szCs w:val="28"/>
        </w:rPr>
        <w:t xml:space="preserve"> інфраструктури України </w:t>
      </w:r>
      <w:r w:rsidR="004F7A5F" w:rsidRPr="006D428E">
        <w:rPr>
          <w:sz w:val="28"/>
          <w:szCs w:val="28"/>
        </w:rPr>
        <w:tab/>
      </w:r>
      <w:r w:rsidR="004F7A5F" w:rsidRPr="006D428E">
        <w:rPr>
          <w:sz w:val="28"/>
          <w:szCs w:val="28"/>
        </w:rPr>
        <w:tab/>
      </w:r>
      <w:r w:rsidR="004F7A5F" w:rsidRPr="006D428E">
        <w:rPr>
          <w:sz w:val="28"/>
          <w:szCs w:val="28"/>
        </w:rPr>
        <w:tab/>
        <w:t xml:space="preserve"> </w:t>
      </w:r>
      <w:r>
        <w:rPr>
          <w:sz w:val="28"/>
          <w:szCs w:val="28"/>
        </w:rPr>
        <w:t xml:space="preserve">     Дмитро АБРАМОВИЧ</w:t>
      </w:r>
    </w:p>
    <w:sectPr w:rsidR="00B35711" w:rsidRPr="008E1D3D" w:rsidSect="00991745">
      <w:headerReference w:type="even" r:id="rId8"/>
      <w:headerReference w:type="default" r:id="rId9"/>
      <w:pgSz w:w="11906" w:h="16838"/>
      <w:pgMar w:top="1134" w:right="567" w:bottom="709"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1C" w:rsidRDefault="00EB0F1C">
      <w:r>
        <w:separator/>
      </w:r>
    </w:p>
  </w:endnote>
  <w:endnote w:type="continuationSeparator" w:id="0">
    <w:p w:rsidR="00EB0F1C" w:rsidRDefault="00EB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1C" w:rsidRDefault="00EB0F1C">
      <w:r>
        <w:separator/>
      </w:r>
    </w:p>
  </w:footnote>
  <w:footnote w:type="continuationSeparator" w:id="0">
    <w:p w:rsidR="00EB0F1C" w:rsidRDefault="00EB0F1C">
      <w:r>
        <w:continuationSeparator/>
      </w:r>
    </w:p>
  </w:footnote>
  <w:footnote w:id="1">
    <w:p w:rsidR="004F7A5F" w:rsidRDefault="004F7A5F" w:rsidP="004F7A5F">
      <w:pPr>
        <w:pStyle w:val="af8"/>
      </w:pPr>
      <w:r>
        <w:rPr>
          <w:rStyle w:val="afa"/>
        </w:rPr>
        <w:footnoteRef/>
      </w:r>
      <w:r>
        <w:t>. Галінський О.М., Вахович І.В., Цифра Т.Ю. Міжнародна практика формування договірних відносин у будівництві // Будівельне виробництво: зб. наук. праць. – К.: НДІБВ. – № 54. – 2012. – С. 3-7.</w:t>
      </w:r>
    </w:p>
  </w:footnote>
  <w:footnote w:id="2">
    <w:p w:rsidR="004F7A5F" w:rsidRDefault="004F7A5F" w:rsidP="004F7A5F">
      <w:pPr>
        <w:pStyle w:val="af8"/>
      </w:pPr>
      <w:r>
        <w:rPr>
          <w:rStyle w:val="afa"/>
        </w:rPr>
        <w:footnoteRef/>
      </w:r>
      <w:r>
        <w:t xml:space="preserve"> Анін В.І. Розрахунки ризиків інвестиційних проектів в будівництві [Текст] / В.І. Анін // Формування ринкових відносин в Україні. – 2003. – № 6. – 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23" w:rsidRDefault="00F92823" w:rsidP="00B35711">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92823" w:rsidRDefault="00F9282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163615"/>
      <w:docPartObj>
        <w:docPartGallery w:val="Page Numbers (Top of Page)"/>
        <w:docPartUnique/>
      </w:docPartObj>
    </w:sdtPr>
    <w:sdtEndPr>
      <w:rPr>
        <w:noProof/>
        <w:sz w:val="24"/>
        <w:szCs w:val="24"/>
      </w:rPr>
    </w:sdtEndPr>
    <w:sdtContent>
      <w:p w:rsidR="00F92823" w:rsidRPr="007E6B70" w:rsidRDefault="00F92823">
        <w:pPr>
          <w:pStyle w:val="a3"/>
          <w:jc w:val="center"/>
          <w:rPr>
            <w:sz w:val="24"/>
            <w:szCs w:val="24"/>
          </w:rPr>
        </w:pPr>
        <w:r w:rsidRPr="007E6B70">
          <w:rPr>
            <w:sz w:val="24"/>
            <w:szCs w:val="24"/>
          </w:rPr>
          <w:fldChar w:fldCharType="begin"/>
        </w:r>
        <w:r w:rsidRPr="007E6B70">
          <w:rPr>
            <w:sz w:val="24"/>
            <w:szCs w:val="24"/>
          </w:rPr>
          <w:instrText xml:space="preserve"> PAGE   \* MERGEFORMAT </w:instrText>
        </w:r>
        <w:r w:rsidRPr="007E6B70">
          <w:rPr>
            <w:sz w:val="24"/>
            <w:szCs w:val="24"/>
          </w:rPr>
          <w:fldChar w:fldCharType="separate"/>
        </w:r>
        <w:r w:rsidR="00AC0315">
          <w:rPr>
            <w:noProof/>
            <w:sz w:val="24"/>
            <w:szCs w:val="24"/>
          </w:rPr>
          <w:t>10</w:t>
        </w:r>
        <w:r w:rsidRPr="007E6B70">
          <w:rPr>
            <w:noProof/>
            <w:sz w:val="24"/>
            <w:szCs w:val="24"/>
          </w:rPr>
          <w:fldChar w:fldCharType="end"/>
        </w:r>
      </w:p>
    </w:sdtContent>
  </w:sdt>
  <w:p w:rsidR="00F92823" w:rsidRDefault="00F92823" w:rsidP="00B3571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819"/>
    <w:multiLevelType w:val="multilevel"/>
    <w:tmpl w:val="864EF8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67E59"/>
    <w:multiLevelType w:val="multilevel"/>
    <w:tmpl w:val="DDDCEC4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D6811"/>
    <w:multiLevelType w:val="hybridMultilevel"/>
    <w:tmpl w:val="07627FE6"/>
    <w:lvl w:ilvl="0" w:tplc="025600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19F11A7"/>
    <w:multiLevelType w:val="hybridMultilevel"/>
    <w:tmpl w:val="6ED0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557D1"/>
    <w:multiLevelType w:val="multilevel"/>
    <w:tmpl w:val="6EE4B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D0316"/>
    <w:multiLevelType w:val="hybridMultilevel"/>
    <w:tmpl w:val="42B6A068"/>
    <w:lvl w:ilvl="0" w:tplc="10F02A0A">
      <w:start w:val="6"/>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15:restartNumberingAfterBreak="0">
    <w:nsid w:val="36D66515"/>
    <w:multiLevelType w:val="multilevel"/>
    <w:tmpl w:val="4670C7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F4B19"/>
    <w:multiLevelType w:val="hybridMultilevel"/>
    <w:tmpl w:val="E46C98F0"/>
    <w:lvl w:ilvl="0" w:tplc="48C29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D6EA8"/>
    <w:multiLevelType w:val="hybridMultilevel"/>
    <w:tmpl w:val="B63EE5FC"/>
    <w:lvl w:ilvl="0" w:tplc="0616D818">
      <w:start w:val="7"/>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3740C80"/>
    <w:multiLevelType w:val="multilevel"/>
    <w:tmpl w:val="7CE6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0A669E"/>
    <w:multiLevelType w:val="hybridMultilevel"/>
    <w:tmpl w:val="1D4E974C"/>
    <w:lvl w:ilvl="0" w:tplc="3852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564A43"/>
    <w:multiLevelType w:val="hybridMultilevel"/>
    <w:tmpl w:val="7E18F2E6"/>
    <w:lvl w:ilvl="0" w:tplc="5324259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52A373BD"/>
    <w:multiLevelType w:val="hybridMultilevel"/>
    <w:tmpl w:val="65EEC802"/>
    <w:lvl w:ilvl="0" w:tplc="617AE4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A500295"/>
    <w:multiLevelType w:val="multilevel"/>
    <w:tmpl w:val="88E0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2396C"/>
    <w:multiLevelType w:val="hybridMultilevel"/>
    <w:tmpl w:val="3216FA42"/>
    <w:lvl w:ilvl="0" w:tplc="D24C3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0C586F"/>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53858"/>
    <w:multiLevelType w:val="multilevel"/>
    <w:tmpl w:val="AC12B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273BEF"/>
    <w:multiLevelType w:val="hybridMultilevel"/>
    <w:tmpl w:val="EC3E859C"/>
    <w:lvl w:ilvl="0" w:tplc="2518638C">
      <w:numFmt w:val="bullet"/>
      <w:lvlText w:val="-"/>
      <w:lvlJc w:val="left"/>
      <w:pPr>
        <w:ind w:left="1800" w:hanging="360"/>
      </w:pPr>
      <w:rPr>
        <w:rFonts w:ascii="Times New Roman" w:eastAsia="Times New Roman" w:hAnsi="Times New Roman"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695776D8"/>
    <w:multiLevelType w:val="multilevel"/>
    <w:tmpl w:val="FC32B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44269D"/>
    <w:multiLevelType w:val="multilevel"/>
    <w:tmpl w:val="F8021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5"/>
  </w:num>
  <w:num w:numId="6">
    <w:abstractNumId w:val="10"/>
  </w:num>
  <w:num w:numId="7">
    <w:abstractNumId w:val="2"/>
  </w:num>
  <w:num w:numId="8">
    <w:abstractNumId w:val="8"/>
  </w:num>
  <w:num w:numId="9">
    <w:abstractNumId w:val="11"/>
  </w:num>
  <w:num w:numId="10">
    <w:abstractNumId w:val="15"/>
  </w:num>
  <w:num w:numId="11">
    <w:abstractNumId w:val="6"/>
  </w:num>
  <w:num w:numId="12">
    <w:abstractNumId w:val="19"/>
  </w:num>
  <w:num w:numId="13">
    <w:abstractNumId w:val="18"/>
  </w:num>
  <w:num w:numId="14">
    <w:abstractNumId w:val="9"/>
  </w:num>
  <w:num w:numId="15">
    <w:abstractNumId w:val="4"/>
  </w:num>
  <w:num w:numId="16">
    <w:abstractNumId w:val="16"/>
  </w:num>
  <w:num w:numId="17">
    <w:abstractNumId w:val="1"/>
  </w:num>
  <w:num w:numId="18">
    <w:abstractNumId w:val="0"/>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11"/>
    <w:rsid w:val="00003FB1"/>
    <w:rsid w:val="00011FEE"/>
    <w:rsid w:val="00014773"/>
    <w:rsid w:val="00027A5B"/>
    <w:rsid w:val="00051959"/>
    <w:rsid w:val="0005660B"/>
    <w:rsid w:val="00094532"/>
    <w:rsid w:val="000C0B47"/>
    <w:rsid w:val="000C59CC"/>
    <w:rsid w:val="000F5486"/>
    <w:rsid w:val="000F5EDF"/>
    <w:rsid w:val="00105B65"/>
    <w:rsid w:val="00117FE1"/>
    <w:rsid w:val="00145417"/>
    <w:rsid w:val="00154629"/>
    <w:rsid w:val="001731BF"/>
    <w:rsid w:val="00173CA9"/>
    <w:rsid w:val="00180806"/>
    <w:rsid w:val="001A281B"/>
    <w:rsid w:val="001B155D"/>
    <w:rsid w:val="0021236A"/>
    <w:rsid w:val="00221BB2"/>
    <w:rsid w:val="00222841"/>
    <w:rsid w:val="002444E4"/>
    <w:rsid w:val="00273E99"/>
    <w:rsid w:val="00281497"/>
    <w:rsid w:val="00281F72"/>
    <w:rsid w:val="002B08EB"/>
    <w:rsid w:val="002D1027"/>
    <w:rsid w:val="002E11D5"/>
    <w:rsid w:val="002E1EA7"/>
    <w:rsid w:val="0030028D"/>
    <w:rsid w:val="00380CD1"/>
    <w:rsid w:val="00391B5E"/>
    <w:rsid w:val="003D04BC"/>
    <w:rsid w:val="00422C9B"/>
    <w:rsid w:val="00457B6F"/>
    <w:rsid w:val="00475413"/>
    <w:rsid w:val="0048589D"/>
    <w:rsid w:val="004C0881"/>
    <w:rsid w:val="004C2538"/>
    <w:rsid w:val="004D29F4"/>
    <w:rsid w:val="004D7E4D"/>
    <w:rsid w:val="004F3CA2"/>
    <w:rsid w:val="004F3D11"/>
    <w:rsid w:val="004F6F8D"/>
    <w:rsid w:val="004F7A5F"/>
    <w:rsid w:val="005005EC"/>
    <w:rsid w:val="005235D4"/>
    <w:rsid w:val="00594AF3"/>
    <w:rsid w:val="005A0E54"/>
    <w:rsid w:val="005C0D87"/>
    <w:rsid w:val="005D7FFB"/>
    <w:rsid w:val="006B164E"/>
    <w:rsid w:val="007066D2"/>
    <w:rsid w:val="0072362E"/>
    <w:rsid w:val="00734E97"/>
    <w:rsid w:val="0074114A"/>
    <w:rsid w:val="00763D85"/>
    <w:rsid w:val="00775F55"/>
    <w:rsid w:val="007900B4"/>
    <w:rsid w:val="007B5A56"/>
    <w:rsid w:val="007C39B2"/>
    <w:rsid w:val="007D0CBA"/>
    <w:rsid w:val="00820EDC"/>
    <w:rsid w:val="00873B64"/>
    <w:rsid w:val="008D0E58"/>
    <w:rsid w:val="008E1D3D"/>
    <w:rsid w:val="008E7E61"/>
    <w:rsid w:val="008F68BB"/>
    <w:rsid w:val="009206FE"/>
    <w:rsid w:val="00941019"/>
    <w:rsid w:val="00970BEB"/>
    <w:rsid w:val="00991745"/>
    <w:rsid w:val="009945ED"/>
    <w:rsid w:val="009E5426"/>
    <w:rsid w:val="009F1BDE"/>
    <w:rsid w:val="00A07EC5"/>
    <w:rsid w:val="00A1089A"/>
    <w:rsid w:val="00A16629"/>
    <w:rsid w:val="00A36E9C"/>
    <w:rsid w:val="00A64B8D"/>
    <w:rsid w:val="00A7286D"/>
    <w:rsid w:val="00A73E5A"/>
    <w:rsid w:val="00A873B0"/>
    <w:rsid w:val="00A90413"/>
    <w:rsid w:val="00AC0315"/>
    <w:rsid w:val="00AC5050"/>
    <w:rsid w:val="00AD50D0"/>
    <w:rsid w:val="00AD6FFC"/>
    <w:rsid w:val="00B026D8"/>
    <w:rsid w:val="00B35711"/>
    <w:rsid w:val="00B64021"/>
    <w:rsid w:val="00B72042"/>
    <w:rsid w:val="00B918E6"/>
    <w:rsid w:val="00BE509D"/>
    <w:rsid w:val="00BF39B5"/>
    <w:rsid w:val="00C33DAA"/>
    <w:rsid w:val="00CA434E"/>
    <w:rsid w:val="00CA6949"/>
    <w:rsid w:val="00D12685"/>
    <w:rsid w:val="00D40556"/>
    <w:rsid w:val="00D43F85"/>
    <w:rsid w:val="00D46FAE"/>
    <w:rsid w:val="00DB42D5"/>
    <w:rsid w:val="00DB5DA3"/>
    <w:rsid w:val="00DC2732"/>
    <w:rsid w:val="00DE260E"/>
    <w:rsid w:val="00DE61FC"/>
    <w:rsid w:val="00DF13C5"/>
    <w:rsid w:val="00E009C3"/>
    <w:rsid w:val="00E07BDC"/>
    <w:rsid w:val="00E20DE7"/>
    <w:rsid w:val="00E233FF"/>
    <w:rsid w:val="00E26276"/>
    <w:rsid w:val="00E3315F"/>
    <w:rsid w:val="00E50ED9"/>
    <w:rsid w:val="00E71279"/>
    <w:rsid w:val="00EB0F1C"/>
    <w:rsid w:val="00ED39B3"/>
    <w:rsid w:val="00EF0053"/>
    <w:rsid w:val="00F004F7"/>
    <w:rsid w:val="00F03A2D"/>
    <w:rsid w:val="00F24957"/>
    <w:rsid w:val="00F7468E"/>
    <w:rsid w:val="00F746C1"/>
    <w:rsid w:val="00F9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CFA99-9952-4F09-A839-958A28F5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71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9"/>
    <w:qFormat/>
    <w:rsid w:val="00B35711"/>
    <w:pPr>
      <w:spacing w:before="100" w:beforeAutospacing="1" w:after="100" w:afterAutospacing="1"/>
      <w:outlineLvl w:val="2"/>
    </w:pPr>
    <w:rPr>
      <w:b/>
      <w:bCs/>
      <w:sz w:val="27"/>
      <w:szCs w:val="27"/>
      <w:lang w:val="ru-RU"/>
    </w:rPr>
  </w:style>
  <w:style w:type="paragraph" w:styleId="5">
    <w:name w:val="heading 5"/>
    <w:basedOn w:val="a"/>
    <w:next w:val="a"/>
    <w:link w:val="50"/>
    <w:uiPriority w:val="9"/>
    <w:semiHidden/>
    <w:unhideWhenUsed/>
    <w:qFormat/>
    <w:rsid w:val="00CA434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35711"/>
    <w:rPr>
      <w:rFonts w:ascii="Times New Roman" w:eastAsia="Times New Roman" w:hAnsi="Times New Roman" w:cs="Times New Roman"/>
      <w:b/>
      <w:bCs/>
      <w:sz w:val="27"/>
      <w:szCs w:val="27"/>
      <w:lang w:val="ru-RU" w:eastAsia="ru-RU"/>
    </w:rPr>
  </w:style>
  <w:style w:type="paragraph" w:styleId="a3">
    <w:name w:val="header"/>
    <w:basedOn w:val="a"/>
    <w:link w:val="a4"/>
    <w:uiPriority w:val="99"/>
    <w:rsid w:val="00B35711"/>
    <w:pPr>
      <w:tabs>
        <w:tab w:val="center" w:pos="4153"/>
        <w:tab w:val="right" w:pos="8306"/>
      </w:tabs>
    </w:pPr>
  </w:style>
  <w:style w:type="character" w:customStyle="1" w:styleId="a4">
    <w:name w:val="Верхний колонтитул Знак"/>
    <w:basedOn w:val="a0"/>
    <w:link w:val="a3"/>
    <w:uiPriority w:val="99"/>
    <w:rsid w:val="00B35711"/>
    <w:rPr>
      <w:rFonts w:ascii="Times New Roman" w:eastAsia="Times New Roman" w:hAnsi="Times New Roman" w:cs="Times New Roman"/>
      <w:sz w:val="20"/>
      <w:szCs w:val="20"/>
      <w:lang w:val="uk-UA" w:eastAsia="ru-RU"/>
    </w:rPr>
  </w:style>
  <w:style w:type="paragraph" w:styleId="a5">
    <w:name w:val="Title"/>
    <w:basedOn w:val="a"/>
    <w:link w:val="a6"/>
    <w:uiPriority w:val="99"/>
    <w:qFormat/>
    <w:rsid w:val="00B35711"/>
    <w:pPr>
      <w:jc w:val="center"/>
    </w:pPr>
    <w:rPr>
      <w:sz w:val="28"/>
    </w:rPr>
  </w:style>
  <w:style w:type="character" w:customStyle="1" w:styleId="a6">
    <w:name w:val="Название Знак"/>
    <w:basedOn w:val="a0"/>
    <w:link w:val="a5"/>
    <w:uiPriority w:val="99"/>
    <w:rsid w:val="00B35711"/>
    <w:rPr>
      <w:rFonts w:ascii="Times New Roman" w:eastAsia="Times New Roman" w:hAnsi="Times New Roman" w:cs="Times New Roman"/>
      <w:sz w:val="28"/>
      <w:szCs w:val="20"/>
      <w:lang w:val="uk-UA" w:eastAsia="ru-RU"/>
    </w:rPr>
  </w:style>
  <w:style w:type="paragraph" w:styleId="a7">
    <w:name w:val="Body Text Indent"/>
    <w:basedOn w:val="a"/>
    <w:link w:val="a8"/>
    <w:uiPriority w:val="99"/>
    <w:rsid w:val="00B35711"/>
    <w:pPr>
      <w:spacing w:before="120"/>
      <w:ind w:right="-380" w:firstLine="720"/>
      <w:jc w:val="both"/>
    </w:pPr>
    <w:rPr>
      <w:sz w:val="28"/>
    </w:rPr>
  </w:style>
  <w:style w:type="character" w:customStyle="1" w:styleId="a8">
    <w:name w:val="Основной текст с отступом Знак"/>
    <w:basedOn w:val="a0"/>
    <w:link w:val="a7"/>
    <w:uiPriority w:val="99"/>
    <w:rsid w:val="00B35711"/>
    <w:rPr>
      <w:rFonts w:ascii="Times New Roman" w:eastAsia="Times New Roman" w:hAnsi="Times New Roman" w:cs="Times New Roman"/>
      <w:sz w:val="28"/>
      <w:szCs w:val="20"/>
      <w:lang w:val="uk-UA" w:eastAsia="ru-RU"/>
    </w:rPr>
  </w:style>
  <w:style w:type="character" w:styleId="a9">
    <w:name w:val="page number"/>
    <w:uiPriority w:val="99"/>
    <w:rsid w:val="00B35711"/>
    <w:rPr>
      <w:rFonts w:cs="Times New Roman"/>
    </w:rPr>
  </w:style>
  <w:style w:type="character" w:styleId="aa">
    <w:name w:val="Hyperlink"/>
    <w:uiPriority w:val="99"/>
    <w:rsid w:val="00B35711"/>
    <w:rPr>
      <w:rFonts w:cs="Times New Roman"/>
      <w:color w:val="0000FF"/>
      <w:u w:val="single"/>
    </w:rPr>
  </w:style>
  <w:style w:type="character" w:customStyle="1" w:styleId="rvts23">
    <w:name w:val="rvts23"/>
    <w:rsid w:val="00B35711"/>
  </w:style>
  <w:style w:type="paragraph" w:styleId="HTML">
    <w:name w:val="HTML Preformatted"/>
    <w:basedOn w:val="a"/>
    <w:link w:val="HTML0"/>
    <w:rsid w:val="00B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character" w:customStyle="1" w:styleId="HTML0">
    <w:name w:val="Стандартный HTML Знак"/>
    <w:basedOn w:val="a0"/>
    <w:link w:val="HTML"/>
    <w:rsid w:val="00B35711"/>
    <w:rPr>
      <w:rFonts w:ascii="Courier New" w:eastAsia="Times New Roman" w:hAnsi="Courier New" w:cs="Times New Roman"/>
      <w:sz w:val="20"/>
      <w:szCs w:val="20"/>
      <w:lang w:val="uk-UA" w:eastAsia="uk-UA"/>
    </w:rPr>
  </w:style>
  <w:style w:type="paragraph" w:styleId="ab">
    <w:name w:val="Normal (Web)"/>
    <w:basedOn w:val="a"/>
    <w:uiPriority w:val="99"/>
    <w:rsid w:val="00B35711"/>
    <w:pPr>
      <w:spacing w:before="100" w:beforeAutospacing="1" w:after="100" w:afterAutospacing="1"/>
    </w:pPr>
    <w:rPr>
      <w:sz w:val="24"/>
      <w:szCs w:val="24"/>
      <w:lang w:val="ru-RU"/>
    </w:rPr>
  </w:style>
  <w:style w:type="character" w:customStyle="1" w:styleId="st1">
    <w:name w:val="st1"/>
    <w:uiPriority w:val="99"/>
    <w:rsid w:val="00B35711"/>
  </w:style>
  <w:style w:type="character" w:styleId="ac">
    <w:name w:val="Strong"/>
    <w:uiPriority w:val="99"/>
    <w:qFormat/>
    <w:rsid w:val="00B35711"/>
    <w:rPr>
      <w:rFonts w:cs="Times New Roman"/>
      <w:b/>
    </w:rPr>
  </w:style>
  <w:style w:type="character" w:customStyle="1" w:styleId="apple-converted-space">
    <w:name w:val="apple-converted-space"/>
    <w:uiPriority w:val="99"/>
    <w:rsid w:val="00B35711"/>
    <w:rPr>
      <w:rFonts w:cs="Times New Roman"/>
    </w:rPr>
  </w:style>
  <w:style w:type="character" w:customStyle="1" w:styleId="spelle">
    <w:name w:val="spelle"/>
    <w:uiPriority w:val="99"/>
    <w:rsid w:val="00B35711"/>
    <w:rPr>
      <w:rFonts w:cs="Times New Roman"/>
    </w:rPr>
  </w:style>
  <w:style w:type="paragraph" w:customStyle="1" w:styleId="rvps2">
    <w:name w:val="rvps2"/>
    <w:basedOn w:val="a"/>
    <w:rsid w:val="00B35711"/>
    <w:pPr>
      <w:spacing w:before="100" w:beforeAutospacing="1" w:after="100" w:afterAutospacing="1"/>
    </w:pPr>
    <w:rPr>
      <w:sz w:val="24"/>
      <w:szCs w:val="24"/>
      <w:lang w:val="ru-RU"/>
    </w:rPr>
  </w:style>
  <w:style w:type="paragraph" w:customStyle="1" w:styleId="rvps12">
    <w:name w:val="rvps12"/>
    <w:basedOn w:val="a"/>
    <w:uiPriority w:val="99"/>
    <w:rsid w:val="00B35711"/>
    <w:pPr>
      <w:spacing w:before="100" w:beforeAutospacing="1" w:after="100" w:afterAutospacing="1"/>
    </w:pPr>
    <w:rPr>
      <w:sz w:val="24"/>
      <w:szCs w:val="24"/>
      <w:lang w:val="ru-RU"/>
    </w:rPr>
  </w:style>
  <w:style w:type="paragraph" w:customStyle="1" w:styleId="rvps14">
    <w:name w:val="rvps14"/>
    <w:basedOn w:val="a"/>
    <w:uiPriority w:val="99"/>
    <w:rsid w:val="00B35711"/>
    <w:pPr>
      <w:spacing w:before="100" w:beforeAutospacing="1" w:after="100" w:afterAutospacing="1"/>
    </w:pPr>
    <w:rPr>
      <w:sz w:val="24"/>
      <w:szCs w:val="24"/>
      <w:lang w:val="ru-RU"/>
    </w:rPr>
  </w:style>
  <w:style w:type="paragraph" w:styleId="ad">
    <w:name w:val="Body Text"/>
    <w:basedOn w:val="a"/>
    <w:link w:val="ae"/>
    <w:uiPriority w:val="99"/>
    <w:rsid w:val="00B35711"/>
    <w:pPr>
      <w:spacing w:after="120"/>
    </w:pPr>
    <w:rPr>
      <w:sz w:val="24"/>
      <w:szCs w:val="24"/>
    </w:rPr>
  </w:style>
  <w:style w:type="character" w:customStyle="1" w:styleId="ae">
    <w:name w:val="Основной текст Знак"/>
    <w:basedOn w:val="a0"/>
    <w:link w:val="ad"/>
    <w:uiPriority w:val="99"/>
    <w:rsid w:val="00B35711"/>
    <w:rPr>
      <w:rFonts w:ascii="Times New Roman" w:eastAsia="Times New Roman" w:hAnsi="Times New Roman" w:cs="Times New Roman"/>
      <w:sz w:val="24"/>
      <w:szCs w:val="24"/>
      <w:lang w:val="uk-UA" w:eastAsia="ru-RU"/>
    </w:rPr>
  </w:style>
  <w:style w:type="paragraph" w:customStyle="1" w:styleId="rvps3">
    <w:name w:val="rvps3"/>
    <w:basedOn w:val="a"/>
    <w:uiPriority w:val="99"/>
    <w:rsid w:val="00B35711"/>
    <w:pPr>
      <w:spacing w:before="100" w:beforeAutospacing="1" w:after="100" w:afterAutospacing="1"/>
    </w:pPr>
    <w:rPr>
      <w:sz w:val="24"/>
      <w:szCs w:val="24"/>
      <w:lang w:eastAsia="uk-UA"/>
    </w:rPr>
  </w:style>
  <w:style w:type="character" w:customStyle="1" w:styleId="grame">
    <w:name w:val="grame"/>
    <w:uiPriority w:val="99"/>
    <w:rsid w:val="00B35711"/>
    <w:rPr>
      <w:rFonts w:cs="Times New Roman"/>
    </w:rPr>
  </w:style>
  <w:style w:type="character" w:customStyle="1" w:styleId="rvts15">
    <w:name w:val="rvts15"/>
    <w:uiPriority w:val="99"/>
    <w:rsid w:val="00B35711"/>
  </w:style>
  <w:style w:type="character" w:customStyle="1" w:styleId="rvts11">
    <w:name w:val="rvts11"/>
    <w:uiPriority w:val="99"/>
    <w:rsid w:val="00B35711"/>
  </w:style>
  <w:style w:type="paragraph" w:styleId="af">
    <w:name w:val="Balloon Text"/>
    <w:basedOn w:val="a"/>
    <w:link w:val="af0"/>
    <w:uiPriority w:val="99"/>
    <w:semiHidden/>
    <w:rsid w:val="00B35711"/>
    <w:rPr>
      <w:rFonts w:ascii="Tahoma" w:hAnsi="Tahoma" w:cs="Tahoma"/>
      <w:sz w:val="16"/>
      <w:szCs w:val="16"/>
    </w:rPr>
  </w:style>
  <w:style w:type="character" w:customStyle="1" w:styleId="af0">
    <w:name w:val="Текст выноски Знак"/>
    <w:basedOn w:val="a0"/>
    <w:link w:val="af"/>
    <w:uiPriority w:val="99"/>
    <w:semiHidden/>
    <w:rsid w:val="00B35711"/>
    <w:rPr>
      <w:rFonts w:ascii="Tahoma" w:eastAsia="Times New Roman" w:hAnsi="Tahoma" w:cs="Tahoma"/>
      <w:sz w:val="16"/>
      <w:szCs w:val="16"/>
      <w:lang w:val="uk-UA" w:eastAsia="ru-RU"/>
    </w:rPr>
  </w:style>
  <w:style w:type="paragraph" w:styleId="af1">
    <w:name w:val="footer"/>
    <w:basedOn w:val="a"/>
    <w:link w:val="af2"/>
    <w:uiPriority w:val="99"/>
    <w:unhideWhenUsed/>
    <w:rsid w:val="00B35711"/>
    <w:pPr>
      <w:tabs>
        <w:tab w:val="center" w:pos="4677"/>
        <w:tab w:val="right" w:pos="9355"/>
      </w:tabs>
    </w:pPr>
  </w:style>
  <w:style w:type="character" w:customStyle="1" w:styleId="af2">
    <w:name w:val="Нижний колонтитул Знак"/>
    <w:basedOn w:val="a0"/>
    <w:link w:val="af1"/>
    <w:uiPriority w:val="99"/>
    <w:rsid w:val="00B35711"/>
    <w:rPr>
      <w:rFonts w:ascii="Times New Roman" w:eastAsia="Times New Roman" w:hAnsi="Times New Roman" w:cs="Times New Roman"/>
      <w:sz w:val="20"/>
      <w:szCs w:val="20"/>
      <w:lang w:val="uk-UA" w:eastAsia="ru-RU"/>
    </w:rPr>
  </w:style>
  <w:style w:type="paragraph" w:styleId="af3">
    <w:name w:val="No Spacing"/>
    <w:uiPriority w:val="1"/>
    <w:qFormat/>
    <w:rsid w:val="00B35711"/>
    <w:pPr>
      <w:spacing w:after="0" w:line="240" w:lineRule="auto"/>
    </w:pPr>
    <w:rPr>
      <w:rFonts w:ascii="Times New Roman" w:eastAsia="Times New Roman" w:hAnsi="Times New Roman" w:cs="Times New Roman"/>
      <w:sz w:val="20"/>
      <w:szCs w:val="20"/>
      <w:lang w:val="uk-UA" w:eastAsia="ru-RU"/>
    </w:rPr>
  </w:style>
  <w:style w:type="paragraph" w:styleId="af4">
    <w:name w:val="List Paragraph"/>
    <w:basedOn w:val="a"/>
    <w:uiPriority w:val="34"/>
    <w:qFormat/>
    <w:rsid w:val="00B35711"/>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1">
    <w:name w:val="Без интервала1"/>
    <w:rsid w:val="00B35711"/>
    <w:pPr>
      <w:suppressAutoHyphens/>
      <w:spacing w:after="0" w:line="240" w:lineRule="auto"/>
    </w:pPr>
    <w:rPr>
      <w:rFonts w:ascii="Calibri" w:eastAsia="Calibri" w:hAnsi="Calibri" w:cs="Times New Roman"/>
      <w:lang w:val="ru-RU" w:eastAsia="zh-CN"/>
    </w:rPr>
  </w:style>
  <w:style w:type="table" w:styleId="af5">
    <w:name w:val="Table Grid"/>
    <w:basedOn w:val="a1"/>
    <w:uiPriority w:val="59"/>
    <w:rsid w:val="00105B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CA434E"/>
    <w:rPr>
      <w:rFonts w:asciiTheme="majorHAnsi" w:eastAsiaTheme="majorEastAsia" w:hAnsiTheme="majorHAnsi" w:cstheme="majorBidi"/>
      <w:color w:val="2E74B5" w:themeColor="accent1" w:themeShade="BF"/>
      <w:sz w:val="20"/>
      <w:szCs w:val="20"/>
      <w:lang w:val="uk-UA" w:eastAsia="ru-RU"/>
    </w:rPr>
  </w:style>
  <w:style w:type="character" w:customStyle="1" w:styleId="31">
    <w:name w:val="Заголовок №3_"/>
    <w:basedOn w:val="a0"/>
    <w:link w:val="32"/>
    <w:rsid w:val="004F7A5F"/>
    <w:rPr>
      <w:rFonts w:ascii="Times New Roman" w:eastAsia="Times New Roman" w:hAnsi="Times New Roman" w:cs="Times New Roman"/>
      <w:b/>
      <w:bCs/>
      <w:sz w:val="28"/>
      <w:szCs w:val="28"/>
      <w:shd w:val="clear" w:color="auto" w:fill="FFFFFF"/>
    </w:rPr>
  </w:style>
  <w:style w:type="character" w:customStyle="1" w:styleId="210pt">
    <w:name w:val="Основной текст (2) + 10 pt"/>
    <w:basedOn w:val="a0"/>
    <w:rsid w:val="004F7A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
    <w:name w:val="Подпись к таблице (2)"/>
    <w:basedOn w:val="a0"/>
    <w:rsid w:val="004F7A5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af6">
    <w:name w:val="Подпись к таблице_"/>
    <w:basedOn w:val="a0"/>
    <w:link w:val="af7"/>
    <w:rsid w:val="004F7A5F"/>
    <w:rPr>
      <w:rFonts w:ascii="Times New Roman" w:eastAsia="Times New Roman" w:hAnsi="Times New Roman" w:cs="Times New Roman"/>
      <w:sz w:val="20"/>
      <w:szCs w:val="20"/>
      <w:shd w:val="clear" w:color="auto" w:fill="FFFFFF"/>
    </w:rPr>
  </w:style>
  <w:style w:type="character" w:customStyle="1" w:styleId="20">
    <w:name w:val="Основной текст (2) + Полужирный"/>
    <w:basedOn w:val="a0"/>
    <w:rsid w:val="004F7A5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w:basedOn w:val="a0"/>
    <w:rsid w:val="004F7A5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2">
    <w:name w:val="Заголовок №3"/>
    <w:basedOn w:val="a"/>
    <w:link w:val="31"/>
    <w:rsid w:val="004F7A5F"/>
    <w:pPr>
      <w:widowControl w:val="0"/>
      <w:shd w:val="clear" w:color="auto" w:fill="FFFFFF"/>
      <w:spacing w:before="360" w:line="317" w:lineRule="exact"/>
      <w:ind w:hanging="340"/>
      <w:jc w:val="both"/>
      <w:outlineLvl w:val="2"/>
    </w:pPr>
    <w:rPr>
      <w:b/>
      <w:bCs/>
      <w:sz w:val="28"/>
      <w:szCs w:val="28"/>
      <w:lang w:val="en-US" w:eastAsia="en-US"/>
    </w:rPr>
  </w:style>
  <w:style w:type="paragraph" w:customStyle="1" w:styleId="af7">
    <w:name w:val="Подпись к таблице"/>
    <w:basedOn w:val="a"/>
    <w:link w:val="af6"/>
    <w:rsid w:val="004F7A5F"/>
    <w:pPr>
      <w:widowControl w:val="0"/>
      <w:shd w:val="clear" w:color="auto" w:fill="FFFFFF"/>
      <w:spacing w:line="278" w:lineRule="exact"/>
      <w:ind w:firstLine="600"/>
    </w:pPr>
    <w:rPr>
      <w:lang w:val="en-US" w:eastAsia="en-US"/>
    </w:rPr>
  </w:style>
  <w:style w:type="character" w:customStyle="1" w:styleId="rvts44">
    <w:name w:val="rvts44"/>
    <w:basedOn w:val="a0"/>
    <w:rsid w:val="004F7A5F"/>
  </w:style>
  <w:style w:type="character" w:customStyle="1" w:styleId="2Exact">
    <w:name w:val="Основной текст (2) Exact"/>
    <w:basedOn w:val="a0"/>
    <w:rsid w:val="004F7A5F"/>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rsid w:val="004F7A5F"/>
    <w:rPr>
      <w:rFonts w:ascii="Times New Roman" w:eastAsia="Times New Roman" w:hAnsi="Times New Roman" w:cs="Times New Roman"/>
      <w:b w:val="0"/>
      <w:bCs w:val="0"/>
      <w:i/>
      <w:iCs/>
      <w:smallCaps w:val="0"/>
      <w:strike w:val="0"/>
      <w:sz w:val="28"/>
      <w:szCs w:val="28"/>
      <w:u w:val="none"/>
    </w:rPr>
  </w:style>
  <w:style w:type="character" w:customStyle="1" w:styleId="13">
    <w:name w:val="Основной текст (13)_"/>
    <w:basedOn w:val="a0"/>
    <w:link w:val="130"/>
    <w:rsid w:val="004F7A5F"/>
    <w:rPr>
      <w:rFonts w:ascii="Times New Roman" w:eastAsia="Times New Roman" w:hAnsi="Times New Roman" w:cs="Times New Roman"/>
      <w:i/>
      <w:iCs/>
      <w:sz w:val="28"/>
      <w:szCs w:val="28"/>
      <w:shd w:val="clear" w:color="auto" w:fill="FFFFFF"/>
    </w:rPr>
  </w:style>
  <w:style w:type="paragraph" w:customStyle="1" w:styleId="130">
    <w:name w:val="Основной текст (13)"/>
    <w:basedOn w:val="a"/>
    <w:link w:val="13"/>
    <w:rsid w:val="004F7A5F"/>
    <w:pPr>
      <w:widowControl w:val="0"/>
      <w:shd w:val="clear" w:color="auto" w:fill="FFFFFF"/>
      <w:spacing w:before="60" w:line="0" w:lineRule="atLeast"/>
    </w:pPr>
    <w:rPr>
      <w:i/>
      <w:iCs/>
      <w:sz w:val="28"/>
      <w:szCs w:val="28"/>
      <w:lang w:val="en-US" w:eastAsia="en-US"/>
    </w:rPr>
  </w:style>
  <w:style w:type="character" w:customStyle="1" w:styleId="6">
    <w:name w:val="Основной текст (6)_"/>
    <w:basedOn w:val="a0"/>
    <w:link w:val="60"/>
    <w:rsid w:val="004F7A5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4F7A5F"/>
    <w:pPr>
      <w:widowControl w:val="0"/>
      <w:shd w:val="clear" w:color="auto" w:fill="FFFFFF"/>
      <w:spacing w:line="0" w:lineRule="atLeast"/>
    </w:pPr>
    <w:rPr>
      <w:b/>
      <w:bCs/>
      <w:sz w:val="28"/>
      <w:szCs w:val="28"/>
      <w:lang w:val="en-US" w:eastAsia="en-US"/>
    </w:rPr>
  </w:style>
  <w:style w:type="paragraph" w:styleId="af8">
    <w:name w:val="footnote text"/>
    <w:basedOn w:val="a"/>
    <w:link w:val="af9"/>
    <w:uiPriority w:val="99"/>
    <w:semiHidden/>
    <w:unhideWhenUsed/>
    <w:rsid w:val="004F7A5F"/>
    <w:pPr>
      <w:widowControl w:val="0"/>
    </w:pPr>
    <w:rPr>
      <w:rFonts w:ascii="Arial Unicode MS" w:eastAsia="Arial Unicode MS" w:hAnsi="Arial Unicode MS" w:cs="Arial Unicode MS"/>
      <w:color w:val="000000"/>
      <w:lang w:eastAsia="uk-UA" w:bidi="uk-UA"/>
    </w:rPr>
  </w:style>
  <w:style w:type="character" w:customStyle="1" w:styleId="af9">
    <w:name w:val="Текст сноски Знак"/>
    <w:basedOn w:val="a0"/>
    <w:link w:val="af8"/>
    <w:uiPriority w:val="99"/>
    <w:semiHidden/>
    <w:rsid w:val="004F7A5F"/>
    <w:rPr>
      <w:rFonts w:ascii="Arial Unicode MS" w:eastAsia="Arial Unicode MS" w:hAnsi="Arial Unicode MS" w:cs="Arial Unicode MS"/>
      <w:color w:val="000000"/>
      <w:sz w:val="20"/>
      <w:szCs w:val="20"/>
      <w:lang w:val="uk-UA" w:eastAsia="uk-UA" w:bidi="uk-UA"/>
    </w:rPr>
  </w:style>
  <w:style w:type="character" w:styleId="afa">
    <w:name w:val="footnote reference"/>
    <w:basedOn w:val="a0"/>
    <w:uiPriority w:val="99"/>
    <w:semiHidden/>
    <w:unhideWhenUsed/>
    <w:rsid w:val="004F7A5F"/>
    <w:rPr>
      <w:vertAlign w:val="superscript"/>
    </w:rPr>
  </w:style>
  <w:style w:type="character" w:styleId="afb">
    <w:name w:val="annotation reference"/>
    <w:basedOn w:val="a0"/>
    <w:uiPriority w:val="99"/>
    <w:semiHidden/>
    <w:unhideWhenUsed/>
    <w:rsid w:val="00011FEE"/>
    <w:rPr>
      <w:sz w:val="16"/>
      <w:szCs w:val="16"/>
    </w:rPr>
  </w:style>
  <w:style w:type="paragraph" w:styleId="afc">
    <w:name w:val="annotation text"/>
    <w:basedOn w:val="a"/>
    <w:link w:val="afd"/>
    <w:uiPriority w:val="99"/>
    <w:semiHidden/>
    <w:unhideWhenUsed/>
    <w:rsid w:val="00011FEE"/>
  </w:style>
  <w:style w:type="character" w:customStyle="1" w:styleId="afd">
    <w:name w:val="Текст примечания Знак"/>
    <w:basedOn w:val="a0"/>
    <w:link w:val="afc"/>
    <w:uiPriority w:val="99"/>
    <w:semiHidden/>
    <w:rsid w:val="00011FEE"/>
    <w:rPr>
      <w:rFonts w:ascii="Times New Roman" w:eastAsia="Times New Roman" w:hAnsi="Times New Roman" w:cs="Times New Roman"/>
      <w:sz w:val="20"/>
      <w:szCs w:val="20"/>
      <w:lang w:val="uk-UA" w:eastAsia="ru-RU"/>
    </w:rPr>
  </w:style>
  <w:style w:type="paragraph" w:styleId="afe">
    <w:name w:val="annotation subject"/>
    <w:basedOn w:val="afc"/>
    <w:next w:val="afc"/>
    <w:link w:val="aff"/>
    <w:uiPriority w:val="99"/>
    <w:semiHidden/>
    <w:unhideWhenUsed/>
    <w:rsid w:val="00011FEE"/>
    <w:rPr>
      <w:b/>
      <w:bCs/>
    </w:rPr>
  </w:style>
  <w:style w:type="character" w:customStyle="1" w:styleId="aff">
    <w:name w:val="Тема примечания Знак"/>
    <w:basedOn w:val="afd"/>
    <w:link w:val="afe"/>
    <w:uiPriority w:val="99"/>
    <w:semiHidden/>
    <w:rsid w:val="00011FEE"/>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8A11-700C-43E6-BC37-A70ED540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11625</Words>
  <Characters>6627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Афанасьєв Микола Анатолійович</cp:lastModifiedBy>
  <cp:revision>2</cp:revision>
  <cp:lastPrinted>2020-06-09T15:40:00Z</cp:lastPrinted>
  <dcterms:created xsi:type="dcterms:W3CDTF">2021-04-01T14:30:00Z</dcterms:created>
  <dcterms:modified xsi:type="dcterms:W3CDTF">2021-04-01T14:30:00Z</dcterms:modified>
</cp:coreProperties>
</file>