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A46" w:rsidRPr="00656B61" w:rsidRDefault="007E4A46" w:rsidP="007E4A46">
      <w:pPr>
        <w:widowControl w:val="0"/>
        <w:tabs>
          <w:tab w:val="left" w:pos="990"/>
        </w:tabs>
        <w:spacing w:before="120" w:after="120" w:line="120" w:lineRule="atLeast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56B6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ТЕСТ 1</w:t>
      </w:r>
    </w:p>
    <w:p w:rsidR="007E4A46" w:rsidRPr="00656B61" w:rsidRDefault="007E4A46" w:rsidP="007E4A46">
      <w:pPr>
        <w:widowControl w:val="0"/>
        <w:tabs>
          <w:tab w:val="left" w:pos="990"/>
        </w:tabs>
        <w:spacing w:before="120" w:after="120" w:line="120" w:lineRule="atLeast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56B6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малого підприємництва (М-Тест)</w:t>
      </w:r>
    </w:p>
    <w:p w:rsidR="007E4A46" w:rsidRPr="00656B61" w:rsidRDefault="007E4A46" w:rsidP="007E4A46">
      <w:pPr>
        <w:widowControl w:val="0"/>
        <w:tabs>
          <w:tab w:val="left" w:pos="990"/>
        </w:tabs>
        <w:spacing w:before="120" w:after="120" w:line="120" w:lineRule="atLeast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E4A46" w:rsidRPr="00656B61" w:rsidRDefault="007E4A46" w:rsidP="007E4A46">
      <w:pPr>
        <w:widowControl w:val="0"/>
        <w:tabs>
          <w:tab w:val="left" w:pos="990"/>
        </w:tabs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B61">
        <w:rPr>
          <w:rFonts w:ascii="Times New Roman" w:eastAsia="Times New Roman" w:hAnsi="Times New Roman" w:cs="Times New Roman"/>
          <w:sz w:val="27"/>
          <w:szCs w:val="27"/>
          <w:lang w:eastAsia="ru-RU"/>
        </w:rPr>
        <w:t>1. Консультації з представниками мікро – та малого підприємництва щодо оцінки впливу регулювання.</w:t>
      </w:r>
    </w:p>
    <w:p w:rsidR="007E4A46" w:rsidRPr="00656B61" w:rsidRDefault="007E4A46" w:rsidP="007E4A46">
      <w:pPr>
        <w:widowControl w:val="0"/>
        <w:tabs>
          <w:tab w:val="left" w:pos="990"/>
        </w:tabs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B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Консультації щодо визначення впливу запропонованого регулювання для суб’єктів малого підприємництва та визначення переліку процедур, виконання яких необхідно для здійснення регулювання, проведено розробником </w:t>
      </w:r>
      <w:r w:rsidRPr="00656B61">
        <w:rPr>
          <w:rFonts w:ascii="Times New Roman" w:hAnsi="Times New Roman" w:cs="Times New Roman"/>
          <w:sz w:val="27"/>
          <w:szCs w:val="27"/>
        </w:rPr>
        <w:t xml:space="preserve">01.08.2020 – 20.09.2020 </w:t>
      </w:r>
      <w:r w:rsidRPr="00656B61">
        <w:rPr>
          <w:rFonts w:ascii="Times New Roman" w:eastAsia="Times New Roman" w:hAnsi="Times New Roman" w:cs="Times New Roman"/>
          <w:sz w:val="27"/>
          <w:szCs w:val="27"/>
          <w:lang w:eastAsia="ru-RU"/>
        </w:rPr>
        <w:t>рр.</w:t>
      </w:r>
    </w:p>
    <w:p w:rsidR="007E4A46" w:rsidRPr="00656B61" w:rsidRDefault="007E4A46" w:rsidP="007E4A46">
      <w:pPr>
        <w:widowControl w:val="0"/>
        <w:tabs>
          <w:tab w:val="left" w:pos="990"/>
        </w:tabs>
        <w:spacing w:before="120" w:after="120" w:line="12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5"/>
        <w:gridCol w:w="2422"/>
        <w:gridCol w:w="1981"/>
        <w:gridCol w:w="3267"/>
      </w:tblGrid>
      <w:tr w:rsidR="007E4A46" w:rsidRPr="00656B61" w:rsidTr="00656B61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Порядковий номер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 консультацій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Кількість учасників консультацій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Основні результати консультацій</w:t>
            </w:r>
          </w:p>
        </w:tc>
      </w:tr>
      <w:tr w:rsidR="007E4A46" w:rsidRPr="00656B61" w:rsidTr="00656B61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Телефонні розмови із суб’єктами господарювання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Отримано інформацію щодо переліку процедур, які суб’єкти господарювання виконують для відповідності чинним ліцензійним вимогам та процедур, які необхідно буде виконати у зв’язку з прийняттям Альтернативи 2: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ознайомитися з новими вимогами регулювання – 2 год.</w:t>
            </w:r>
          </w:p>
        </w:tc>
      </w:tr>
    </w:tbl>
    <w:p w:rsidR="007E4A46" w:rsidRPr="00656B61" w:rsidRDefault="007E4A46" w:rsidP="007E4A46">
      <w:pPr>
        <w:widowControl w:val="0"/>
        <w:tabs>
          <w:tab w:val="left" w:pos="990"/>
        </w:tabs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56B6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2.</w:t>
      </w:r>
      <w:r w:rsidRPr="00656B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6B6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Вимірювання впливу регулювання на суб’єктів малого підприємництва</w:t>
      </w:r>
    </w:p>
    <w:p w:rsidR="007E4A46" w:rsidRPr="00656B61" w:rsidRDefault="007E4A46" w:rsidP="007E4A46">
      <w:pPr>
        <w:widowControl w:val="0"/>
        <w:tabs>
          <w:tab w:val="left" w:pos="142"/>
          <w:tab w:val="left" w:pos="990"/>
        </w:tabs>
        <w:spacing w:before="120" w:after="120" w:line="12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E4A46" w:rsidRPr="00656B61" w:rsidRDefault="007E4A46" w:rsidP="007E4A46">
      <w:pPr>
        <w:widowControl w:val="0"/>
        <w:tabs>
          <w:tab w:val="left" w:pos="142"/>
          <w:tab w:val="left" w:pos="990"/>
        </w:tabs>
        <w:spacing w:before="120" w:after="120" w:line="12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B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Кількість суб'єктів малого (мікро) підприємництва, на яких поширюється регулювання – </w:t>
      </w:r>
      <w:r w:rsidRPr="00656B61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15 282 ліцензованих </w:t>
      </w:r>
      <w:r w:rsidRPr="00656B61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ja-JP"/>
        </w:rPr>
        <w:t>суб’єктів</w:t>
      </w:r>
      <w:r w:rsidRPr="00656B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7E4A46" w:rsidRPr="00656B61" w:rsidRDefault="007E4A46" w:rsidP="007E4A46">
      <w:pPr>
        <w:widowControl w:val="0"/>
        <w:tabs>
          <w:tab w:val="left" w:pos="142"/>
          <w:tab w:val="left" w:pos="990"/>
        </w:tabs>
        <w:spacing w:before="120" w:after="120" w:line="12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B61">
        <w:rPr>
          <w:rFonts w:ascii="Times New Roman" w:eastAsia="Times New Roman" w:hAnsi="Times New Roman" w:cs="Times New Roman"/>
          <w:sz w:val="27"/>
          <w:szCs w:val="27"/>
          <w:lang w:eastAsia="ru-RU"/>
        </w:rPr>
        <w:t>Питома вага суб'єктів малого (мікро) підприємництва у загальній кількості суб'єктів господарювання, на яких проблема справляє вплив – 95,6%.</w:t>
      </w:r>
    </w:p>
    <w:p w:rsidR="007E4A46" w:rsidRPr="00656B61" w:rsidRDefault="007E4A46" w:rsidP="007E4A46">
      <w:pPr>
        <w:spacing w:before="120" w:after="120" w:line="120" w:lineRule="atLeas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E4A46" w:rsidRPr="00656B61" w:rsidRDefault="007E4A46" w:rsidP="007E4A46">
      <w:pPr>
        <w:pStyle w:val="a7"/>
        <w:widowControl w:val="0"/>
        <w:numPr>
          <w:ilvl w:val="0"/>
          <w:numId w:val="9"/>
        </w:numPr>
        <w:tabs>
          <w:tab w:val="left" w:pos="990"/>
        </w:tabs>
        <w:spacing w:before="120" w:after="120" w:line="120" w:lineRule="atLeast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56B61">
        <w:rPr>
          <w:rFonts w:ascii="Times New Roman" w:eastAsia="Times New Roman" w:hAnsi="Times New Roman" w:cs="Times New Roman"/>
          <w:b/>
          <w:sz w:val="27"/>
          <w:szCs w:val="27"/>
        </w:rPr>
        <w:t>Розрахунок витрат суб’єкта малого підприємництва на виконання вимог регулювання.</w:t>
      </w:r>
    </w:p>
    <w:p w:rsidR="007E4A46" w:rsidRPr="00656B61" w:rsidRDefault="007E4A46" w:rsidP="007E4A46">
      <w:pPr>
        <w:spacing w:before="120" w:after="120" w:line="120" w:lineRule="atLeas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56B61">
        <w:rPr>
          <w:rFonts w:ascii="Times New Roman" w:hAnsi="Times New Roman" w:cs="Times New Roman"/>
          <w:sz w:val="27"/>
          <w:szCs w:val="27"/>
        </w:rPr>
        <w:t>3.1 Альтернатива 1 (розрахунок витрат суб’єкта малого підприємництва на виконання вимог чинного регулювання).</w:t>
      </w:r>
    </w:p>
    <w:p w:rsidR="007E4A46" w:rsidRPr="00656B61" w:rsidRDefault="007E4A46" w:rsidP="007E4A46">
      <w:pPr>
        <w:widowControl w:val="0"/>
        <w:tabs>
          <w:tab w:val="left" w:pos="990"/>
        </w:tabs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B6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Перелік товарів, послуг та процедур, необхідних для виконання чинного регулювання базується на чинній редакції Ліцензійних умов</w:t>
      </w:r>
      <w:r w:rsidRPr="00656B61">
        <w:rPr>
          <w:rStyle w:val="af"/>
          <w:rFonts w:ascii="Times New Roman" w:eastAsia="Times New Roman" w:hAnsi="Times New Roman" w:cs="Times New Roman"/>
          <w:sz w:val="27"/>
          <w:szCs w:val="27"/>
          <w:lang w:eastAsia="ru-RU"/>
        </w:rPr>
        <w:footnoteReference w:id="1"/>
      </w:r>
      <w:r w:rsidRPr="00656B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консультаціях з суб’єктами господарювання.</w:t>
      </w:r>
    </w:p>
    <w:p w:rsidR="007E4A46" w:rsidRPr="00656B61" w:rsidRDefault="007E4A46" w:rsidP="007E4A46">
      <w:pPr>
        <w:widowControl w:val="0"/>
        <w:tabs>
          <w:tab w:val="left" w:pos="990"/>
        </w:tabs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B61">
        <w:rPr>
          <w:rFonts w:ascii="Times New Roman" w:eastAsia="Times New Roman" w:hAnsi="Times New Roman" w:cs="Times New Roman"/>
          <w:sz w:val="27"/>
          <w:szCs w:val="27"/>
          <w:lang w:eastAsia="ru-RU"/>
        </w:rPr>
        <w:t>Інформація про розмір часу, який витрачається суб’єктами господарювання на отримання зазначеної інформації, є оціночною та вказана за результатами консультацій.</w:t>
      </w:r>
    </w:p>
    <w:p w:rsidR="007E4A46" w:rsidRPr="00656B61" w:rsidRDefault="007E4A46" w:rsidP="007E4A46">
      <w:pPr>
        <w:widowControl w:val="0"/>
        <w:tabs>
          <w:tab w:val="left" w:pos="990"/>
        </w:tabs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B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Вартість товарів та послуг вказана за результатами пошуку у відкритих джерелах в мережі Інтернет станом на вересень 2020 року. </w:t>
      </w:r>
    </w:p>
    <w:p w:rsidR="007E4A46" w:rsidRPr="00656B61" w:rsidRDefault="007E4A46" w:rsidP="007E4A46">
      <w:pPr>
        <w:widowControl w:val="0"/>
        <w:tabs>
          <w:tab w:val="left" w:pos="990"/>
        </w:tabs>
        <w:spacing w:before="120" w:after="120" w:line="120" w:lineRule="atLeas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307"/>
        <w:gridCol w:w="78"/>
        <w:gridCol w:w="2456"/>
        <w:gridCol w:w="86"/>
        <w:gridCol w:w="2408"/>
        <w:gridCol w:w="15"/>
        <w:gridCol w:w="1558"/>
      </w:tblGrid>
      <w:tr w:rsidR="007E4A46" w:rsidRPr="00656B61" w:rsidTr="00656B61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keepNext/>
              <w:widowControl w:val="0"/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з/п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keepNext/>
              <w:widowControl w:val="0"/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Найменування оцінки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keepNext/>
              <w:widowControl w:val="0"/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 перший рік (стартовий рік впровадження регулювання)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keepNext/>
              <w:widowControl w:val="0"/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Періодичні (за наступний рік)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keepNext/>
              <w:widowControl w:val="0"/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Витрати за</w:t>
            </w:r>
          </w:p>
          <w:p w:rsidR="007E4A46" w:rsidRPr="00656B61" w:rsidRDefault="007E4A46" w:rsidP="00656B61">
            <w:pPr>
              <w:keepNext/>
              <w:widowControl w:val="0"/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п’ять років</w:t>
            </w:r>
          </w:p>
        </w:tc>
      </w:tr>
      <w:tr w:rsidR="007E4A46" w:rsidRPr="00656B61" w:rsidTr="00656B6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Оцінка «прямих» витрат суб’єктів малого підприємництва на виконання чинного регулювання</w:t>
            </w:r>
          </w:p>
        </w:tc>
      </w:tr>
      <w:tr w:rsidR="007E4A46" w:rsidRPr="00656B61" w:rsidTr="00656B61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400 грн./місяць – абонплата за термінал (еквайринг)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2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4 800 грн.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2% комісії з кожної транзакції – комісія за термінал (еквайринг)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3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*15 000 грн. виручки на місяць  (припускаємо, що половина транзакцій (з середніх 30 000 грн.) проводяться безготівково)*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3 600 грн.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3 000 – 7 000 грн.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придбання таксометра (залежно від моделі, якості, терміну користування; дані отримані шляхом моніторингу порівняльних веб-сайтів у мережі Інтернет).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400 грн./місяць – абонплата за термінал (еквайринг)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4 800 грн.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2% комісії з кожної транзакції – комісія за термінал (еквайринг) *15 000 грн. виручки на місяць  (припускаємо, що половина транзакцій (з середніх 30 000 грн.) проводяться безготівково)* 12 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3 600 грн.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120" w:after="120" w:line="120" w:lineRule="atLeast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45 000 – 49 000 грн.</w:t>
            </w:r>
          </w:p>
        </w:tc>
      </w:tr>
      <w:tr w:rsidR="007E4A46" w:rsidRPr="00656B61" w:rsidTr="00656B61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2 197 грн.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разова плата за видачу ліцензії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4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 – переоформлення ліцензії безкоштовне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2 197 грн.</w:t>
            </w:r>
          </w:p>
        </w:tc>
      </w:tr>
      <w:tr w:rsidR="007E4A46" w:rsidRPr="00656B61" w:rsidTr="00656B61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Процедури експлуатації обладнання - перевірка технічного стану перед та після рейсу, технічне обслуговування та ремонт (на виконання ліцензійних умов) 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шляхом працевлаштування кваліфікованого спеціаліста 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2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11 446 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5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137 352 грн./рік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11 446 грн./місяць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137 352 грн./рік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686 760 грн.</w:t>
            </w:r>
          </w:p>
        </w:tc>
      </w:tr>
      <w:tr w:rsidR="007E4A46" w:rsidRPr="00656B61" w:rsidTr="00656B61">
        <w:trPr>
          <w:trHeight w:val="84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Процедури обслуговування обладнання (технічне обслуговування)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2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1 000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6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10 000 грн.-технічне обслуговування автомобіля * 1 раз/рік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1000 – 10 000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2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2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1 000 – 10 000 грн.-технічне обслуговування автомобіля * 1 раз/рік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1000 – 10 000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5 000 – 50 000 грн.</w:t>
            </w:r>
          </w:p>
        </w:tc>
      </w:tr>
      <w:tr w:rsidR="007E4A46" w:rsidRPr="00656B61" w:rsidTr="00656B61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Інші процедури: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</w:p>
        </w:tc>
      </w:tr>
      <w:tr w:rsidR="007E4A46" w:rsidRPr="00656B61" w:rsidTr="00656B61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5.1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Організація проходження медичного огляду (на виконання вимог ліцензійних умов) шляхом працевлаштування лікаря на повний робочий день.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11 446 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7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137 352 грн./рік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11 446 грн./місяць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137 352 грн./рік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686 760 грн.</w:t>
            </w:r>
          </w:p>
        </w:tc>
      </w:tr>
      <w:tr w:rsidR="007E4A46" w:rsidRPr="00656B61" w:rsidTr="00656B61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5.2 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Оренда службового приміщення (на виконання ліцензійних умов) за відсутності власного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від 40 000 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8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480 000 грн.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від 40 000 грн./місяць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480 000 грн.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2 400 000 грн.</w:t>
            </w:r>
          </w:p>
        </w:tc>
      </w:tr>
      <w:tr w:rsidR="007E4A46" w:rsidRPr="00656B61" w:rsidTr="00656B61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5.3 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Зберігання транспортних засобів (на 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виконання ліцензійних умов) шляхом оренди місця на </w:t>
            </w:r>
            <w:r w:rsidRPr="00656B61">
              <w:rPr>
                <w:rFonts w:ascii="Times New Roman" w:hAnsi="Times New Roman" w:cs="Times New Roman"/>
                <w:sz w:val="27"/>
                <w:szCs w:val="27"/>
              </w:rPr>
              <w:t>майданчику поза житловими зонами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500 – 1 000 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9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6 000 –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12 000 грн./рік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500 – 1 000 грн./місяць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6 000 –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12 000 грн./рік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30 000 – 60 000 грн.</w:t>
            </w:r>
          </w:p>
        </w:tc>
      </w:tr>
      <w:tr w:rsidR="007E4A46" w:rsidRPr="00656B61" w:rsidTr="00656B61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5.4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Консультація з юристом щодо виконання вимог регулювання 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5 000 – 10 000 грн./звернення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10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 ймовірне звернення/рік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5 000 – 10 000 грн./рік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5 000 – 10 000 грн.</w:t>
            </w:r>
          </w:p>
        </w:tc>
      </w:tr>
      <w:tr w:rsidR="007E4A46" w:rsidRPr="00656B61" w:rsidTr="00656B61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5.6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Ведення бухгалтерського обліку та консультації щодо виконання вимог ведення податкової звітності 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2 000 – 5 000 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11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24 000 – 60 000 грн./рік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2 000 – 5 000 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12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24 000 – 60 000 грн./рік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120 000 – 300 000 грн.</w:t>
            </w:r>
          </w:p>
        </w:tc>
      </w:tr>
      <w:tr w:rsidR="007E4A46" w:rsidRPr="00656B61" w:rsidTr="00656B61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Разом, гривень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  <w:t>Формула: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  <w:t>(сума рядків 1 + 2 + 3 + 4 + 5)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815 747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–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875 747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грн./рік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807 747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– 85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8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747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грн./рік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3 980 717 -4 244 717 грн.</w:t>
            </w:r>
          </w:p>
        </w:tc>
      </w:tr>
      <w:tr w:rsidR="007E4A46" w:rsidRPr="00656B61" w:rsidTr="00656B61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Кількість суб’єктів господарювання, що  виконують вимоги чинного регулювання, одиниць.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15 285 наявних ліцензіатів станом на 15.09.2020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15 285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15 285</w:t>
            </w:r>
          </w:p>
        </w:tc>
      </w:tr>
      <w:tr w:rsidR="007E4A46" w:rsidRPr="00656B61" w:rsidTr="00656B61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Сумарно, гривень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  <w:lastRenderedPageBreak/>
              <w:t>Формула: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  <w:t>відповідний стовпчик “разом” Х  кількість суб’єктів малого підприємництва, що повинні виконати вимоги регулювання (рядок 6 Х рядок 7)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12 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468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692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895 – 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13 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385 792 895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грн.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12 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346 412 895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13 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125 947 895 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грн.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lastRenderedPageBreak/>
              <w:t xml:space="preserve">60 845 259 </w:t>
            </w: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lastRenderedPageBreak/>
              <w:t xml:space="preserve">345 –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64 880 499 345 грн.</w:t>
            </w:r>
          </w:p>
        </w:tc>
      </w:tr>
    </w:tbl>
    <w:p w:rsidR="007E4A46" w:rsidRPr="00656B61" w:rsidRDefault="007E4A46" w:rsidP="007E4A46">
      <w:pPr>
        <w:widowControl w:val="0"/>
        <w:tabs>
          <w:tab w:val="left" w:pos="990"/>
        </w:tabs>
        <w:spacing w:before="120" w:after="120" w:line="120" w:lineRule="atLeast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150"/>
        <w:gridCol w:w="2107"/>
        <w:gridCol w:w="2110"/>
        <w:gridCol w:w="2662"/>
      </w:tblGrid>
      <w:tr w:rsidR="007E4A46" w:rsidRPr="00656B61" w:rsidTr="00656B6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Оцінка вартості адміністративних процедур суб’єктів малого підприємництва щодо виконання регулювання</w:t>
            </w:r>
          </w:p>
        </w:tc>
      </w:tr>
      <w:tr w:rsidR="007E4A46" w:rsidRPr="00656B61" w:rsidTr="00656B61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Процедури отримання первинної інформації про вимоги регулювання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Формула: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витрати часу на отримання інформації про регулювання Х вартість часу суб’єкта малого підприємництва (заробітна плата) Х оціночна кількість форм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год.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13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29,2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грн.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14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=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u-RU" w:eastAsia="ru-RU"/>
              </w:rPr>
              <w:t>58,4</w:t>
            </w: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грн./рік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120" w:after="120" w:line="120" w:lineRule="atLeast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120" w:after="120" w:line="120" w:lineRule="atLeast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(припускаємо, що суб’єкт ознайомлюється з вимогами регулювання лише в перший рік)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120" w:after="120" w:line="12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58,4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грн.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E4A46" w:rsidRPr="00656B61" w:rsidTr="00656B61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10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Процедури організації виконання вимог регулювання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Формула: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витрати часу на розроблення та впровадження внутрішніх для суб’єкта малого підприємництва процедур на впровадження вимог регулювання Х вартість часу суб’єкта малого підприємництва (заробітна плата) Х оціночна кількість внутрішніх процедур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11" w:hanging="11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 год.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15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2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9,2 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грн.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16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1 168 грн./рік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Орган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ізація виконання вимог регулювання потрібна лише на початку діяльності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1 168 грн.</w:t>
            </w:r>
          </w:p>
        </w:tc>
      </w:tr>
      <w:tr w:rsidR="007E4A46" w:rsidRPr="00656B61" w:rsidTr="00656B61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Процедури офіційного звітування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1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2 000 – 5 000 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17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24 000 – 60 000 грн./рік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18"/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2 000 – 5 000 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19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24 000 – 60 000 грн./рік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120 000 – 300 000 грн.</w:t>
            </w:r>
          </w:p>
        </w:tc>
      </w:tr>
      <w:tr w:rsidR="007E4A46" w:rsidRPr="00656B61" w:rsidTr="00656B61">
        <w:trPr>
          <w:trHeight w:val="84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12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Процедури щодо забезпечення процесу перевірок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2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5 000 грн./рік</w:t>
            </w:r>
            <w:r w:rsidRPr="00656B61">
              <w:rPr>
                <w:rStyle w:val="af"/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footnoteReference w:id="20"/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5 000 грн./рік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25 000 грн.</w:t>
            </w:r>
          </w:p>
        </w:tc>
      </w:tr>
      <w:tr w:rsidR="007E4A46" w:rsidRPr="00656B61" w:rsidTr="00656B61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Інші процедури: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E4A46" w:rsidRPr="00656B61" w:rsidTr="00656B61">
        <w:trPr>
          <w:trHeight w:val="41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Разом, гривень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360"/>
                <w:tab w:val="center" w:pos="813"/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30 218 – </w:t>
            </w:r>
          </w:p>
          <w:p w:rsidR="007E4A46" w:rsidRPr="00656B61" w:rsidRDefault="007E4A46" w:rsidP="00656B61">
            <w:pPr>
              <w:widowControl w:val="0"/>
              <w:tabs>
                <w:tab w:val="left" w:pos="360"/>
                <w:tab w:val="center" w:pos="813"/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66 218 грн.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29 000 - 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65 000грн.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146 964,4 –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326 226,4 грн.</w:t>
            </w:r>
          </w:p>
        </w:tc>
      </w:tr>
      <w:tr w:rsidR="007E4A46" w:rsidRPr="00656B61" w:rsidTr="00656B61">
        <w:trPr>
          <w:trHeight w:val="92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Кількість суб’єктів малого підприємництва, що повинні виконати вимоги регулювання, одиниць.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vertAlign w:val="superscript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15 285 наявних ліцензіатів станом на 15.09.2020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15 285 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15 285 </w:t>
            </w:r>
          </w:p>
        </w:tc>
      </w:tr>
      <w:tr w:rsidR="007E4A46" w:rsidRPr="00656B61" w:rsidTr="00656B61">
        <w:trPr>
          <w:trHeight w:val="48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Сумарно, гривень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461 882 130 – 1 012 142 130 грн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461 877 258 –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1 012 137 258 грн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2 235 072 738 – 4 986 370 524 грн.</w:t>
            </w:r>
          </w:p>
        </w:tc>
      </w:tr>
    </w:tbl>
    <w:p w:rsidR="007E4A46" w:rsidRPr="00656B61" w:rsidRDefault="007E4A46" w:rsidP="007E4A46">
      <w:pPr>
        <w:spacing w:before="120" w:after="120" w:line="12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656B61">
        <w:rPr>
          <w:rFonts w:ascii="Times New Roman" w:hAnsi="Times New Roman" w:cs="Times New Roman"/>
          <w:sz w:val="27"/>
          <w:szCs w:val="27"/>
        </w:rPr>
        <w:t xml:space="preserve">3.2 Альтернатива 2 (розрахунок витрат суб’єкта малого підприємництва на виконання вимог запропонованого в Альтернативі 2 регулювання – прийняття  </w:t>
      </w:r>
      <w:r w:rsidRPr="00656B6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проекту Закону України «Про внесення змін до деяких законів України щодо врегулювання діяльності з надання послуг з внутрішніх перевезень пасажирів  на таксі та легковими автомобілями на замовлення»</w:t>
      </w:r>
      <w:r w:rsidRPr="00656B61">
        <w:rPr>
          <w:rFonts w:ascii="Times New Roman" w:hAnsi="Times New Roman" w:cs="Times New Roman"/>
          <w:sz w:val="27"/>
          <w:szCs w:val="27"/>
        </w:rPr>
        <w:t>)</w:t>
      </w:r>
    </w:p>
    <w:p w:rsidR="007E4A46" w:rsidRPr="00656B61" w:rsidRDefault="007E4A46" w:rsidP="007E4A46">
      <w:pPr>
        <w:widowControl w:val="0"/>
        <w:tabs>
          <w:tab w:val="left" w:pos="990"/>
        </w:tabs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B61">
        <w:rPr>
          <w:rFonts w:ascii="Times New Roman" w:hAnsi="Times New Roman" w:cs="Times New Roman"/>
          <w:sz w:val="27"/>
          <w:szCs w:val="27"/>
        </w:rPr>
        <w:tab/>
      </w:r>
      <w:r w:rsidRPr="00656B6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Перелік товарів, послуг та процедур, необхідних для виконання чинного регулювання базується на чинній редакції Ліцензійних умов</w:t>
      </w:r>
      <w:r w:rsidRPr="00656B61">
        <w:rPr>
          <w:rStyle w:val="af"/>
          <w:rFonts w:ascii="Times New Roman" w:eastAsia="Times New Roman" w:hAnsi="Times New Roman" w:cs="Times New Roman"/>
          <w:sz w:val="27"/>
          <w:szCs w:val="27"/>
          <w:lang w:eastAsia="ru-RU"/>
        </w:rPr>
        <w:footnoteReference w:id="21"/>
      </w:r>
      <w:r w:rsidRPr="00656B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консультаціях з суб’єктами господарювання.</w:t>
      </w:r>
    </w:p>
    <w:p w:rsidR="007E4A46" w:rsidRPr="00656B61" w:rsidRDefault="007E4A46" w:rsidP="007E4A46">
      <w:pPr>
        <w:widowControl w:val="0"/>
        <w:tabs>
          <w:tab w:val="left" w:pos="990"/>
        </w:tabs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B61">
        <w:rPr>
          <w:rFonts w:ascii="Times New Roman" w:eastAsia="Times New Roman" w:hAnsi="Times New Roman" w:cs="Times New Roman"/>
          <w:sz w:val="27"/>
          <w:szCs w:val="27"/>
          <w:lang w:eastAsia="ru-RU"/>
        </w:rPr>
        <w:t>Інформація про розмір часу, який витрачається суб’єктами господарювання на отримання зазначеної інформації, є оціночною та вказана за результатами консультацій.</w:t>
      </w:r>
    </w:p>
    <w:p w:rsidR="007E4A46" w:rsidRPr="00656B61" w:rsidRDefault="007E4A46" w:rsidP="007E4A46">
      <w:pPr>
        <w:widowControl w:val="0"/>
        <w:tabs>
          <w:tab w:val="left" w:pos="990"/>
        </w:tabs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B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Вартість товарів та послуг вказана за результатами пошуку у відкритих джерелах в мережі Інтернет станом на вересень 2020 року. </w:t>
      </w:r>
    </w:p>
    <w:p w:rsidR="007E4A46" w:rsidRPr="00656B61" w:rsidRDefault="007E4A46" w:rsidP="007E4A46">
      <w:pPr>
        <w:widowControl w:val="0"/>
        <w:tabs>
          <w:tab w:val="left" w:pos="990"/>
        </w:tabs>
        <w:spacing w:before="120" w:after="120" w:line="120" w:lineRule="atLeas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231"/>
        <w:gridCol w:w="265"/>
        <w:gridCol w:w="2348"/>
        <w:gridCol w:w="283"/>
        <w:gridCol w:w="2047"/>
        <w:gridCol w:w="1617"/>
      </w:tblGrid>
      <w:tr w:rsidR="007E4A46" w:rsidRPr="00656B61" w:rsidTr="00656B6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keepNext/>
              <w:widowControl w:val="0"/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№ з/п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keepNext/>
              <w:widowControl w:val="0"/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Найменування оцінки</w:t>
            </w: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keepNext/>
              <w:widowControl w:val="0"/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 перший рік (стартовий рік впровадження регулювання)</w:t>
            </w:r>
          </w:p>
        </w:tc>
        <w:tc>
          <w:tcPr>
            <w:tcW w:w="1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keepNext/>
              <w:widowControl w:val="0"/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Періодичні (за наступний рік)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keepNext/>
              <w:widowControl w:val="0"/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Витрати за</w:t>
            </w:r>
          </w:p>
          <w:p w:rsidR="007E4A46" w:rsidRPr="00656B61" w:rsidRDefault="007E4A46" w:rsidP="00656B61">
            <w:pPr>
              <w:keepNext/>
              <w:widowControl w:val="0"/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п’ять років</w:t>
            </w:r>
          </w:p>
        </w:tc>
      </w:tr>
      <w:tr w:rsidR="007E4A46" w:rsidRPr="00656B61" w:rsidTr="00656B6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Оцінка «прямих» витрат суб’єктів малого підприємництва на виконання чинного регулювання</w:t>
            </w:r>
          </w:p>
        </w:tc>
      </w:tr>
      <w:tr w:rsidR="007E4A46" w:rsidRPr="00656B61" w:rsidTr="00656B6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400 грн./місяць – абонплата за термінал (еквайринг)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22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4 800 грн.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2% комісії з кожної транзакції – комісія за термінал (еквайринг)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23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*15 000 грн. виручки на місяць  (припускаємо, що половина транзакцій (з середніх 30 000 грн.) проводяться безготівково)*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3 600 грн.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400 грн./місяць – абонплата за термінал (еквайринг)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4 800 грн.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2% комісії з кожної транзакції – комісія за термінал (еквайринг) *15 000 грн. виручки на місяць  (припускаємо, що половина транзакцій (з середніх 30 000 грн.) проводяться безготівково)*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3 600 грн.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120" w:after="120" w:line="120" w:lineRule="atLeast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42 000 грн.</w:t>
            </w:r>
          </w:p>
        </w:tc>
      </w:tr>
      <w:tr w:rsidR="007E4A46" w:rsidRPr="00656B61" w:rsidTr="00656B6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Процедури повірки та/або постановки на відповідний облік у визначеному органі державної влади чи 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місцевого самоврядування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0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</w:tr>
      <w:tr w:rsidR="007E4A46" w:rsidRPr="00656B61" w:rsidTr="00656B6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Процедури експлуатації обладнання – у зв’язку з скасуванням ліцензійних умов немає потреби працевлаштовувати фахівця. 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2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</w:tr>
      <w:tr w:rsidR="007E4A46" w:rsidRPr="00656B61" w:rsidTr="00656B61">
        <w:trPr>
          <w:trHeight w:val="84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Процедури обслуговування обладнання (технічне обслуговування)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2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1 000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24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10 000 грн.-технічне обслуговування автомобіля * 1 раз/рік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1000 – 10 000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2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2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1 000 – 10 000 грн.-технічне обслуговування автомобіля * 1 раз/рік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1000 – 10 000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5 000 – 50 000 грн.</w:t>
            </w:r>
          </w:p>
        </w:tc>
      </w:tr>
      <w:tr w:rsidR="007E4A46" w:rsidRPr="00656B61" w:rsidTr="00656B6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Інші процедури: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</w:p>
        </w:tc>
      </w:tr>
      <w:tr w:rsidR="007E4A46" w:rsidRPr="00656B61" w:rsidTr="00656B6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5.1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Організація проходження медичного огляду (на виконання вимог ліцензійних умов) – скасовано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</w:tr>
      <w:tr w:rsidR="007E4A46" w:rsidRPr="00656B61" w:rsidTr="00656B6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5.2 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Оренда службового приміщення (на виконання ліцензійних умов) – скасовано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</w:tr>
      <w:tr w:rsidR="007E4A46" w:rsidRPr="00656B61" w:rsidTr="00656B6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5.3 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Зберігання транспортних засобів (хоча така ліцензійна вимога скасована, потреба 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зберігати транспортний засіб зберігається) шляхом оренди місця на </w:t>
            </w:r>
            <w:r w:rsidRPr="00656B61">
              <w:rPr>
                <w:rFonts w:ascii="Times New Roman" w:hAnsi="Times New Roman" w:cs="Times New Roman"/>
                <w:sz w:val="27"/>
                <w:szCs w:val="27"/>
              </w:rPr>
              <w:t>майданчику поза житловими зонами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500 – 1 000 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25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6 000 –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12 000 грн./рік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500 – 1 000 грн./місяць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6 000 –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12 000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грн./рік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30 000 – 60 000 грн.</w:t>
            </w:r>
          </w:p>
        </w:tc>
      </w:tr>
      <w:tr w:rsidR="007E4A46" w:rsidRPr="00656B61" w:rsidTr="00656B6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5.4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Консультація з юристом щодо виконання вимог регулювання 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5 000 – 10 000 грн./звернення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26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 ймовірне звернення/рік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5 000 – 10 000 грн./рік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5 000 –10 000 грн.</w:t>
            </w:r>
          </w:p>
        </w:tc>
      </w:tr>
      <w:tr w:rsidR="007E4A46" w:rsidRPr="00656B61" w:rsidTr="00656B6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5.6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Ведення бухгалтерського обліку та консультації щодо виконання вимог ведення податкової звітності 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2 000 – 5 000 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27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24 000 – 60 000 грн./рік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2 000 – 5 000 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28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24 000 – 60 000 грн./рік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120 000 – 300 000 грн.</w:t>
            </w:r>
          </w:p>
        </w:tc>
      </w:tr>
      <w:tr w:rsidR="007E4A46" w:rsidRPr="00656B61" w:rsidTr="00656B6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Разом, гривень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  <w:t>Формула: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  <w:t>(сума рядків 1 + 2 + 3 + 4 + 5)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44 400 – 100 400 грн.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39 400 – 90 400 грн.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202 000 -   462 000 грн.</w:t>
            </w:r>
          </w:p>
        </w:tc>
      </w:tr>
      <w:tr w:rsidR="007E4A46" w:rsidRPr="00656B61" w:rsidTr="00656B6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Кількість суб’єктів господарювання, що  виконують вимоги чинного регулювання, одиниць.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15 285 наявних ліцензіатів станом на 15.09.2020 не понесуть витрат на реєстрацію.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Водночас, можливе збільшення кількості суб’єктів господарювання, що виконують вимоги. Водночас, для наочності 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порівняння будемо використовувати однакову кількість суб’єктів для всіх альтернатив.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15 285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15 285</w:t>
            </w:r>
          </w:p>
        </w:tc>
      </w:tr>
      <w:tr w:rsidR="007E4A46" w:rsidRPr="00656B61" w:rsidTr="00656B6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Сумарно, гривень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  <w:t>Формула: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  <w:t>відповідний стовпчик “разом” Х  кількість суб’єктів малого підприємництва, що повинні виконати вимоги регулювання (рядок 6 Х рядок 7)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678 654 000 – 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1 534 614 000 грн.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602 229 000 –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1 381 764 000 грн.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3 087 570 000-   7 061 670 800 грн.</w:t>
            </w:r>
          </w:p>
        </w:tc>
      </w:tr>
    </w:tbl>
    <w:p w:rsidR="007E4A46" w:rsidRPr="00656B61" w:rsidRDefault="007E4A46" w:rsidP="007E4A46">
      <w:pPr>
        <w:widowControl w:val="0"/>
        <w:tabs>
          <w:tab w:val="left" w:pos="990"/>
        </w:tabs>
        <w:spacing w:before="120" w:after="120" w:line="120" w:lineRule="atLeast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2033"/>
        <w:gridCol w:w="2204"/>
        <w:gridCol w:w="2338"/>
        <w:gridCol w:w="2333"/>
      </w:tblGrid>
      <w:tr w:rsidR="007E4A46" w:rsidRPr="00656B61" w:rsidTr="00656B6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Оцінка вартості адміністративних процедур суб’єктів малого підприємництва щодо виконання регулювання</w:t>
            </w:r>
          </w:p>
        </w:tc>
      </w:tr>
      <w:tr w:rsidR="007E4A46" w:rsidRPr="00656B61" w:rsidTr="00656B61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Процедури отримання первинної інформації про вимоги регулювання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Формула: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витрати часу на отримання інформації про регулювання Х вартість часу суб’єкта малого підприємництв</w:t>
            </w:r>
            <w:r w:rsidRPr="00656B6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lastRenderedPageBreak/>
              <w:t>а (заробітна плата) Х оціночна кількість форм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2 год.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29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29,2 грн.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30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=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58,4 грн./рік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120" w:after="120" w:line="120" w:lineRule="atLeast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120" w:after="120" w:line="120" w:lineRule="atLeast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(припускаємо, що суб’єкт ознайомлюється з вимогами регулювання лише в перший рік)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120" w:after="120" w:line="12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58,4 грн.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E4A46" w:rsidRPr="00656B61" w:rsidTr="00656B61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10  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Процедури організації виконання вимог регулювання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Формула: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витрати часу на розроблення та впровадження внутрішніх для суб’єкта малого підприємництва процедур на впровадження вимог регулювання Х вартість часу суб’єкта малого підприємництва (заробітна плата) Х оціночна кількість внутрішніх процедур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11" w:hanging="11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год.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31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29,2 грн.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32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= 29,2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грн./рік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29,2 грн.</w:t>
            </w:r>
          </w:p>
        </w:tc>
      </w:tr>
      <w:tr w:rsidR="007E4A46" w:rsidRPr="00656B61" w:rsidTr="00656B61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Процедури офіційного звітування. 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1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</w:tr>
      <w:tr w:rsidR="007E4A46" w:rsidRPr="00656B61" w:rsidTr="00656B61">
        <w:trPr>
          <w:trHeight w:val="8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12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Процедури щодо забезпечення процесу перевірок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2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5 000 грн./рік</w:t>
            </w:r>
            <w:r w:rsidRPr="00656B61">
              <w:rPr>
                <w:rStyle w:val="af"/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footnoteReference w:id="33"/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2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5 000 грн./рік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25 000 грн.</w:t>
            </w:r>
          </w:p>
        </w:tc>
      </w:tr>
      <w:tr w:rsidR="007E4A46" w:rsidRPr="00656B61" w:rsidTr="00656B61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Інші процедури: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7E4A46" w:rsidRPr="00656B61" w:rsidTr="00656B61">
        <w:trPr>
          <w:trHeight w:val="41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Разом, гривень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360"/>
                <w:tab w:val="center" w:pos="813"/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5 087,6 грн.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5 000 грн.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25 087,6 грн.</w:t>
            </w:r>
          </w:p>
        </w:tc>
      </w:tr>
      <w:tr w:rsidR="007E4A46" w:rsidRPr="00656B61" w:rsidTr="00656B61">
        <w:trPr>
          <w:trHeight w:val="92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Кількість суб’єктів малого підприємництва, що повинні виконати вимоги регулювання, одиниць.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15 285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rPr>
                <w:rFonts w:ascii="Times New Roman" w:eastAsia="Times New Roman" w:hAnsi="Times New Roman" w:cs="Times New Roman"/>
                <w:b/>
                <w:sz w:val="27"/>
                <w:szCs w:val="27"/>
                <w:vertAlign w:val="superscript"/>
                <w:lang w:eastAsia="ru-RU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15 285 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15 285</w:t>
            </w:r>
          </w:p>
        </w:tc>
      </w:tr>
      <w:tr w:rsidR="007E4A46" w:rsidRPr="00656B61" w:rsidTr="00656B61">
        <w:trPr>
          <w:trHeight w:val="48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Сумарно, гривень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93 001,8  грн.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91 410 грн.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3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383 463 966 грн.</w:t>
            </w:r>
          </w:p>
        </w:tc>
      </w:tr>
    </w:tbl>
    <w:p w:rsidR="007E4A46" w:rsidRPr="00656B61" w:rsidRDefault="007E4A46" w:rsidP="007E4A46">
      <w:pPr>
        <w:spacing w:before="120" w:after="120" w:line="120" w:lineRule="atLeast"/>
        <w:ind w:firstLine="567"/>
        <w:rPr>
          <w:rFonts w:ascii="Times New Roman" w:hAnsi="Times New Roman" w:cs="Times New Roman"/>
          <w:sz w:val="27"/>
          <w:szCs w:val="27"/>
        </w:rPr>
      </w:pPr>
      <w:r w:rsidRPr="00656B61">
        <w:rPr>
          <w:rFonts w:ascii="Times New Roman" w:hAnsi="Times New Roman" w:cs="Times New Roman"/>
          <w:sz w:val="27"/>
          <w:szCs w:val="27"/>
        </w:rPr>
        <w:t xml:space="preserve">3.3 Альтернатива 3 (розрахунок витрат суб’єкта малого підприємництва на виконання вимог запропонованого в Альтернативі 3 регулювання – </w:t>
      </w:r>
      <w:r w:rsidRPr="00656B61">
        <w:rPr>
          <w:rFonts w:ascii="Times New Roman" w:eastAsia="Times New Roman" w:hAnsi="Times New Roman" w:cs="Times New Roman"/>
          <w:sz w:val="27"/>
          <w:szCs w:val="27"/>
          <w:lang w:eastAsia="ru-RU"/>
        </w:rPr>
        <w:t>створення ефективних засобів контролю за дотриманням чинних ліцензійних умов</w:t>
      </w:r>
      <w:r w:rsidRPr="00656B61">
        <w:rPr>
          <w:rFonts w:ascii="Times New Roman" w:hAnsi="Times New Roman" w:cs="Times New Roman"/>
          <w:sz w:val="27"/>
          <w:szCs w:val="27"/>
        </w:rPr>
        <w:t>)</w:t>
      </w:r>
    </w:p>
    <w:p w:rsidR="007E4A46" w:rsidRPr="00656B61" w:rsidRDefault="007E4A46" w:rsidP="007E4A46">
      <w:pPr>
        <w:widowControl w:val="0"/>
        <w:tabs>
          <w:tab w:val="left" w:pos="990"/>
        </w:tabs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B6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Перелік товарів, послуг та процедур, необхідних для виконання  регулювання базується на чинній редакції Ліцензійних умов</w:t>
      </w:r>
      <w:r w:rsidRPr="00656B61">
        <w:rPr>
          <w:rStyle w:val="af"/>
          <w:rFonts w:ascii="Times New Roman" w:eastAsia="Times New Roman" w:hAnsi="Times New Roman" w:cs="Times New Roman"/>
          <w:sz w:val="27"/>
          <w:szCs w:val="27"/>
          <w:lang w:eastAsia="ru-RU"/>
        </w:rPr>
        <w:footnoteReference w:id="34"/>
      </w:r>
      <w:r w:rsidRPr="00656B61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консультаціях з суб’єктами господарювання щодо витрат на виконання таких вимог, а також на припущені, що посилення заходів контролю спричинить необхідність збільшення резервів суб’єкта господарювання для покриття можливих санкцій (порівняно з Альтернативою 1 – додано рядок 5.4.2).</w:t>
      </w:r>
    </w:p>
    <w:p w:rsidR="007E4A46" w:rsidRPr="00656B61" w:rsidRDefault="007E4A46" w:rsidP="007E4A46">
      <w:pPr>
        <w:widowControl w:val="0"/>
        <w:tabs>
          <w:tab w:val="left" w:pos="990"/>
        </w:tabs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B61">
        <w:rPr>
          <w:rFonts w:ascii="Times New Roman" w:eastAsia="Times New Roman" w:hAnsi="Times New Roman" w:cs="Times New Roman"/>
          <w:sz w:val="27"/>
          <w:szCs w:val="27"/>
          <w:lang w:eastAsia="ru-RU"/>
        </w:rPr>
        <w:t>Інформація про розмір часу, який витрачається суб’єктами господарювання на отримання зазначеної інформації, є оціночною та вказана за результатами консультацій.</w:t>
      </w:r>
    </w:p>
    <w:p w:rsidR="007E4A46" w:rsidRPr="00656B61" w:rsidRDefault="007E4A46" w:rsidP="007E4A46">
      <w:pPr>
        <w:widowControl w:val="0"/>
        <w:tabs>
          <w:tab w:val="left" w:pos="990"/>
        </w:tabs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B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Вартість товарів та послуг вказана за результатами пошуку у відкритих джерелах в мережі Інтернет станом на вересень 2020 року. 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2268"/>
        <w:gridCol w:w="46"/>
        <w:gridCol w:w="2312"/>
        <w:gridCol w:w="297"/>
        <w:gridCol w:w="2045"/>
        <w:gridCol w:w="1925"/>
      </w:tblGrid>
      <w:tr w:rsidR="007E4A46" w:rsidRPr="00656B61" w:rsidTr="00656B61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keepNext/>
              <w:widowControl w:val="0"/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№ з/п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keepNext/>
              <w:widowControl w:val="0"/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Найменування оцінки</w:t>
            </w:r>
          </w:p>
        </w:tc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keepNext/>
              <w:widowControl w:val="0"/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 перший рік (стартовий рік впровадження регулювання)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keepNext/>
              <w:widowControl w:val="0"/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Періодичні (за наступний рік)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keepNext/>
              <w:widowControl w:val="0"/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Витрати за</w:t>
            </w:r>
          </w:p>
          <w:p w:rsidR="007E4A46" w:rsidRPr="00656B61" w:rsidRDefault="007E4A46" w:rsidP="00656B61">
            <w:pPr>
              <w:keepNext/>
              <w:widowControl w:val="0"/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п’ять років</w:t>
            </w:r>
          </w:p>
        </w:tc>
      </w:tr>
      <w:tr w:rsidR="007E4A46" w:rsidRPr="00656B61" w:rsidTr="00656B6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Оцінка «прямих» витрат суб’єктів малого підприємництва на виконання чинного регулювання</w:t>
            </w:r>
          </w:p>
        </w:tc>
      </w:tr>
      <w:tr w:rsidR="007E4A46" w:rsidRPr="00656B61" w:rsidTr="00656B61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400 грн./місяць – абонплата за термінал (еквайринг)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35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4 800 грн.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2% комісії з кожної транзакції – комісія за термінал (еквайринг)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36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*15 000 грн. виручки на місяць  (припускаємо, що половина транзакцій (з середніх 30 000 грн.) проводяться безготівково)*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3 600 грн.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3 000 – 7 000 грн.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придбання таксометра (залежно від моделі, якості, терміну користування; дані отримані шляхом 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моніторингу порівняльних веб-сайтів у мережі Інтернет).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400 грн./місяць – абонплата за термінал (еквайринг)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4 800 грн.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2% комісії з кожної транзакції – комісія за термінал (еквайринг) *15 000 грн. виручки на місяць  (припускаємо, що половина транзакцій (з середніх 30 000 грн.) проводяться безготівково)*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3 600 грн.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120" w:after="120" w:line="120" w:lineRule="atLeast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45 000 – 49 000 грн.</w:t>
            </w:r>
          </w:p>
        </w:tc>
      </w:tr>
      <w:tr w:rsidR="007E4A46" w:rsidRPr="00656B61" w:rsidTr="00656B61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2 197 грн.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разова плата за видачу ліцензії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37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 – переоформлення ліцензії безкоштовне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2 197 грн.</w:t>
            </w:r>
          </w:p>
        </w:tc>
      </w:tr>
      <w:tr w:rsidR="007E4A46" w:rsidRPr="00656B61" w:rsidTr="00656B61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Процедури експлуатації обладнання - перевірка технічного стану перед та після рейсу, технічне обслуговування та ремонт (на виконання ліцензійних умов) шляхом працевлаштування кваліфікованого спеціаліста 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2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11 446 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38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137 352 грн./рік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11 446 грн./місяць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137 352 грн./рік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686 760 грн.</w:t>
            </w:r>
          </w:p>
        </w:tc>
      </w:tr>
      <w:tr w:rsidR="007E4A46" w:rsidRPr="00656B61" w:rsidTr="00656B61">
        <w:trPr>
          <w:trHeight w:val="84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4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Процедури обслуговування обладнання (технічне обслуговування)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2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1 000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39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10 000 грн.-технічне обслуговування автомобіля * 1 раз/рік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1000 – 10 000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2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2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1 000 – 10 000 грн.-технічне обслуговування автомобіля * 1 раз/рік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1000 – 10 000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5 000 – 50 000 грн.</w:t>
            </w:r>
          </w:p>
        </w:tc>
      </w:tr>
      <w:tr w:rsidR="007E4A46" w:rsidRPr="00656B61" w:rsidTr="00656B61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Інші процедури: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right="1125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</w:p>
        </w:tc>
      </w:tr>
      <w:tr w:rsidR="007E4A46" w:rsidRPr="00656B61" w:rsidTr="00656B61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5.1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Організація проходження медичного огляду (на виконання вимог ліцензійних умов) шляхом працевлаштування лікаря на повний робочий день.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11 446 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40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137 352 грн./рік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11 446 грн./місяць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137 352 грн./рік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686 760 грн.</w:t>
            </w:r>
          </w:p>
        </w:tc>
      </w:tr>
      <w:tr w:rsidR="007E4A46" w:rsidRPr="00656B61" w:rsidTr="00656B61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5.2 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Оренда службового приміщення (на виконання ліцензійних умов) за відсутності власного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від 40 000 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41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480 000 грн.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від 40 000 грн./місяць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480 000 грн.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2 400 000 грн.</w:t>
            </w:r>
          </w:p>
        </w:tc>
      </w:tr>
      <w:tr w:rsidR="007E4A46" w:rsidRPr="00656B61" w:rsidTr="00656B61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5.3 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Зберігання транспортних засобів (на виконання 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ліцензійних умов) шляхом оренди місця на </w:t>
            </w:r>
            <w:r w:rsidRPr="00656B61">
              <w:rPr>
                <w:rFonts w:ascii="Times New Roman" w:hAnsi="Times New Roman" w:cs="Times New Roman"/>
                <w:sz w:val="27"/>
                <w:szCs w:val="27"/>
              </w:rPr>
              <w:t>майданчику поза житловими зонами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500 – 1 000 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42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6 000 –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12 000 грн./рік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500 – 1 000 грн./місяць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6 000 –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12 000 грн./рік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30 000 – 60 000 грн.</w:t>
            </w:r>
          </w:p>
        </w:tc>
      </w:tr>
      <w:tr w:rsidR="007E4A46" w:rsidRPr="00656B61" w:rsidTr="00656B61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5.4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Консультація з юристом щодо виконання вимог регулювання 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5 000 – 10 000 грн./звернення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43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 ймовірне звернення/рік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5 000 – 10 000 грн./рік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5 000 – 10 000 грн.</w:t>
            </w:r>
          </w:p>
        </w:tc>
      </w:tr>
      <w:tr w:rsidR="007E4A46" w:rsidRPr="00656B61" w:rsidTr="00656B61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5.4.1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Створення резервного фонду для покриття можливих санкцій у зв’язку з підвищенням регулювання 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 34 000 грн.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44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/рік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 34 000 грн. /рік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170 000 грн.</w:t>
            </w:r>
          </w:p>
        </w:tc>
      </w:tr>
      <w:tr w:rsidR="007E4A46" w:rsidRPr="00656B61" w:rsidTr="00656B61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5.6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Ведення бухгалтерського обліку та консультації щодо виконання вимог ведення податкової звітності 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2 000 – 5 000 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45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24 000 – 60 000 грн./рік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2 000 – 5 000 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46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24 000 – 60 000 грн./рік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120 000 – 300 000 грн.</w:t>
            </w:r>
          </w:p>
        </w:tc>
      </w:tr>
      <w:tr w:rsidR="007E4A46" w:rsidRPr="00656B61" w:rsidTr="00656B61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Разом, гривень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  <w:t>Формула: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  <w:t>(сума рядків 1 + 2 + 3 + 4 + 5)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849 747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–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909 747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грн./рік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841 747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– 892 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747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грн./рік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u-RU" w:eastAsia="ru-RU"/>
              </w:rPr>
              <w:t>4 150 717</w:t>
            </w: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-4 </w:t>
            </w: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u-RU" w:eastAsia="ru-RU"/>
              </w:rPr>
              <w:t>414</w:t>
            </w: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 </w:t>
            </w: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u-RU" w:eastAsia="ru-RU"/>
              </w:rPr>
              <w:t>717</w:t>
            </w: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грн.</w:t>
            </w:r>
          </w:p>
        </w:tc>
      </w:tr>
      <w:tr w:rsidR="007E4A46" w:rsidRPr="00656B61" w:rsidTr="00656B61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Кількість суб’єктів господарювання, 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що  виконують вимоги чинного регулювання, одиниць.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15 28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5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наявних ліцензіатів станом на 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15.09.2020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15 28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15 28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5</w:t>
            </w:r>
          </w:p>
        </w:tc>
      </w:tr>
      <w:tr w:rsidR="007E4A46" w:rsidRPr="00656B61" w:rsidTr="00656B61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Сумарно, гривень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  <w:t>Формула: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  <w:t>відповідний стовпчик “разом” Х  кількість суб’єктів малого підприємництва, що повинні виконати вимоги регулювання (рядок 6 Х рядок 7)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12 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988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382 895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13 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905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482 895 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грн.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12 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866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102 895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13  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645 637 895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грн.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63 </w:t>
            </w: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u-RU" w:eastAsia="ru-RU"/>
              </w:rPr>
              <w:t>443 709 345</w:t>
            </w: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– 67 </w:t>
            </w: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u-RU" w:eastAsia="ru-RU"/>
              </w:rPr>
              <w:t>478 949 345</w:t>
            </w: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грн.</w:t>
            </w:r>
          </w:p>
        </w:tc>
      </w:tr>
    </w:tbl>
    <w:p w:rsidR="007E4A46" w:rsidRPr="00656B61" w:rsidRDefault="007E4A46" w:rsidP="007E4A46">
      <w:pPr>
        <w:widowControl w:val="0"/>
        <w:tabs>
          <w:tab w:val="left" w:pos="990"/>
        </w:tabs>
        <w:spacing w:before="120" w:after="120" w:line="120" w:lineRule="atLeast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2291"/>
        <w:gridCol w:w="2153"/>
        <w:gridCol w:w="2110"/>
        <w:gridCol w:w="2216"/>
      </w:tblGrid>
      <w:tr w:rsidR="007E4A46" w:rsidRPr="00656B61" w:rsidTr="00656B6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Оцінка вартості адміністративних процедур суб’єктів малого підприємництва щодо виконання регулювання</w:t>
            </w:r>
          </w:p>
        </w:tc>
      </w:tr>
      <w:tr w:rsidR="007E4A46" w:rsidRPr="00656B61" w:rsidTr="00656B61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Процедури отримання первинної інформації про вимоги регулювання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Формула: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витрати часу на отримання інформації про регулювання Х вартість часу суб’єкта малого підприємництва </w:t>
            </w:r>
            <w:r w:rsidRPr="00656B6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lastRenderedPageBreak/>
              <w:t>(заробітна плата) Х оціночна кількість форм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2 год.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47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29,2 грн.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48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=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58,4 грн./рік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120" w:after="120" w:line="120" w:lineRule="atLeast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120" w:after="120" w:line="120" w:lineRule="atLeast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(припускаємо, що суб’єкт ознайомлюється з вимогами регулювання лише в перший рік)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120" w:after="120" w:line="12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58,4 грн.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E4A46" w:rsidRPr="00656B61" w:rsidTr="00656B61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Процедури організації виконання вимог регулювання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Формула: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витрати часу на розроблення та впровадження внутрішніх для суб’єкта малого підприємництва процедур на впровадження вимог регулювання Х вартість часу суб’єкта малого підприємництва (заробітна плата) Х оціночна кількість внутрішніх процедур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11" w:hanging="11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 год.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49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29,2 грн.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50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1 168 грн./рік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1168 грн.</w:t>
            </w:r>
          </w:p>
        </w:tc>
      </w:tr>
      <w:tr w:rsidR="007E4A46" w:rsidRPr="00656B61" w:rsidTr="00656B61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Процедури офіційного звітування.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1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2 000 – 5 000 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51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24 000 – 60 000 грн./рік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2 000 – 5 000 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52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24 000 – 60 000 грн./рік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120 000 – 300 000 грн.</w:t>
            </w:r>
          </w:p>
        </w:tc>
      </w:tr>
      <w:tr w:rsidR="007E4A46" w:rsidRPr="00656B61" w:rsidTr="00656B61">
        <w:trPr>
          <w:trHeight w:val="8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12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Процедури щодо забезпечення процесу перевірок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2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30 000 грн./рік</w:t>
            </w:r>
            <w:r w:rsidRPr="00656B61">
              <w:rPr>
                <w:rStyle w:val="af"/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footnoteReference w:id="53"/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2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30 000 грн./рік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150 000 грн.</w:t>
            </w:r>
          </w:p>
        </w:tc>
      </w:tr>
      <w:tr w:rsidR="007E4A46" w:rsidRPr="00656B61" w:rsidTr="00656B61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Інші процедури: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E4A46" w:rsidRPr="00656B61" w:rsidTr="00656B61">
        <w:trPr>
          <w:trHeight w:val="41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Разом, гривень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360"/>
                <w:tab w:val="center" w:pos="813"/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30 218 – </w:t>
            </w:r>
          </w:p>
          <w:p w:rsidR="007E4A46" w:rsidRPr="00656B61" w:rsidRDefault="007E4A46" w:rsidP="00656B61">
            <w:pPr>
              <w:widowControl w:val="0"/>
              <w:tabs>
                <w:tab w:val="left" w:pos="360"/>
                <w:tab w:val="center" w:pos="813"/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66 218 грн.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29 000 - 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65 000грн.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271 226,4 –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451 226,4 грн.</w:t>
            </w:r>
          </w:p>
        </w:tc>
      </w:tr>
      <w:tr w:rsidR="007E4A46" w:rsidRPr="00656B61" w:rsidTr="00656B61">
        <w:trPr>
          <w:trHeight w:val="92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Кількість суб’єктів малого підприємництва, що повинні виконати вимоги регулювання, одиниць.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vertAlign w:val="superscript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15 28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5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наявних ліцензіатів станом на 15.09.2020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15 28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5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15 28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5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7E4A46" w:rsidRPr="00656B61" w:rsidTr="00656B61">
        <w:trPr>
          <w:trHeight w:val="48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Сумарно, гривень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461 </w:t>
            </w: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u-RU" w:eastAsia="ru-RU"/>
              </w:rPr>
              <w:t>882 130</w:t>
            </w: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– 1 </w:t>
            </w: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u-RU" w:eastAsia="ru-RU"/>
              </w:rPr>
              <w:t>012 142 130</w:t>
            </w: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грн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461 877 258 –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1 012 137 258 грн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4 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145 695 524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–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6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896 995 524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грн.</w:t>
            </w:r>
          </w:p>
        </w:tc>
      </w:tr>
    </w:tbl>
    <w:p w:rsidR="007E4A46" w:rsidRPr="00656B61" w:rsidRDefault="007E4A46" w:rsidP="007E4A46">
      <w:pPr>
        <w:spacing w:before="120" w:after="120" w:line="120" w:lineRule="atLeas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56B61">
        <w:rPr>
          <w:rFonts w:ascii="Times New Roman" w:hAnsi="Times New Roman" w:cs="Times New Roman"/>
          <w:sz w:val="27"/>
          <w:szCs w:val="27"/>
        </w:rPr>
        <w:t>3.4 Альтернатива 4 (розрахунок витрат суб’єкта малого підприємництва на у разі скасування</w:t>
      </w:r>
      <w:r w:rsidRPr="00656B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оплати ліцензії при збереженні ліцензування та усіх ліцензійних вимог</w:t>
      </w:r>
      <w:r w:rsidRPr="00656B61">
        <w:rPr>
          <w:rFonts w:ascii="Times New Roman" w:hAnsi="Times New Roman" w:cs="Times New Roman"/>
          <w:sz w:val="27"/>
          <w:szCs w:val="27"/>
        </w:rPr>
        <w:t>).</w:t>
      </w:r>
    </w:p>
    <w:p w:rsidR="007E4A46" w:rsidRPr="00656B61" w:rsidRDefault="007E4A46" w:rsidP="007E4A46">
      <w:pPr>
        <w:widowControl w:val="0"/>
        <w:tabs>
          <w:tab w:val="left" w:pos="990"/>
        </w:tabs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B6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Перелік товарів, послуг та процедур, необхідних для виконання чинного регулювання базується на чинній редакції Ліцензійних умов</w:t>
      </w:r>
      <w:r w:rsidRPr="00656B61">
        <w:rPr>
          <w:rStyle w:val="af"/>
          <w:rFonts w:ascii="Times New Roman" w:eastAsia="Times New Roman" w:hAnsi="Times New Roman" w:cs="Times New Roman"/>
          <w:sz w:val="27"/>
          <w:szCs w:val="27"/>
          <w:lang w:eastAsia="ru-RU"/>
        </w:rPr>
        <w:footnoteReference w:id="54"/>
      </w:r>
      <w:r w:rsidRPr="00656B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консультаціях з суб’єктами господарювання.</w:t>
      </w:r>
    </w:p>
    <w:p w:rsidR="007E4A46" w:rsidRPr="00656B61" w:rsidRDefault="007E4A46" w:rsidP="007E4A46">
      <w:pPr>
        <w:widowControl w:val="0"/>
        <w:tabs>
          <w:tab w:val="left" w:pos="990"/>
        </w:tabs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B61">
        <w:rPr>
          <w:rFonts w:ascii="Times New Roman" w:eastAsia="Times New Roman" w:hAnsi="Times New Roman" w:cs="Times New Roman"/>
          <w:sz w:val="27"/>
          <w:szCs w:val="27"/>
          <w:lang w:eastAsia="ru-RU"/>
        </w:rPr>
        <w:t>Інформація про розмір часу, який витрачається суб’єктами господарювання на отримання зазначеної інформації, є оціночною та вказана за результатами консультацій.</w:t>
      </w:r>
    </w:p>
    <w:p w:rsidR="007E4A46" w:rsidRPr="00656B61" w:rsidRDefault="007E4A46" w:rsidP="007E4A46">
      <w:pPr>
        <w:widowControl w:val="0"/>
        <w:tabs>
          <w:tab w:val="left" w:pos="990"/>
        </w:tabs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6B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Вартість товарів та послуг вказана за результатами пошуку у відкритих джерелах в мережі Інтернет станом на вересень 2020 року. 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253"/>
        <w:gridCol w:w="63"/>
        <w:gridCol w:w="2469"/>
        <w:gridCol w:w="85"/>
        <w:gridCol w:w="2226"/>
        <w:gridCol w:w="15"/>
        <w:gridCol w:w="1841"/>
      </w:tblGrid>
      <w:tr w:rsidR="007E4A46" w:rsidRPr="00656B61" w:rsidTr="00656B61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keepNext/>
              <w:widowControl w:val="0"/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з/п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keepNext/>
              <w:widowControl w:val="0"/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Найменування оцінки</w:t>
            </w:r>
          </w:p>
        </w:tc>
        <w:tc>
          <w:tcPr>
            <w:tcW w:w="1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keepNext/>
              <w:widowControl w:val="0"/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 перший рік (стартовий рік впровадження регулювання)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keepNext/>
              <w:widowControl w:val="0"/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Періодичні (за наступний рік)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keepNext/>
              <w:widowControl w:val="0"/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Витрати за</w:t>
            </w:r>
          </w:p>
          <w:p w:rsidR="007E4A46" w:rsidRPr="00656B61" w:rsidRDefault="007E4A46" w:rsidP="00656B61">
            <w:pPr>
              <w:keepNext/>
              <w:widowControl w:val="0"/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п’ять років</w:t>
            </w:r>
          </w:p>
        </w:tc>
      </w:tr>
      <w:tr w:rsidR="007E4A46" w:rsidRPr="00656B61" w:rsidTr="00656B6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Оцінка «прямих» витрат суб’єктів малого підприємництва на виконання чинного регулювання</w:t>
            </w:r>
          </w:p>
        </w:tc>
      </w:tr>
      <w:tr w:rsidR="007E4A46" w:rsidRPr="00656B61" w:rsidTr="00656B61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1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400 грн./місяць – абонплата за термінал (еквайринг)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55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4 800 грн.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2% комісії з кожної транзакції – комісія за термінал (еквайринг)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56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*15 000 грн. виручки на місяць  (припускаємо, що половина транзакцій (з середніх 30 000 грн.) проводяться безготівково)*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3 600 грн.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3 000 – 7 000 грн.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придбання таксометра (залежно від моделі, якості, терміну користування; дані отримані шляхом моніторингу порівняльних веб-сайтів у мережі Інтернет).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400 грн./місяць – абонплата за термінал (еквайринг)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4 800 грн.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2% комісії з кожної транзакції – комісія за термінал (еквайринг) *15 000 грн. виручки на місяць  (припускаємо, що половина транзакцій (з середніх 30 000 грн.) проводяться безготівково)*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3 600 грн.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120" w:after="120" w:line="120" w:lineRule="atLeast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45 000 – 49 000 грн.</w:t>
            </w:r>
          </w:p>
        </w:tc>
      </w:tr>
      <w:tr w:rsidR="007E4A46" w:rsidRPr="00656B61" w:rsidTr="00656B61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Процедури повірки та/або постановки на відповідний облік 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у визначеному органі державної влади чи місцевого самоврядування – альтернатива пропонує безкоштовне отримання ліцензії.</w:t>
            </w:r>
          </w:p>
        </w:tc>
        <w:tc>
          <w:tcPr>
            <w:tcW w:w="1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0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</w:tr>
      <w:tr w:rsidR="007E4A46" w:rsidRPr="00656B61" w:rsidTr="00656B61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Процедури експлуатації обладнання - перевірка технічного стану перед та після рейсу, технічне обслуговування та ремонт (на виконання ліцензійних умов) шляхом працевлаштування кваліфікованого спеціаліста </w:t>
            </w:r>
          </w:p>
        </w:tc>
        <w:tc>
          <w:tcPr>
            <w:tcW w:w="1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2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11 446 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57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137 352 грн./рік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11 446 грн./місяць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137 352 грн./рік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686 760 грн.</w:t>
            </w:r>
          </w:p>
        </w:tc>
      </w:tr>
      <w:tr w:rsidR="007E4A46" w:rsidRPr="00656B61" w:rsidTr="00656B61">
        <w:trPr>
          <w:trHeight w:val="84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Процедури обслуговування обладнання (технічне обслуговування)</w:t>
            </w:r>
          </w:p>
        </w:tc>
        <w:tc>
          <w:tcPr>
            <w:tcW w:w="1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2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1 000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58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10 000 грн.-технічне обслуговування автомобіля * 1 раз/рік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1000 – 10 000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2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2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1 000 – 10 000 грн.-технічне обслуговування автомобіля * 1 раз/рік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1000 – 10 000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5 000 – 50 000 грн.</w:t>
            </w:r>
          </w:p>
        </w:tc>
      </w:tr>
      <w:tr w:rsidR="007E4A46" w:rsidRPr="00656B61" w:rsidTr="00656B61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Інші процедури: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</w:p>
        </w:tc>
      </w:tr>
      <w:tr w:rsidR="007E4A46" w:rsidRPr="00656B61" w:rsidTr="00656B61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5.1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Організація проходження медичного огляду (на виконання вимог ліцензійних умов) шляхом працевлаштування лікаря на повний робочий день.</w:t>
            </w:r>
          </w:p>
        </w:tc>
        <w:tc>
          <w:tcPr>
            <w:tcW w:w="1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11 446 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59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137 352 грн./рік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11 446 грн./місяць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137 352 грн./рік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686 760 грн.</w:t>
            </w:r>
          </w:p>
        </w:tc>
      </w:tr>
      <w:tr w:rsidR="007E4A46" w:rsidRPr="00656B61" w:rsidTr="00656B61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5.2 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Оренда службового приміщення (на виконання ліцензійних умов) за відсутності власного</w:t>
            </w:r>
          </w:p>
        </w:tc>
        <w:tc>
          <w:tcPr>
            <w:tcW w:w="1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від 40 000 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60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480 000 грн.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від 40 000 грн./місяць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480 000 грн.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2 400 000 грн.</w:t>
            </w:r>
          </w:p>
        </w:tc>
      </w:tr>
      <w:tr w:rsidR="007E4A46" w:rsidRPr="00656B61" w:rsidTr="00656B61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5.3 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Зберігання транспортних засобів (на виконання ліцензійних умов) шляхом оренди місця на </w:t>
            </w:r>
            <w:r w:rsidRPr="00656B61">
              <w:rPr>
                <w:rFonts w:ascii="Times New Roman" w:hAnsi="Times New Roman" w:cs="Times New Roman"/>
                <w:sz w:val="27"/>
                <w:szCs w:val="27"/>
              </w:rPr>
              <w:t>майданчику поза житловими зонами</w:t>
            </w:r>
          </w:p>
        </w:tc>
        <w:tc>
          <w:tcPr>
            <w:tcW w:w="1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– 1 000 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61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6 000 –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12 000 грн./рік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500 – 1 000 грн./місяць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6 000 –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12 000 грн./рік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30 000 – 60 000 грн.</w:t>
            </w:r>
          </w:p>
        </w:tc>
      </w:tr>
      <w:tr w:rsidR="007E4A46" w:rsidRPr="00656B61" w:rsidTr="00656B61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5.4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Консультація з юристом щодо виконання вимог регулювання 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та/або оскарження адміністративної відповідальності</w:t>
            </w:r>
          </w:p>
        </w:tc>
        <w:tc>
          <w:tcPr>
            <w:tcW w:w="1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5 000 – 10 000 грн./звернення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62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 ймовірне звернення/рік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5 000 – 10 000 грн./рік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5 000 – 10 000 грн./звернення * 1 ймовірне звернення/рік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5 000 – 10 000 грн./рік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25 000 – 50 000 грн.</w:t>
            </w:r>
          </w:p>
        </w:tc>
      </w:tr>
      <w:tr w:rsidR="007E4A46" w:rsidRPr="00656B61" w:rsidTr="00656B61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5.6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Ведення бухгалтерського обліку та консультації щодо виконання вимог ведення податкової звітності </w:t>
            </w:r>
          </w:p>
        </w:tc>
        <w:tc>
          <w:tcPr>
            <w:tcW w:w="1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2 000 – 5 000 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63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24 000 – 60 000 грн./рік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2 000 – 5 000 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64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24 000 – 60 000 грн./рік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120 000 – 300 000 грн.</w:t>
            </w:r>
          </w:p>
        </w:tc>
      </w:tr>
      <w:tr w:rsidR="007E4A46" w:rsidRPr="00656B61" w:rsidTr="00656B61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Разом, гривень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  <w:t>Формула: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  <w:t>(сума рядків 1 + 2 + 3 + 4 + 5)</w:t>
            </w:r>
          </w:p>
        </w:tc>
        <w:tc>
          <w:tcPr>
            <w:tcW w:w="1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802 104 – 862 104 грн./рік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799 104 – 855 104 грн./рік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3 978 520 -4 242 520 грн.</w:t>
            </w:r>
          </w:p>
        </w:tc>
      </w:tr>
      <w:tr w:rsidR="007E4A46" w:rsidRPr="00656B61" w:rsidTr="00656B61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Кількість суб’єктів господарювання, що  виконують вимоги чинного регулювання, одиниць.</w:t>
            </w:r>
          </w:p>
        </w:tc>
        <w:tc>
          <w:tcPr>
            <w:tcW w:w="1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15  28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5 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наявних ліцензіатів станом на 15.09.2020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15 28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15 28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5</w:t>
            </w:r>
          </w:p>
        </w:tc>
      </w:tr>
      <w:tr w:rsidR="007E4A46" w:rsidRPr="00656B61" w:rsidTr="00656B61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Сумарно, гривень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  <w:t>Формула: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  <w:t>відповідний стовпчик “разом” Х  кількість суб’єктів малого підприємництва, що повинні виконати вимоги регулювання (рядок 6 Х рядок 7)</w:t>
            </w:r>
          </w:p>
        </w:tc>
        <w:tc>
          <w:tcPr>
            <w:tcW w:w="1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12 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260 159 640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13 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177 259 640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грн.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12 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214 304 640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13 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070 264 640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грн.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60 </w:t>
            </w: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u-RU" w:eastAsia="ru-RU"/>
              </w:rPr>
              <w:t>811 678 200</w:t>
            </w: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– 64 </w:t>
            </w: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u-RU" w:eastAsia="ru-RU"/>
              </w:rPr>
              <w:t>846 918 200</w:t>
            </w: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 грн.</w:t>
            </w:r>
          </w:p>
        </w:tc>
      </w:tr>
    </w:tbl>
    <w:p w:rsidR="007E4A46" w:rsidRPr="00656B61" w:rsidRDefault="007E4A46" w:rsidP="007E4A46">
      <w:pPr>
        <w:widowControl w:val="0"/>
        <w:tabs>
          <w:tab w:val="left" w:pos="990"/>
        </w:tabs>
        <w:spacing w:before="120" w:after="120" w:line="120" w:lineRule="atLeast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2230"/>
        <w:gridCol w:w="2213"/>
        <w:gridCol w:w="13"/>
        <w:gridCol w:w="2226"/>
        <w:gridCol w:w="6"/>
        <w:gridCol w:w="13"/>
        <w:gridCol w:w="2207"/>
      </w:tblGrid>
      <w:tr w:rsidR="007E4A46" w:rsidRPr="00656B61" w:rsidTr="00656B6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Оцінка вартості адміністративних процедур суб’єктів малого підприємництва щодо виконання регулювання</w:t>
            </w:r>
          </w:p>
        </w:tc>
      </w:tr>
      <w:tr w:rsidR="007E4A46" w:rsidRPr="00656B61" w:rsidTr="00656B61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Процедури отримання первинної інформації про вимоги регулювання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Формула: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витрати часу на отримання інформації про регулювання Х вартість часу суб’єкта малого підприємництва (заробітна плата) Х оціночна кількість форм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год.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65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29,2 грн.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66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=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58,4 грн./рік</w:t>
            </w: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120" w:after="120" w:line="120" w:lineRule="atLeast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120" w:after="120" w:line="120" w:lineRule="atLeast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(припускаємо, що суб’єкт ознайомлюється з вимогами регулювання лише в перший рік)</w:t>
            </w:r>
          </w:p>
        </w:tc>
        <w:tc>
          <w:tcPr>
            <w:tcW w:w="1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120" w:after="120" w:line="12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58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,4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грн.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E4A46" w:rsidRPr="00656B61" w:rsidTr="00656B61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Процедури організації виконання вимог регулювання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Формула: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витрати часу на розроблення та впровадження внутрішніх для суб’єкта малого </w:t>
            </w:r>
            <w:r w:rsidRPr="00656B6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lastRenderedPageBreak/>
              <w:t xml:space="preserve">підприємництва процедур на впровадження вимог регулювання Х вартість часу суб’єкта малого підприємництва (заробітна плата) Х оціночна кількість внутрішніх процедур </w:t>
            </w:r>
          </w:p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11" w:hanging="11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40 год.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67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29,2 грн.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68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1 168 грн./рік</w:t>
            </w:r>
          </w:p>
        </w:tc>
        <w:tc>
          <w:tcPr>
            <w:tcW w:w="1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1 168 грн.</w:t>
            </w:r>
          </w:p>
        </w:tc>
      </w:tr>
      <w:tr w:rsidR="007E4A46" w:rsidRPr="00656B61" w:rsidTr="00656B61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Процедури офіційного звітування. 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1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2 000 – 5 000 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69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24 000 – 60 000 грн./рік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2 000 – 5 000 грн./місяць</w:t>
            </w:r>
            <w:r w:rsidRPr="00656B61">
              <w:rPr>
                <w:rStyle w:val="af"/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ootnoteReference w:id="70"/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* 12 місяців =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24 000 – 60 000 грн./рік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120 000 – 300 000 грн.</w:t>
            </w:r>
          </w:p>
        </w:tc>
      </w:tr>
      <w:tr w:rsidR="007E4A46" w:rsidRPr="00656B61" w:rsidTr="00656B61">
        <w:trPr>
          <w:trHeight w:val="84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Процедури щодо забезпечення процесу перевірок</w:t>
            </w:r>
          </w:p>
        </w:tc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2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5 000 грн./рік</w:t>
            </w:r>
            <w:r w:rsidRPr="00656B61">
              <w:rPr>
                <w:rStyle w:val="af"/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footnoteReference w:id="71"/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12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5 000 грн./рік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25 000 грн.</w:t>
            </w:r>
          </w:p>
        </w:tc>
      </w:tr>
      <w:tr w:rsidR="007E4A46" w:rsidRPr="00656B61" w:rsidTr="00656B61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Інші процедури:</w:t>
            </w:r>
          </w:p>
        </w:tc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E4A46" w:rsidRPr="00656B61" w:rsidTr="00656B61">
        <w:trPr>
          <w:trHeight w:val="41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Разом, гривень</w:t>
            </w:r>
          </w:p>
        </w:tc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360"/>
                <w:tab w:val="center" w:pos="813"/>
                <w:tab w:val="left" w:pos="990"/>
              </w:tabs>
              <w:spacing w:before="120" w:after="12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30 226,4 – 66 226,4 грн.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29 000 – 65 000 грн.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146 226,4 – 326 226,4 грн.</w:t>
            </w:r>
          </w:p>
        </w:tc>
      </w:tr>
      <w:tr w:rsidR="007E4A46" w:rsidRPr="00656B61" w:rsidTr="00656B61">
        <w:trPr>
          <w:trHeight w:val="92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Кількість суб’єктів малого підприємництва, що повинні виконати вимоги регулювання, одиниць.</w:t>
            </w:r>
          </w:p>
        </w:tc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vertAlign w:val="superscript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15 28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5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наявних ліцензіатів станом на 15.09.2020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15 28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5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15 28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5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7E4A46" w:rsidRPr="00656B61" w:rsidTr="00656B61">
        <w:trPr>
          <w:trHeight w:val="48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6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Сумарно, 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гривень</w:t>
            </w:r>
          </w:p>
        </w:tc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u-RU" w:eastAsia="ru-RU"/>
              </w:rPr>
              <w:lastRenderedPageBreak/>
              <w:t>462 010 524</w:t>
            </w: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– </w:t>
            </w: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lastRenderedPageBreak/>
              <w:t>1 012 </w:t>
            </w: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u-RU" w:eastAsia="ru-RU"/>
              </w:rPr>
              <w:t>270 524</w:t>
            </w: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грн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u-RU"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u-RU" w:eastAsia="ru-RU"/>
              </w:rPr>
              <w:lastRenderedPageBreak/>
              <w:t xml:space="preserve">443 265 000 – </w:t>
            </w:r>
            <w:r w:rsidRPr="00656B6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u-RU" w:eastAsia="ru-RU"/>
              </w:rPr>
              <w:lastRenderedPageBreak/>
              <w:t>993 525 000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hanging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2 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235 070 524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– 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4 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986 370 524</w:t>
            </w:r>
            <w:r w:rsidRPr="00656B6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грн.</w:t>
            </w:r>
          </w:p>
        </w:tc>
      </w:tr>
    </w:tbl>
    <w:p w:rsidR="007E4A46" w:rsidRPr="00656B61" w:rsidRDefault="007E4A46" w:rsidP="007E4A46">
      <w:pPr>
        <w:spacing w:before="120" w:after="120" w:line="120" w:lineRule="atLeast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4111"/>
      </w:tblGrid>
      <w:tr w:rsidR="007E4A46" w:rsidRPr="00656B61" w:rsidTr="00656B61">
        <w:tc>
          <w:tcPr>
            <w:tcW w:w="5399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Сумарні витрати за альтернативами (5 років)</w:t>
            </w:r>
          </w:p>
        </w:tc>
        <w:tc>
          <w:tcPr>
            <w:tcW w:w="4234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Сума витрат, гривень</w:t>
            </w:r>
          </w:p>
        </w:tc>
      </w:tr>
      <w:tr w:rsidR="007E4A46" w:rsidRPr="00656B61" w:rsidTr="00656B61">
        <w:tc>
          <w:tcPr>
            <w:tcW w:w="5399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rPr>
                <w:rFonts w:ascii="Times New Roman" w:eastAsia="Times New Roman" w:hAnsi="Times New Roman" w:cs="Times New Roman"/>
                <w:b/>
                <w:i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iCs/>
                <w:sz w:val="27"/>
                <w:szCs w:val="27"/>
                <w:lang w:eastAsia="ru-RU"/>
              </w:rPr>
              <w:t>Альтернатива 1.</w:t>
            </w:r>
          </w:p>
        </w:tc>
        <w:tc>
          <w:tcPr>
            <w:tcW w:w="4234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E4A46" w:rsidRPr="00656B61" w:rsidTr="00656B61">
        <w:tc>
          <w:tcPr>
            <w:tcW w:w="5399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Витрати держави </w:t>
            </w:r>
          </w:p>
        </w:tc>
        <w:tc>
          <w:tcPr>
            <w:tcW w:w="4234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69 221 347,2 грн.</w:t>
            </w:r>
          </w:p>
        </w:tc>
      </w:tr>
      <w:tr w:rsidR="007E4A46" w:rsidRPr="00656B61" w:rsidTr="00656B61">
        <w:tc>
          <w:tcPr>
            <w:tcW w:w="5399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Витрати с/г великого та середнього підприємництва</w:t>
            </w:r>
          </w:p>
        </w:tc>
        <w:tc>
          <w:tcPr>
            <w:tcW w:w="4234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</w:tr>
      <w:tr w:rsidR="007E4A46" w:rsidRPr="00656B61" w:rsidTr="00656B61">
        <w:tc>
          <w:tcPr>
            <w:tcW w:w="5399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Витрати с/г малого підприємництва</w:t>
            </w:r>
          </w:p>
        </w:tc>
        <w:tc>
          <w:tcPr>
            <w:tcW w:w="4234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66 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708 515 034 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грн.</w:t>
            </w:r>
          </w:p>
        </w:tc>
      </w:tr>
      <w:tr w:rsidR="007E4A46" w:rsidRPr="00656B61" w:rsidTr="00656B61">
        <w:tc>
          <w:tcPr>
            <w:tcW w:w="5399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rPr>
                <w:rFonts w:ascii="Times New Roman" w:eastAsia="Times New Roman" w:hAnsi="Times New Roman" w:cs="Times New Roman"/>
                <w:b/>
                <w:i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iCs/>
                <w:sz w:val="27"/>
                <w:szCs w:val="27"/>
                <w:lang w:eastAsia="ru-RU"/>
              </w:rPr>
              <w:t>Альтернатива 2.</w:t>
            </w:r>
          </w:p>
        </w:tc>
        <w:tc>
          <w:tcPr>
            <w:tcW w:w="4234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E4A46" w:rsidRPr="00656B61" w:rsidTr="00656B61">
        <w:tc>
          <w:tcPr>
            <w:tcW w:w="5399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Витрати держави </w:t>
            </w:r>
          </w:p>
        </w:tc>
        <w:tc>
          <w:tcPr>
            <w:tcW w:w="4234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69 221 347,2 грн.</w:t>
            </w:r>
          </w:p>
        </w:tc>
      </w:tr>
      <w:tr w:rsidR="007E4A46" w:rsidRPr="00656B61" w:rsidTr="00656B61">
        <w:tc>
          <w:tcPr>
            <w:tcW w:w="5399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Витрати с/г великого та середнього підприємництва</w:t>
            </w:r>
          </w:p>
        </w:tc>
        <w:tc>
          <w:tcPr>
            <w:tcW w:w="4234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</w:tr>
      <w:tr w:rsidR="007E4A46" w:rsidRPr="00656B61" w:rsidTr="00656B61">
        <w:tc>
          <w:tcPr>
            <w:tcW w:w="5399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Витрати с/г малого підприємництва</w:t>
            </w:r>
          </w:p>
        </w:tc>
        <w:tc>
          <w:tcPr>
            <w:tcW w:w="4234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5 458 084 366 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грн.</w:t>
            </w:r>
          </w:p>
        </w:tc>
      </w:tr>
      <w:tr w:rsidR="007E4A46" w:rsidRPr="00656B61" w:rsidTr="00656B61">
        <w:tc>
          <w:tcPr>
            <w:tcW w:w="5399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rPr>
                <w:rFonts w:ascii="Times New Roman" w:eastAsia="Times New Roman" w:hAnsi="Times New Roman" w:cs="Times New Roman"/>
                <w:iCs/>
                <w:sz w:val="27"/>
                <w:szCs w:val="27"/>
                <w:highlight w:val="yellow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iCs/>
                <w:sz w:val="27"/>
                <w:szCs w:val="27"/>
                <w:lang w:eastAsia="ru-RU"/>
              </w:rPr>
              <w:t>Альтернатива 3.</w:t>
            </w:r>
          </w:p>
        </w:tc>
        <w:tc>
          <w:tcPr>
            <w:tcW w:w="4234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  <w:lang w:eastAsia="ru-RU"/>
              </w:rPr>
            </w:pPr>
          </w:p>
        </w:tc>
      </w:tr>
      <w:tr w:rsidR="007E4A46" w:rsidRPr="00656B61" w:rsidTr="00656B61">
        <w:tc>
          <w:tcPr>
            <w:tcW w:w="5399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rPr>
                <w:rFonts w:ascii="Times New Roman" w:eastAsia="Times New Roman" w:hAnsi="Times New Roman" w:cs="Times New Roman"/>
                <w:iCs/>
                <w:sz w:val="27"/>
                <w:szCs w:val="27"/>
                <w:highlight w:val="yellow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Витрати держави </w:t>
            </w:r>
          </w:p>
        </w:tc>
        <w:tc>
          <w:tcPr>
            <w:tcW w:w="4234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88 641 712, 8 грн.</w:t>
            </w:r>
          </w:p>
        </w:tc>
      </w:tr>
      <w:tr w:rsidR="007E4A46" w:rsidRPr="00656B61" w:rsidTr="00656B61">
        <w:tc>
          <w:tcPr>
            <w:tcW w:w="5399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Витрати с/г великого та середнього підприємництва</w:t>
            </w:r>
          </w:p>
        </w:tc>
        <w:tc>
          <w:tcPr>
            <w:tcW w:w="4234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</w:tr>
      <w:tr w:rsidR="007E4A46" w:rsidRPr="00656B61" w:rsidTr="00656B61">
        <w:tc>
          <w:tcPr>
            <w:tcW w:w="5399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Витрати с/г малого підприємництва</w:t>
            </w:r>
          </w:p>
        </w:tc>
        <w:tc>
          <w:tcPr>
            <w:tcW w:w="4234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69 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306 915 024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грн.</w:t>
            </w:r>
          </w:p>
        </w:tc>
      </w:tr>
      <w:tr w:rsidR="007E4A46" w:rsidRPr="00656B61" w:rsidTr="00656B61">
        <w:tc>
          <w:tcPr>
            <w:tcW w:w="5399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rPr>
                <w:rFonts w:ascii="Times New Roman" w:eastAsia="Times New Roman" w:hAnsi="Times New Roman" w:cs="Times New Roman"/>
                <w:b/>
                <w:bCs/>
                <w:iCs/>
                <w:sz w:val="27"/>
                <w:szCs w:val="27"/>
                <w:highlight w:val="yellow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b/>
                <w:bCs/>
                <w:iCs/>
                <w:sz w:val="27"/>
                <w:szCs w:val="27"/>
                <w:lang w:eastAsia="ru-RU"/>
              </w:rPr>
              <w:t>Альтернатива 4</w:t>
            </w:r>
          </w:p>
        </w:tc>
        <w:tc>
          <w:tcPr>
            <w:tcW w:w="4234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  <w:lang w:eastAsia="ru-RU"/>
              </w:rPr>
            </w:pPr>
          </w:p>
        </w:tc>
      </w:tr>
      <w:tr w:rsidR="007E4A46" w:rsidRPr="00656B61" w:rsidTr="00656B61">
        <w:tc>
          <w:tcPr>
            <w:tcW w:w="5399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Витрати держави </w:t>
            </w:r>
          </w:p>
        </w:tc>
        <w:tc>
          <w:tcPr>
            <w:tcW w:w="4234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69 221 347,2 грн.</w:t>
            </w:r>
          </w:p>
        </w:tc>
      </w:tr>
      <w:tr w:rsidR="007E4A46" w:rsidRPr="00656B61" w:rsidTr="00656B61">
        <w:tc>
          <w:tcPr>
            <w:tcW w:w="5399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rPr>
                <w:rFonts w:ascii="Times New Roman" w:eastAsia="Times New Roman" w:hAnsi="Times New Roman" w:cs="Times New Roman"/>
                <w:iCs/>
                <w:sz w:val="27"/>
                <w:szCs w:val="27"/>
                <w:highlight w:val="yellow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Витрати с/г великого та середнього підприємництва</w:t>
            </w:r>
          </w:p>
        </w:tc>
        <w:tc>
          <w:tcPr>
            <w:tcW w:w="4234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</w:tr>
      <w:tr w:rsidR="007E4A46" w:rsidRPr="00656B61" w:rsidTr="00656B61">
        <w:tc>
          <w:tcPr>
            <w:tcW w:w="5399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Витрати с/г малого підприємництва</w:t>
            </w:r>
          </w:p>
        </w:tc>
        <w:tc>
          <w:tcPr>
            <w:tcW w:w="4234" w:type="dxa"/>
            <w:shd w:val="clear" w:color="auto" w:fill="auto"/>
          </w:tcPr>
          <w:p w:rsidR="007E4A46" w:rsidRPr="00656B61" w:rsidRDefault="007E4A46" w:rsidP="00656B61">
            <w:pPr>
              <w:widowControl w:val="0"/>
              <w:tabs>
                <w:tab w:val="left" w:pos="990"/>
              </w:tabs>
              <w:spacing w:before="120" w:after="120" w:line="120" w:lineRule="atLeast"/>
              <w:ind w:left="27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66 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440 018 724</w:t>
            </w:r>
            <w:r w:rsidRPr="00656B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грн.</w:t>
            </w:r>
          </w:p>
        </w:tc>
      </w:tr>
    </w:tbl>
    <w:p w:rsidR="007E4A46" w:rsidRDefault="007E4A46" w:rsidP="007E4A46">
      <w:pPr>
        <w:spacing w:before="120" w:after="0"/>
        <w:rPr>
          <w:rFonts w:ascii="Times New Roman" w:hAnsi="Times New Roman" w:cs="Times New Roman"/>
          <w:sz w:val="27"/>
          <w:szCs w:val="27"/>
          <w:lang w:eastAsia="uk-UA"/>
        </w:rPr>
      </w:pPr>
      <w:r>
        <w:rPr>
          <w:rFonts w:ascii="Times New Roman" w:hAnsi="Times New Roman" w:cs="Times New Roman"/>
          <w:sz w:val="27"/>
          <w:szCs w:val="27"/>
          <w:lang w:eastAsia="uk-UA"/>
        </w:rPr>
        <w:br w:type="page"/>
      </w:r>
      <w:bookmarkStart w:id="0" w:name="_GoBack"/>
      <w:bookmarkEnd w:id="0"/>
    </w:p>
    <w:sectPr w:rsidR="007E4A46" w:rsidSect="007E4A4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AC8" w:rsidRDefault="005E4AC8" w:rsidP="007E4A46">
      <w:pPr>
        <w:spacing w:after="0" w:line="240" w:lineRule="auto"/>
      </w:pPr>
      <w:r>
        <w:separator/>
      </w:r>
    </w:p>
  </w:endnote>
  <w:endnote w:type="continuationSeparator" w:id="0">
    <w:p w:rsidR="005E4AC8" w:rsidRDefault="005E4AC8" w:rsidP="007E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AC8" w:rsidRDefault="005E4AC8" w:rsidP="007E4A46">
      <w:pPr>
        <w:spacing w:after="0" w:line="240" w:lineRule="auto"/>
      </w:pPr>
      <w:r>
        <w:separator/>
      </w:r>
    </w:p>
  </w:footnote>
  <w:footnote w:type="continuationSeparator" w:id="0">
    <w:p w:rsidR="005E4AC8" w:rsidRDefault="005E4AC8" w:rsidP="007E4A46">
      <w:pPr>
        <w:spacing w:after="0" w:line="240" w:lineRule="auto"/>
      </w:pPr>
      <w:r>
        <w:continuationSeparator/>
      </w:r>
    </w:p>
  </w:footnote>
  <w:footnote w:id="1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Ліцензійні умови </w:t>
      </w:r>
      <w:r w:rsidRPr="000D5922">
        <w:t>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>
        <w:t>, затверджені постановою Кабінету Міністрів України від 2 грудня 2015 р. № 1001</w:t>
      </w:r>
    </w:p>
  </w:footnote>
  <w:footnote w:id="2">
    <w:p w:rsidR="007E4A46" w:rsidRPr="00CF66E9" w:rsidRDefault="007E4A46" w:rsidP="007E4A46">
      <w:pPr>
        <w:pStyle w:val="ad"/>
      </w:pPr>
      <w:r>
        <w:rPr>
          <w:rStyle w:val="af"/>
        </w:rPr>
        <w:footnoteRef/>
      </w:r>
      <w:r>
        <w:t xml:space="preserve"> Вартість еквайрингу у Приватбанку вважатимемо середньою вартістю на ринку. Вартість послуги у інших банках може відрізнятися. </w:t>
      </w:r>
      <w:hyperlink r:id="rId1" w:history="1">
        <w:r w:rsidRPr="00495306">
          <w:rPr>
            <w:rStyle w:val="af7"/>
          </w:rPr>
          <w:t>https://privatbank.ua/business/ekvajring-skb</w:t>
        </w:r>
      </w:hyperlink>
      <w:r w:rsidRPr="00CF66E9">
        <w:t xml:space="preserve"> </w:t>
      </w:r>
    </w:p>
  </w:footnote>
  <w:footnote w:id="3">
    <w:p w:rsidR="007E4A46" w:rsidRPr="00CF66E9" w:rsidRDefault="007E4A46" w:rsidP="007E4A46">
      <w:pPr>
        <w:pStyle w:val="ad"/>
      </w:pPr>
      <w:r>
        <w:rPr>
          <w:rStyle w:val="af"/>
        </w:rPr>
        <w:footnoteRef/>
      </w:r>
      <w:r>
        <w:t xml:space="preserve"> Вартість еквайрингу у Приватбанку вважатимемо середньою вартістю на ринку. Вартість послуги у інших банках може відрізнятися. </w:t>
      </w:r>
      <w:hyperlink r:id="rId2" w:history="1">
        <w:r w:rsidRPr="00495306">
          <w:rPr>
            <w:rStyle w:val="af7"/>
          </w:rPr>
          <w:t>https://privatbank.ua/business/ekvajring-skb</w:t>
        </w:r>
      </w:hyperlink>
      <w:r w:rsidRPr="00CF66E9">
        <w:t xml:space="preserve"> </w:t>
      </w:r>
    </w:p>
  </w:footnote>
  <w:footnote w:id="4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За видачу ліцензії справляється разова плата в розмірі одного прожиткового мінімуму, виходячи з розміру прожиткового мінімуму для працездатних осіб, що діє на день прийняття органом ліцензування рішення про видачу ліцензії (згідно зі ст. 14 ЗУ "Про ліцензування видів господарської діяльності" та інформацією з офіційного веб-сайту Укртрансбезпеки </w:t>
      </w:r>
      <w:hyperlink r:id="rId3" w:history="1">
        <w:r w:rsidRPr="00495306">
          <w:rPr>
            <w:rStyle w:val="af7"/>
          </w:rPr>
          <w:t>https://dsbt.gov.ua/uk/storinka/perelik-dokumentiv-ta-zrazky</w:t>
        </w:r>
      </w:hyperlink>
      <w:r>
        <w:t>) З 1 липня 2020 року така сума становить 2197 грн., сплачується лише один раз при отриманні ліцензії, переоформлення ліцензії є безкоштовним.</w:t>
      </w:r>
    </w:p>
  </w:footnote>
  <w:footnote w:id="5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Середня заробітна плата по Україні станом на серпень 2020, р</w:t>
      </w:r>
      <w:r w:rsidRPr="00B32201">
        <w:t>озраховується, виходячи із фонду оплати праці працівників (включаючи оплату праці сумісників), премій, надвишок, винагород за підсумками роботи за рік та одноразових заохочень</w:t>
      </w:r>
      <w:r>
        <w:t xml:space="preserve">. Припускаємо, що для працевлаштування фахівця для проведення </w:t>
      </w:r>
      <w:r w:rsidRPr="00AD76ED">
        <w:t>перевірк</w:t>
      </w:r>
      <w:r>
        <w:t>и</w:t>
      </w:r>
      <w:r w:rsidRPr="00AD76ED">
        <w:t xml:space="preserve"> технічного стану перед та після рейсу, технічн</w:t>
      </w:r>
      <w:r>
        <w:t>ого</w:t>
      </w:r>
      <w:r w:rsidRPr="00AD76ED">
        <w:t xml:space="preserve"> обслуговування та ремонт</w:t>
      </w:r>
      <w:r>
        <w:t xml:space="preserve">у перевізникові доведеться заплатити щонайменше середню заробітну плату по Україні. Реальна цифра може бути більшою, залежно від кваліфікації та досвіду роботи фахівця. Джерело показника: </w:t>
      </w:r>
      <w:hyperlink r:id="rId4" w:history="1">
        <w:r w:rsidRPr="00495306">
          <w:rPr>
            <w:rStyle w:val="af7"/>
          </w:rPr>
          <w:t>https://index.minfin.com.ua/ua/labour/salary/average/</w:t>
        </w:r>
      </w:hyperlink>
      <w:r>
        <w:t xml:space="preserve"> </w:t>
      </w:r>
    </w:p>
  </w:footnote>
  <w:footnote w:id="6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Вартість техогляду за результатами пошуку у відкритих джерелах, </w:t>
      </w:r>
      <w:hyperlink r:id="rId5" w:history="1">
        <w:r w:rsidRPr="00495306">
          <w:rPr>
            <w:rStyle w:val="af7"/>
          </w:rPr>
          <w:t>https://auto.24tv.ua/skilky_koshtuvatyme_tekhohliad_na_lehkove_avto_n16103</w:t>
        </w:r>
      </w:hyperlink>
      <w:r>
        <w:t xml:space="preserve"> </w:t>
      </w:r>
    </w:p>
  </w:footnote>
  <w:footnote w:id="7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Середня заробітна плата по Україні станом на серпень 2020, р</w:t>
      </w:r>
      <w:r w:rsidRPr="00B32201">
        <w:t>озраховується, виходячи із фонду оплати праці працівників (включаючи оплату праці сумісників), премій, надвишок, винагород за підсумками роботи за рік та одноразових заохочень</w:t>
      </w:r>
      <w:r>
        <w:t xml:space="preserve">. Припускаємо, що для працевлаштування лікаря для проведення медоглядів перевізникові доведеться заплатити щонайменше середню заробітну плату по Україні. Реальна цифра може бути більшою, залежно від кваліфікації та досвіду роботи лікаря. Джерело показника: </w:t>
      </w:r>
      <w:hyperlink r:id="rId6" w:history="1">
        <w:r w:rsidRPr="00495306">
          <w:rPr>
            <w:rStyle w:val="af7"/>
          </w:rPr>
          <w:t>https://index.minfin.com.ua/ua/labour/salary/average/</w:t>
        </w:r>
      </w:hyperlink>
      <w:r>
        <w:t xml:space="preserve"> </w:t>
      </w:r>
    </w:p>
  </w:footnote>
  <w:footnote w:id="8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Вартість оренди комерційної нерухомості (найдешевший сегмент) за результатами пошуку у відкритих джерелах: </w:t>
      </w:r>
      <w:hyperlink r:id="rId7" w:history="1">
        <w:r w:rsidRPr="00495306">
          <w:rPr>
            <w:rStyle w:val="af7"/>
          </w:rPr>
          <w:t>https://100realty.ua/uk/realty_search/nonlive/rent</w:t>
        </w:r>
      </w:hyperlink>
      <w:r>
        <w:t xml:space="preserve"> </w:t>
      </w:r>
    </w:p>
  </w:footnote>
  <w:footnote w:id="9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Вартість оренди 1 місця на паркувальному майданчику за результатами пошуку у відкритих джерелах </w:t>
      </w:r>
      <w:hyperlink r:id="rId8" w:history="1">
        <w:r w:rsidRPr="00495306">
          <w:rPr>
            <w:rStyle w:val="af7"/>
          </w:rPr>
          <w:t>https://www.olx.ua/uk/nedvizhimost/garazhy-parkovki/arenda-garazhey-parkovok/kiev/q-%D1%81%D1%82%D0%BE%D1%8F%D0%BD%D0%BA%D0%B8/</w:t>
        </w:r>
      </w:hyperlink>
      <w:r>
        <w:t xml:space="preserve"> </w:t>
      </w:r>
    </w:p>
  </w:footnote>
  <w:footnote w:id="10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Вартість юридичних послуг за результатами пошуку у відкритих джерелах </w:t>
      </w:r>
      <w:hyperlink r:id="rId9" w:history="1">
        <w:r w:rsidRPr="00495306">
          <w:rPr>
            <w:rStyle w:val="af7"/>
          </w:rPr>
          <w:t>https://prom.ua/ua/Yuridicheskie-uslugi</w:t>
        </w:r>
      </w:hyperlink>
      <w:r>
        <w:t xml:space="preserve"> </w:t>
      </w:r>
    </w:p>
  </w:footnote>
  <w:footnote w:id="11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Вартість ведення бухгалтерського обліку за результатами пошуку у відкритих джерелах </w:t>
      </w:r>
      <w:hyperlink r:id="rId10" w:history="1">
        <w:r w:rsidRPr="00495306">
          <w:rPr>
            <w:rStyle w:val="af7"/>
          </w:rPr>
          <w:t>https://prom.ua/ua/Vedenie-buhgalterskogo-ucheta</w:t>
        </w:r>
      </w:hyperlink>
      <w:r>
        <w:t xml:space="preserve"> </w:t>
      </w:r>
    </w:p>
  </w:footnote>
  <w:footnote w:id="12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Вартість ведення бухгалтерського обліку за результатами пошуку у відкритих джерелах </w:t>
      </w:r>
      <w:hyperlink r:id="rId11" w:history="1">
        <w:r w:rsidRPr="00495306">
          <w:rPr>
            <w:rStyle w:val="af7"/>
          </w:rPr>
          <w:t>https://prom.ua/ua/Vedenie-buhgalterskogo-ucheta</w:t>
        </w:r>
      </w:hyperlink>
      <w:r>
        <w:t xml:space="preserve"> </w:t>
      </w:r>
    </w:p>
  </w:footnote>
  <w:footnote w:id="13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За результатами консультацій з суб’єктами господарювання, пошук та ознайомлення з нормативно-правовими актами, які регулюють діяльність перевізників, займає близько 2 годин. Після такого ознайомлення, перевізник, зазвичай, звертається за кваліфікованою юридичною допомогою, про що зазначено у рядку 5.4 попередньої таблиці. </w:t>
      </w:r>
    </w:p>
  </w:footnote>
  <w:footnote w:id="14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</w:t>
      </w:r>
      <w:r w:rsidRPr="00716301">
        <w:t xml:space="preserve">У розрахунку вартості 1 години роботи використано вартість 1 години роботи, яка відповідно до Закону України «Про Державний бюджет України на 2020 рік», з 1 </w:t>
      </w:r>
      <w:r>
        <w:t>вересня</w:t>
      </w:r>
      <w:r w:rsidRPr="00716301">
        <w:t xml:space="preserve"> 2020 року становить – 2</w:t>
      </w:r>
      <w:r>
        <w:t>9,2</w:t>
      </w:r>
      <w:r w:rsidRPr="00716301">
        <w:t>грн.</w:t>
      </w:r>
    </w:p>
  </w:footnote>
  <w:footnote w:id="15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Близько 1 робочого тижня займає організація діяльності та укладення цивільно-правових договорів для виконання вимог Ліцензійних умов.</w:t>
      </w:r>
    </w:p>
  </w:footnote>
  <w:footnote w:id="16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</w:t>
      </w:r>
      <w:r w:rsidRPr="00716301">
        <w:t xml:space="preserve">У розрахунку вартості 1 години роботи використано вартість 1 години роботи, яка відповідно до Закону України «Про Державний бюджет України на 2020 рік», з 1 </w:t>
      </w:r>
      <w:r>
        <w:rPr>
          <w:lang w:val="ru-RU"/>
        </w:rPr>
        <w:t>вересня</w:t>
      </w:r>
      <w:r w:rsidRPr="00716301">
        <w:t xml:space="preserve"> 2020 року становить – </w:t>
      </w:r>
      <w:r>
        <w:rPr>
          <w:lang w:val="ru-RU"/>
        </w:rPr>
        <w:t>29,2</w:t>
      </w:r>
      <w:r w:rsidRPr="00716301">
        <w:t xml:space="preserve"> грн.</w:t>
      </w:r>
    </w:p>
  </w:footnote>
  <w:footnote w:id="17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Вартість ведення бухгалтерського обліку за результатами пошуку у відкритих джерелах </w:t>
      </w:r>
      <w:hyperlink r:id="rId12" w:history="1">
        <w:r w:rsidRPr="00495306">
          <w:rPr>
            <w:rStyle w:val="af7"/>
          </w:rPr>
          <w:t>https://prom.ua/ua/Vedenie-buhgalterskogo-ucheta</w:t>
        </w:r>
      </w:hyperlink>
      <w:r>
        <w:t xml:space="preserve"> </w:t>
      </w:r>
    </w:p>
  </w:footnote>
  <w:footnote w:id="18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Вартість ведення бухгалтерського обліку за результатами пошуку у відкритих джерелах </w:t>
      </w:r>
      <w:hyperlink r:id="rId13" w:history="1">
        <w:r w:rsidRPr="00495306">
          <w:rPr>
            <w:rStyle w:val="af7"/>
          </w:rPr>
          <w:t>https://prom.ua/ua/Vedenie-buhgalterskogo-ucheta</w:t>
        </w:r>
      </w:hyperlink>
    </w:p>
  </w:footnote>
  <w:footnote w:id="19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Вартість ведення бухгалтерського обліку за результатами пошуку у відкритих джерелах </w:t>
      </w:r>
      <w:hyperlink r:id="rId14" w:history="1">
        <w:r w:rsidRPr="00495306">
          <w:rPr>
            <w:rStyle w:val="af7"/>
          </w:rPr>
          <w:t>https://prom.ua/ua/Vedenie-buhgalterskogo-ucheta</w:t>
        </w:r>
      </w:hyperlink>
      <w:r>
        <w:t xml:space="preserve"> </w:t>
      </w:r>
    </w:p>
  </w:footnote>
  <w:footnote w:id="20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За результатами консультацій з суб’єктами господарювання.</w:t>
      </w:r>
    </w:p>
  </w:footnote>
  <w:footnote w:id="21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Ліцензійні умови </w:t>
      </w:r>
      <w:r w:rsidRPr="000D5922">
        <w:t>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>
        <w:t>, затверджені постановою Кабінету Міністрів України від 2 грудня 2015 р. № 1001</w:t>
      </w:r>
    </w:p>
  </w:footnote>
  <w:footnote w:id="22">
    <w:p w:rsidR="007E4A46" w:rsidRPr="00CF66E9" w:rsidRDefault="007E4A46" w:rsidP="007E4A46">
      <w:pPr>
        <w:pStyle w:val="ad"/>
      </w:pPr>
      <w:r>
        <w:rPr>
          <w:rStyle w:val="af"/>
        </w:rPr>
        <w:footnoteRef/>
      </w:r>
      <w:r>
        <w:t xml:space="preserve"> Вартість еквайрингу у Приватбанку вважатимемо середньою вартістю на ринку. Вартість послуги у інших банках може відрізнятися. </w:t>
      </w:r>
      <w:hyperlink r:id="rId15" w:history="1">
        <w:r w:rsidRPr="00495306">
          <w:rPr>
            <w:rStyle w:val="af7"/>
          </w:rPr>
          <w:t>https://privatbank.ua/business/ekvajring-skb</w:t>
        </w:r>
      </w:hyperlink>
      <w:r w:rsidRPr="00CF66E9">
        <w:t xml:space="preserve"> </w:t>
      </w:r>
    </w:p>
  </w:footnote>
  <w:footnote w:id="23">
    <w:p w:rsidR="007E4A46" w:rsidRPr="00CF66E9" w:rsidRDefault="007E4A46" w:rsidP="007E4A46">
      <w:pPr>
        <w:pStyle w:val="ad"/>
      </w:pPr>
      <w:r>
        <w:rPr>
          <w:rStyle w:val="af"/>
        </w:rPr>
        <w:footnoteRef/>
      </w:r>
      <w:r>
        <w:t xml:space="preserve"> Вартість еквайрингу у Приватбанку вважатимемо середньою вартістю на ринку. Вартість послуги у інших банках може відрізнятися. </w:t>
      </w:r>
      <w:hyperlink r:id="rId16" w:history="1">
        <w:r w:rsidRPr="00495306">
          <w:rPr>
            <w:rStyle w:val="af7"/>
          </w:rPr>
          <w:t>https://privatbank.ua/business/ekvajring-skb</w:t>
        </w:r>
      </w:hyperlink>
      <w:r w:rsidRPr="00CF66E9">
        <w:t xml:space="preserve"> </w:t>
      </w:r>
    </w:p>
  </w:footnote>
  <w:footnote w:id="24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Вартість техогляду за результатами пошуку у відкритих джерелах, </w:t>
      </w:r>
      <w:hyperlink r:id="rId17" w:history="1">
        <w:r w:rsidRPr="00495306">
          <w:rPr>
            <w:rStyle w:val="af7"/>
          </w:rPr>
          <w:t>https://auto.24tv.ua/skilky_koshtuvatyme_tekhohliad_na_lehkove_avto_n16103</w:t>
        </w:r>
      </w:hyperlink>
      <w:r>
        <w:t xml:space="preserve"> </w:t>
      </w:r>
    </w:p>
  </w:footnote>
  <w:footnote w:id="25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Вартість оренди 1 місця на паркувальному майданчику за результатами пошуку у відкритих джерелах </w:t>
      </w:r>
      <w:hyperlink r:id="rId18" w:history="1">
        <w:r w:rsidRPr="00495306">
          <w:rPr>
            <w:rStyle w:val="af7"/>
          </w:rPr>
          <w:t>https://www.olx.ua/uk/nedvizhimost/garazhy-parkovki/arenda-garazhey-parkovok/kiev/q-%D1%81%D1%82%D0%BE%D1%8F%D0%BD%D0%BA%D0%B8/</w:t>
        </w:r>
      </w:hyperlink>
      <w:r>
        <w:t xml:space="preserve"> </w:t>
      </w:r>
    </w:p>
  </w:footnote>
  <w:footnote w:id="26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Вартість юридичних послуг за результатами пошуку у відкритих джерелах </w:t>
      </w:r>
      <w:hyperlink r:id="rId19" w:history="1">
        <w:r w:rsidRPr="00495306">
          <w:rPr>
            <w:rStyle w:val="af7"/>
          </w:rPr>
          <w:t>https://prom.ua/ua/Yuridicheskie-uslugi</w:t>
        </w:r>
      </w:hyperlink>
      <w:r>
        <w:t xml:space="preserve"> </w:t>
      </w:r>
    </w:p>
  </w:footnote>
  <w:footnote w:id="27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Вартість ведення бухгалтерського обліку за результатами пошуку у відкритих джерелах </w:t>
      </w:r>
      <w:hyperlink r:id="rId20" w:history="1">
        <w:r w:rsidRPr="00495306">
          <w:rPr>
            <w:rStyle w:val="af7"/>
          </w:rPr>
          <w:t>https://prom.ua/ua/Vedenie-buhgalterskogo-ucheta</w:t>
        </w:r>
      </w:hyperlink>
      <w:r>
        <w:t xml:space="preserve"> </w:t>
      </w:r>
    </w:p>
  </w:footnote>
  <w:footnote w:id="28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Вартість ведення бухгалтерського обліку за результатами пошуку у відкритих джерелах </w:t>
      </w:r>
      <w:hyperlink r:id="rId21" w:history="1">
        <w:r w:rsidRPr="00495306">
          <w:rPr>
            <w:rStyle w:val="af7"/>
          </w:rPr>
          <w:t>https://prom.ua/ua/Vedenie-buhgalterskogo-ucheta</w:t>
        </w:r>
      </w:hyperlink>
      <w:r>
        <w:t xml:space="preserve"> </w:t>
      </w:r>
    </w:p>
  </w:footnote>
  <w:footnote w:id="29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За результатами консультацій з суб’єктами господарювання, пошук та ознайомлення з нормативно-правовими актами, які регулюють діяльність перевізників, займає близько 2 годин. Після такого ознайомлення, перевізник, зазвичай, звертається за кваліфікованою юридичною допомогою, про що зазначено у рядку 5.4 попередньої таблиці. </w:t>
      </w:r>
    </w:p>
  </w:footnote>
  <w:footnote w:id="30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</w:t>
      </w:r>
      <w:r w:rsidRPr="00716301">
        <w:t xml:space="preserve">У розрахунку вартості 1 години роботи використано вартість 1 години роботи, яка відповідно до Закону України «Про Державний бюджет України на 2020 рік», з 1 </w:t>
      </w:r>
      <w:r>
        <w:t>вересня</w:t>
      </w:r>
      <w:r w:rsidRPr="00716301">
        <w:t xml:space="preserve"> 2020 року становить – </w:t>
      </w:r>
      <w:r>
        <w:t>29,2</w:t>
      </w:r>
      <w:r w:rsidRPr="00716301">
        <w:t xml:space="preserve"> грн.</w:t>
      </w:r>
    </w:p>
  </w:footnote>
  <w:footnote w:id="31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Близько 1 робочого тижня займає організація діяльності та укладення цивільно-правових договорів для виконання вимог Ліцензійних умов.</w:t>
      </w:r>
    </w:p>
  </w:footnote>
  <w:footnote w:id="32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</w:t>
      </w:r>
      <w:r w:rsidRPr="00716301">
        <w:t xml:space="preserve">У розрахунку вартості 1 години роботи використано вартість 1 години роботи, яка відповідно до Закону України «Про Державний бюджет України на 2020 рік», з 1 </w:t>
      </w:r>
      <w:r>
        <w:t>вересня</w:t>
      </w:r>
      <w:r w:rsidRPr="00716301">
        <w:t xml:space="preserve"> 2020 року становить – </w:t>
      </w:r>
      <w:r>
        <w:t xml:space="preserve">29,2 </w:t>
      </w:r>
      <w:r w:rsidRPr="00716301">
        <w:t xml:space="preserve"> грн.</w:t>
      </w:r>
    </w:p>
  </w:footnote>
  <w:footnote w:id="33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За результатами консультацій з суб’єктами господарювання.</w:t>
      </w:r>
    </w:p>
  </w:footnote>
  <w:footnote w:id="34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Ліцензійні умови </w:t>
      </w:r>
      <w:r w:rsidRPr="000D5922">
        <w:t>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>
        <w:t>, затверджені постановою Кабінету Міністрів України від 2 грудня 2015 р. № 1001</w:t>
      </w:r>
    </w:p>
  </w:footnote>
  <w:footnote w:id="35">
    <w:p w:rsidR="007E4A46" w:rsidRPr="00CF66E9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Вартість еквайрингу у Приватбанку вважатимемо середньою вартістю на ринку. Вартість послуги у інших банках може відрізнятися. </w:t>
      </w:r>
      <w:hyperlink r:id="rId22" w:history="1">
        <w:r w:rsidRPr="00495306">
          <w:rPr>
            <w:rStyle w:val="af7"/>
          </w:rPr>
          <w:t>https://privatbank.ua/business/ekvajring-skb</w:t>
        </w:r>
      </w:hyperlink>
      <w:r w:rsidRPr="00CF66E9">
        <w:t xml:space="preserve"> </w:t>
      </w:r>
    </w:p>
  </w:footnote>
  <w:footnote w:id="36">
    <w:p w:rsidR="007E4A46" w:rsidRPr="00CF66E9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Вартість еквайрингу у Приватбанку вважатимемо середньою вартістю на ринку. Вартість послуги у інших банках може відрізнятися. </w:t>
      </w:r>
      <w:hyperlink r:id="rId23" w:history="1">
        <w:r w:rsidRPr="00495306">
          <w:rPr>
            <w:rStyle w:val="af7"/>
          </w:rPr>
          <w:t>https://privatbank.ua/business/ekvajring-skb</w:t>
        </w:r>
      </w:hyperlink>
      <w:r w:rsidRPr="00CF66E9">
        <w:t xml:space="preserve"> </w:t>
      </w:r>
    </w:p>
  </w:footnote>
  <w:footnote w:id="37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За видачу ліцензії справляється разова плата в розмірі одного прожиткового мінімуму, виходячи з розміру прожиткового мінімуму для працездатних осіб, що діє на день прийняття органом ліцензування рішення про видачу ліцензії (згідно зі ст. 14 ЗУ "Про ліцензування видів господарської діяльності" та інформацією з офіційного вебсайту Укртрансбезпеки </w:t>
      </w:r>
      <w:hyperlink r:id="rId24" w:history="1">
        <w:r w:rsidRPr="00495306">
          <w:rPr>
            <w:rStyle w:val="af7"/>
          </w:rPr>
          <w:t>https://dsbt.gov.ua/uk/storinka/perelik-dokumentiv-ta-zrazky</w:t>
        </w:r>
      </w:hyperlink>
      <w:r>
        <w:t>) З 1 липня 2020 року така сума становить 2197 грн., сплачується лише один раз при отриманні ліцензії, переоформлення ліцензії є безкоштовним.</w:t>
      </w:r>
    </w:p>
  </w:footnote>
  <w:footnote w:id="38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Середня заробітна плата по Україні станом на серпень 2020, р</w:t>
      </w:r>
      <w:r w:rsidRPr="00B32201">
        <w:t>озраховується, виходячи із фонду оплати праці працівників (включаючи оплату праці сумісників), премій, надвишок, винагород за підсумками роботи за рік та одноразових заохочень</w:t>
      </w:r>
      <w:r>
        <w:t xml:space="preserve">. Припускаємо, що для працевлаштування фахівця для проведення </w:t>
      </w:r>
      <w:r w:rsidRPr="00AD76ED">
        <w:t>перевірк</w:t>
      </w:r>
      <w:r>
        <w:t>и</w:t>
      </w:r>
      <w:r w:rsidRPr="00AD76ED">
        <w:t xml:space="preserve"> технічного стану перед та після рейсу, технічн</w:t>
      </w:r>
      <w:r>
        <w:t>ого</w:t>
      </w:r>
      <w:r w:rsidRPr="00AD76ED">
        <w:t xml:space="preserve"> обслуговування та ремонт</w:t>
      </w:r>
      <w:r>
        <w:t xml:space="preserve">у перевізникові доведеться заплатити щонайменше середню заробітну плату по Україні. Реальна цифра може бути більшою, залежно від кваліфікації та досвіду роботи фахівця. Джерело показника: </w:t>
      </w:r>
      <w:hyperlink r:id="rId25" w:history="1">
        <w:r w:rsidRPr="00495306">
          <w:rPr>
            <w:rStyle w:val="af7"/>
          </w:rPr>
          <w:t>https://index.minfin.com.ua/ua/labour/salary/average/</w:t>
        </w:r>
      </w:hyperlink>
      <w:r>
        <w:t xml:space="preserve"> </w:t>
      </w:r>
    </w:p>
  </w:footnote>
  <w:footnote w:id="39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Вартість техогляду за результатами пошуку у відкритих джерелах, </w:t>
      </w:r>
      <w:hyperlink r:id="rId26" w:history="1">
        <w:r w:rsidRPr="00495306">
          <w:rPr>
            <w:rStyle w:val="af7"/>
          </w:rPr>
          <w:t>https://auto.24tv.ua/skilky_koshtuvatyme_tekhohliad_na_lehkove_avto_n16103</w:t>
        </w:r>
      </w:hyperlink>
      <w:r>
        <w:t xml:space="preserve"> </w:t>
      </w:r>
    </w:p>
  </w:footnote>
  <w:footnote w:id="40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Середня заробітна плата по Україні станом на серпень 2020, р</w:t>
      </w:r>
      <w:r w:rsidRPr="00B32201">
        <w:t>озраховується, виходячи із фонду оплати праці працівників (включаючи оплату праці сумісників), премій, надвишок, винагород за підсумками роботи за рік та одноразових заохочень</w:t>
      </w:r>
      <w:r>
        <w:t xml:space="preserve">. Припускаємо, що для працевлаштування лікаря для проведення медоглядів перевізникові доведеться заплатити щонайменше середню заробітну плату по Україні. Реальна цифра може бути більшою, залежно від кваліфікації та досвіду роботи лікаря. Джерело показника: </w:t>
      </w:r>
      <w:hyperlink r:id="rId27" w:history="1">
        <w:r w:rsidRPr="00495306">
          <w:rPr>
            <w:rStyle w:val="af7"/>
          </w:rPr>
          <w:t>https://index.minfin.com.ua/ua/labour/salary/average/</w:t>
        </w:r>
      </w:hyperlink>
      <w:r>
        <w:t xml:space="preserve"> </w:t>
      </w:r>
    </w:p>
  </w:footnote>
  <w:footnote w:id="41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Вартість оренди комерційної нерухомості (найдешевший сегмент) за результатами пошуку у відкритих джерелах: </w:t>
      </w:r>
      <w:hyperlink r:id="rId28" w:history="1">
        <w:r w:rsidRPr="00495306">
          <w:rPr>
            <w:rStyle w:val="af7"/>
          </w:rPr>
          <w:t>https://100realty.ua/uk/realty_search/nonlive/rent</w:t>
        </w:r>
      </w:hyperlink>
      <w:r>
        <w:t xml:space="preserve"> </w:t>
      </w:r>
    </w:p>
  </w:footnote>
  <w:footnote w:id="42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Вартість оренди 1 місця на паркувальному майданчику за результатами пошуку у відкритих джерелах </w:t>
      </w:r>
      <w:hyperlink r:id="rId29" w:history="1">
        <w:r w:rsidRPr="00495306">
          <w:rPr>
            <w:rStyle w:val="af7"/>
          </w:rPr>
          <w:t>https://www.olx.ua/uk/nedvizhimost/garazhy-parkovki/arenda-garazhey-parkovok/kiev/q-%D1%81%D1%82%D0%BE%D1%8F%D0%BD%D0%BA%D0%B8/</w:t>
        </w:r>
      </w:hyperlink>
      <w:r>
        <w:t xml:space="preserve"> </w:t>
      </w:r>
    </w:p>
  </w:footnote>
  <w:footnote w:id="43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Вартість юридичних послуг за результатами пошуку у відкритих джерелах </w:t>
      </w:r>
      <w:hyperlink r:id="rId30" w:history="1">
        <w:r w:rsidRPr="00495306">
          <w:rPr>
            <w:rStyle w:val="af7"/>
          </w:rPr>
          <w:t>https://prom.ua/ua/Yuridicheskie-uslugi</w:t>
        </w:r>
      </w:hyperlink>
      <w:r>
        <w:t xml:space="preserve"> </w:t>
      </w:r>
    </w:p>
  </w:footnote>
  <w:footnote w:id="44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Максимальний розмір штрафу за перше порушення </w:t>
      </w:r>
      <w:r w:rsidRPr="000B70B2">
        <w:t>порядку провадження господарської діяльності</w:t>
      </w:r>
      <w:r>
        <w:t xml:space="preserve"> (стаття 164 КУПАП) </w:t>
      </w:r>
    </w:p>
  </w:footnote>
  <w:footnote w:id="45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Вартість ведення бухгалтерського обліку за результатами пошуку у відкритих джерелах </w:t>
      </w:r>
      <w:hyperlink r:id="rId31" w:history="1">
        <w:r w:rsidRPr="00495306">
          <w:rPr>
            <w:rStyle w:val="af7"/>
          </w:rPr>
          <w:t>https://prom.ua/ua/Vedenie-buhgalterskogo-ucheta</w:t>
        </w:r>
      </w:hyperlink>
      <w:r>
        <w:t xml:space="preserve"> </w:t>
      </w:r>
    </w:p>
  </w:footnote>
  <w:footnote w:id="46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Вартість ведення бухгалтерського обліку за результатами пошуку у відкритих джерелах </w:t>
      </w:r>
      <w:hyperlink r:id="rId32" w:history="1">
        <w:r w:rsidRPr="00495306">
          <w:rPr>
            <w:rStyle w:val="af7"/>
          </w:rPr>
          <w:t>https://prom.ua/ua/Vedenie-buhgalterskogo-ucheta</w:t>
        </w:r>
      </w:hyperlink>
      <w:r>
        <w:t xml:space="preserve"> </w:t>
      </w:r>
    </w:p>
  </w:footnote>
  <w:footnote w:id="47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За результатами консультацій з суб’єктами господарювання, пошук та ознайомлення з нормативно-правовими актами, які регулюють діяльність перевізників, займає близько 2 годин. Після такого ознайомлення, перевізник, зазвичай, звертається за кваліфікованою юридичною допомогою, про що зазначено у рядку 5.4 попередньої таблиці. </w:t>
      </w:r>
    </w:p>
  </w:footnote>
  <w:footnote w:id="48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716301">
        <w:t>У розрахунку вартості 1 години роботи використано вартість 1 години роботи, яка відповідно до Закону України «Про Державний бюджет України на 2020 рік», з 1 січня 2020 року становить – 28,31 грн.</w:t>
      </w:r>
    </w:p>
  </w:footnote>
  <w:footnote w:id="49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Близько 1 робочого тижня займає організація діяльності та укладення цивільно-правових договорів для виконання вимог Ліцензійних умов.</w:t>
      </w:r>
    </w:p>
  </w:footnote>
  <w:footnote w:id="50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716301">
        <w:t>У розрахунку вартості 1 години роботи використано вартість 1 години роботи, яка відповідно до Закону України «Про Державний бюджет України на 2020 рік», з 1 січня 2020 року становить – 28,31 грн.</w:t>
      </w:r>
    </w:p>
  </w:footnote>
  <w:footnote w:id="51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Вартість ведення бухгалтерського обліку за результатами пошуку у відкритих джерелах </w:t>
      </w:r>
      <w:hyperlink r:id="rId33" w:history="1">
        <w:r w:rsidRPr="00495306">
          <w:rPr>
            <w:rStyle w:val="af7"/>
          </w:rPr>
          <w:t>https://prom.ua/ua/Vedenie-buhgalterskogo-ucheta</w:t>
        </w:r>
      </w:hyperlink>
      <w:r>
        <w:t xml:space="preserve"> </w:t>
      </w:r>
    </w:p>
  </w:footnote>
  <w:footnote w:id="52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Вартість ведення бухгалтерського обліку за результатами пошуку у відкритих джерелах </w:t>
      </w:r>
      <w:hyperlink r:id="rId34" w:history="1">
        <w:r w:rsidRPr="00495306">
          <w:rPr>
            <w:rStyle w:val="af7"/>
          </w:rPr>
          <w:t>https://prom.ua/ua/Vedenie-buhgalterskogo-ucheta</w:t>
        </w:r>
      </w:hyperlink>
      <w:r>
        <w:t xml:space="preserve"> </w:t>
      </w:r>
    </w:p>
  </w:footnote>
  <w:footnote w:id="53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За результатами консультацій з суб’єктами господарювання.</w:t>
      </w:r>
    </w:p>
  </w:footnote>
  <w:footnote w:id="54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Ліцензійні умови </w:t>
      </w:r>
      <w:r w:rsidRPr="000D5922">
        <w:t>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>
        <w:t>, затверджені постановою Кабінету Міністрів України від 2 грудня 2015 р. № 1001</w:t>
      </w:r>
    </w:p>
  </w:footnote>
  <w:footnote w:id="55">
    <w:p w:rsidR="007E4A46" w:rsidRPr="00CF66E9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Вартість еквайрингу у Приватбанку вважатимемо середньою вартістю на ринку. Вартість послуги у інших банках може відрізнятися. </w:t>
      </w:r>
      <w:hyperlink r:id="rId35" w:history="1">
        <w:r w:rsidRPr="00495306">
          <w:rPr>
            <w:rStyle w:val="af7"/>
          </w:rPr>
          <w:t>https://privatbank.ua/business/ekvajring-skb</w:t>
        </w:r>
      </w:hyperlink>
      <w:r w:rsidRPr="00CF66E9">
        <w:t xml:space="preserve"> </w:t>
      </w:r>
    </w:p>
  </w:footnote>
  <w:footnote w:id="56">
    <w:p w:rsidR="007E4A46" w:rsidRPr="00CF66E9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Вартість еквайрингу у Приватбанку вважатимемо середньою вартістю на ринку. Вартість послуги у інших банках може відрізнятися. </w:t>
      </w:r>
      <w:hyperlink r:id="rId36" w:history="1">
        <w:r w:rsidRPr="00495306">
          <w:rPr>
            <w:rStyle w:val="af7"/>
          </w:rPr>
          <w:t>https://privatbank.ua/business/ekvajring-skb</w:t>
        </w:r>
      </w:hyperlink>
      <w:r w:rsidRPr="00CF66E9">
        <w:t xml:space="preserve"> </w:t>
      </w:r>
    </w:p>
  </w:footnote>
  <w:footnote w:id="57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Середня заробітна плата по Україні станом на серпень 2020, р</w:t>
      </w:r>
      <w:r w:rsidRPr="00B32201">
        <w:t>озраховується, виходячи із фонду оплати праці працівників (включаючи оплату праці сумісників), премій, надвишок, винагород за підсумками роботи за рік та одноразових заохочень</w:t>
      </w:r>
      <w:r>
        <w:t xml:space="preserve">. Припускаємо, що для працевлаштування фахівця для проведення </w:t>
      </w:r>
      <w:r w:rsidRPr="00AD76ED">
        <w:t>перевірк</w:t>
      </w:r>
      <w:r>
        <w:t>и</w:t>
      </w:r>
      <w:r w:rsidRPr="00AD76ED">
        <w:t xml:space="preserve"> технічного стану перед та після рейсу, технічн</w:t>
      </w:r>
      <w:r>
        <w:t>ого</w:t>
      </w:r>
      <w:r w:rsidRPr="00AD76ED">
        <w:t xml:space="preserve"> обслуговування та ремонт</w:t>
      </w:r>
      <w:r>
        <w:t xml:space="preserve">у перевізникові доведеться заплатити щонайменше середню заробітну плату по Україні. Реальна цифра може бути більшою, залежно від кваліфікації та досвіду роботи фахівця. Джерело показника: </w:t>
      </w:r>
      <w:hyperlink r:id="rId37" w:history="1">
        <w:r w:rsidRPr="00495306">
          <w:rPr>
            <w:rStyle w:val="af7"/>
          </w:rPr>
          <w:t>https://index.minfin.com.ua/ua/labour/salary/average/</w:t>
        </w:r>
      </w:hyperlink>
      <w:r>
        <w:t xml:space="preserve"> </w:t>
      </w:r>
    </w:p>
  </w:footnote>
  <w:footnote w:id="58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Вартість техогляду за результатами пошуку у відкритих джерелах, </w:t>
      </w:r>
      <w:hyperlink r:id="rId38" w:history="1">
        <w:r w:rsidRPr="00495306">
          <w:rPr>
            <w:rStyle w:val="af7"/>
          </w:rPr>
          <w:t>https://auto.24tv.ua/skilky_koshtuvatyme_tekhohliad_na_lehkove_avto_n16103</w:t>
        </w:r>
      </w:hyperlink>
      <w:r>
        <w:t xml:space="preserve"> </w:t>
      </w:r>
    </w:p>
  </w:footnote>
  <w:footnote w:id="59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Середня заробітна плата по Україні станом на серпень 2020, р</w:t>
      </w:r>
      <w:r w:rsidRPr="00B32201">
        <w:t>озраховується, виходячи із фонду оплати праці працівників (включаючи оплату праці сумісників), премій, надвишок, винагород за підсумками роботи за рік та одноразових заохочень</w:t>
      </w:r>
      <w:r>
        <w:t xml:space="preserve">. Припускаємо, що для працевлаштування лікаря для проведення медоглядів перевізникові доведеться заплатити щонайменше середню заробітну плату по Україні. Реальна цифра може бути більшою, залежно від кваліфікації та досвіду роботи лікаря. Джерело показника: </w:t>
      </w:r>
      <w:hyperlink r:id="rId39" w:history="1">
        <w:r w:rsidRPr="00495306">
          <w:rPr>
            <w:rStyle w:val="af7"/>
          </w:rPr>
          <w:t>https://index.minfin.com.ua/ua/labour/salary/average/</w:t>
        </w:r>
      </w:hyperlink>
      <w:r>
        <w:t xml:space="preserve"> </w:t>
      </w:r>
    </w:p>
  </w:footnote>
  <w:footnote w:id="60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Вартість оренди комерційної нерухомості (найдешевший сегмент) за результатами пошуку у відкритих джерелах: </w:t>
      </w:r>
      <w:hyperlink r:id="rId40" w:history="1">
        <w:r w:rsidRPr="00495306">
          <w:rPr>
            <w:rStyle w:val="af7"/>
          </w:rPr>
          <w:t>https://100realty.ua/uk/realty_search/nonlive/rent</w:t>
        </w:r>
      </w:hyperlink>
      <w:r>
        <w:t xml:space="preserve"> </w:t>
      </w:r>
    </w:p>
  </w:footnote>
  <w:footnote w:id="61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Вартість оренди 1 місця на паркувальному майданчику за результатами пошуку у відкритих джерелах </w:t>
      </w:r>
      <w:hyperlink r:id="rId41" w:history="1">
        <w:r w:rsidRPr="00495306">
          <w:rPr>
            <w:rStyle w:val="af7"/>
          </w:rPr>
          <w:t>https://www.olx.ua/uk/nedvizhimost/garazhy-parkovki/arenda-garazhey-parkovok/kiev/q-%D1%81%D1%82%D0%BE%D1%8F%D0%BD%D0%BA%D0%B8/</w:t>
        </w:r>
      </w:hyperlink>
      <w:r>
        <w:t xml:space="preserve"> </w:t>
      </w:r>
    </w:p>
  </w:footnote>
  <w:footnote w:id="62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Вартість юридичних послуг за результатами пошуку у відкритих джерелах </w:t>
      </w:r>
      <w:hyperlink r:id="rId42" w:history="1">
        <w:r w:rsidRPr="00495306">
          <w:rPr>
            <w:rStyle w:val="af7"/>
          </w:rPr>
          <w:t>https://prom.ua/ua/Yuridicheskie-uslugi</w:t>
        </w:r>
      </w:hyperlink>
      <w:r>
        <w:t xml:space="preserve"> </w:t>
      </w:r>
    </w:p>
  </w:footnote>
  <w:footnote w:id="63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Вартість ведення бухгалтерського обліку за результатами пошуку у відкритих джерелах </w:t>
      </w:r>
      <w:hyperlink r:id="rId43" w:history="1">
        <w:r w:rsidRPr="00495306">
          <w:rPr>
            <w:rStyle w:val="af7"/>
          </w:rPr>
          <w:t>https://prom.ua/ua/Vedenie-buhgalterskogo-ucheta</w:t>
        </w:r>
      </w:hyperlink>
      <w:r>
        <w:t xml:space="preserve"> </w:t>
      </w:r>
    </w:p>
  </w:footnote>
  <w:footnote w:id="64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Вартість ведення бухгалтерського обліку за результатами пошуку у відкритих джерелах </w:t>
      </w:r>
      <w:hyperlink r:id="rId44" w:history="1">
        <w:r w:rsidRPr="00495306">
          <w:rPr>
            <w:rStyle w:val="af7"/>
          </w:rPr>
          <w:t>https://prom.ua/ua/Vedenie-buhgalterskogo-ucheta</w:t>
        </w:r>
      </w:hyperlink>
      <w:r>
        <w:t xml:space="preserve"> </w:t>
      </w:r>
    </w:p>
  </w:footnote>
  <w:footnote w:id="65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За результатами консультацій з суб’єктами господарювання, пошук та ознайомлення з нормативно-правовими актами, які регулюють діяльність перевізників, займає близько 2 годин. Після такого ознайомлення, перевізник, зазвичай, звертається за кваліфікованою юридичною допомогою, про що зазначено у рядку 5.4 попередньої таблиці. </w:t>
      </w:r>
    </w:p>
  </w:footnote>
  <w:footnote w:id="66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716301">
        <w:t xml:space="preserve">У розрахунку вартості 1 години роботи використано вартість 1 години роботи, яка відповідно до Закону України «Про Державний бюджет України на 2020 рік», з 1 </w:t>
      </w:r>
      <w:r>
        <w:t>вересня</w:t>
      </w:r>
      <w:r w:rsidRPr="00716301">
        <w:t xml:space="preserve"> 2020 року становить – </w:t>
      </w:r>
      <w:r>
        <w:t>29,2</w:t>
      </w:r>
      <w:r w:rsidRPr="00716301">
        <w:t xml:space="preserve"> грн.</w:t>
      </w:r>
    </w:p>
  </w:footnote>
  <w:footnote w:id="67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Близько 1 робочого тижня займає організація діяльності та укладення цивільно-правових договорів для виконання вимог Ліцензійних умов.</w:t>
      </w:r>
    </w:p>
  </w:footnote>
  <w:footnote w:id="68">
    <w:p w:rsidR="007E4A46" w:rsidRDefault="007E4A46" w:rsidP="007E4A46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716301">
        <w:t xml:space="preserve">У розрахунку вартості 1 години роботи використано вартість 1 години роботи, яка відповідно до Закону України «Про Державний бюджет України на 2020 рік», з 1 січня 2020 року становить – </w:t>
      </w:r>
      <w:r>
        <w:t>29,2</w:t>
      </w:r>
      <w:r w:rsidRPr="00716301">
        <w:t xml:space="preserve"> грн.</w:t>
      </w:r>
    </w:p>
  </w:footnote>
  <w:footnote w:id="69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Вартість ведення бухгалтерського обліку за результатами пошуку у відкритих джерелах </w:t>
      </w:r>
      <w:hyperlink r:id="rId45" w:history="1">
        <w:r w:rsidRPr="00495306">
          <w:rPr>
            <w:rStyle w:val="af7"/>
          </w:rPr>
          <w:t>https://prom.ua/ua/Vedenie-buhgalterskogo-ucheta</w:t>
        </w:r>
      </w:hyperlink>
      <w:r>
        <w:t xml:space="preserve"> </w:t>
      </w:r>
    </w:p>
  </w:footnote>
  <w:footnote w:id="70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Вартість ведення бухгалтерського обліку за результатами пошуку у відкритих джерелах </w:t>
      </w:r>
      <w:hyperlink r:id="rId46" w:history="1">
        <w:r w:rsidRPr="00495306">
          <w:rPr>
            <w:rStyle w:val="af7"/>
          </w:rPr>
          <w:t>https://prom.ua/ua/Vedenie-buhgalterskogo-ucheta</w:t>
        </w:r>
      </w:hyperlink>
      <w:r>
        <w:t xml:space="preserve"> </w:t>
      </w:r>
    </w:p>
  </w:footnote>
  <w:footnote w:id="71">
    <w:p w:rsidR="007E4A46" w:rsidRDefault="007E4A46" w:rsidP="007E4A46">
      <w:pPr>
        <w:pStyle w:val="ad"/>
      </w:pPr>
      <w:r>
        <w:rPr>
          <w:rStyle w:val="af"/>
        </w:rPr>
        <w:footnoteRef/>
      </w:r>
      <w:r>
        <w:t xml:space="preserve"> За результатами консультацій з суб’єктами господарювання.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7702615"/>
      <w:docPartObj>
        <w:docPartGallery w:val="Page Numbers (Top of Page)"/>
        <w:docPartUnique/>
      </w:docPartObj>
    </w:sdtPr>
    <w:sdtContent>
      <w:p w:rsidR="007E4A46" w:rsidRDefault="007E4A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E4A46">
          <w:rPr>
            <w:noProof/>
            <w:lang w:val="ru-RU"/>
          </w:rPr>
          <w:t>29</w:t>
        </w:r>
        <w:r>
          <w:fldChar w:fldCharType="end"/>
        </w:r>
      </w:p>
    </w:sdtContent>
  </w:sdt>
  <w:p w:rsidR="007E4A46" w:rsidRDefault="007E4A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C78"/>
    <w:multiLevelType w:val="hybridMultilevel"/>
    <w:tmpl w:val="6BBEECD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C16ABA"/>
    <w:multiLevelType w:val="hybridMultilevel"/>
    <w:tmpl w:val="83A8438C"/>
    <w:lvl w:ilvl="0" w:tplc="AA9CD702">
      <w:start w:val="1"/>
      <w:numFmt w:val="bullet"/>
      <w:lvlText w:val="-"/>
      <w:lvlJc w:val="left"/>
      <w:pPr>
        <w:ind w:left="87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" w15:restartNumberingAfterBreak="0">
    <w:nsid w:val="18233B17"/>
    <w:multiLevelType w:val="hybridMultilevel"/>
    <w:tmpl w:val="7BA6F144"/>
    <w:lvl w:ilvl="0" w:tplc="B9C2E19A">
      <w:start w:val="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83C59B3"/>
    <w:multiLevelType w:val="hybridMultilevel"/>
    <w:tmpl w:val="11C2BA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2762A"/>
    <w:multiLevelType w:val="hybridMultilevel"/>
    <w:tmpl w:val="CBB43856"/>
    <w:lvl w:ilvl="0" w:tplc="042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31792046"/>
    <w:multiLevelType w:val="hybridMultilevel"/>
    <w:tmpl w:val="3B8E467A"/>
    <w:lvl w:ilvl="0" w:tplc="75ACB57E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37" w:hanging="360"/>
      </w:pPr>
    </w:lvl>
    <w:lvl w:ilvl="2" w:tplc="0422001B" w:tentative="1">
      <w:start w:val="1"/>
      <w:numFmt w:val="lowerRoman"/>
      <w:lvlText w:val="%3."/>
      <w:lvlJc w:val="right"/>
      <w:pPr>
        <w:ind w:left="1957" w:hanging="180"/>
      </w:pPr>
    </w:lvl>
    <w:lvl w:ilvl="3" w:tplc="0422000F" w:tentative="1">
      <w:start w:val="1"/>
      <w:numFmt w:val="decimal"/>
      <w:lvlText w:val="%4."/>
      <w:lvlJc w:val="left"/>
      <w:pPr>
        <w:ind w:left="2677" w:hanging="360"/>
      </w:pPr>
    </w:lvl>
    <w:lvl w:ilvl="4" w:tplc="04220019" w:tentative="1">
      <w:start w:val="1"/>
      <w:numFmt w:val="lowerLetter"/>
      <w:lvlText w:val="%5."/>
      <w:lvlJc w:val="left"/>
      <w:pPr>
        <w:ind w:left="3397" w:hanging="360"/>
      </w:pPr>
    </w:lvl>
    <w:lvl w:ilvl="5" w:tplc="0422001B" w:tentative="1">
      <w:start w:val="1"/>
      <w:numFmt w:val="lowerRoman"/>
      <w:lvlText w:val="%6."/>
      <w:lvlJc w:val="right"/>
      <w:pPr>
        <w:ind w:left="4117" w:hanging="180"/>
      </w:pPr>
    </w:lvl>
    <w:lvl w:ilvl="6" w:tplc="0422000F" w:tentative="1">
      <w:start w:val="1"/>
      <w:numFmt w:val="decimal"/>
      <w:lvlText w:val="%7."/>
      <w:lvlJc w:val="left"/>
      <w:pPr>
        <w:ind w:left="4837" w:hanging="360"/>
      </w:pPr>
    </w:lvl>
    <w:lvl w:ilvl="7" w:tplc="04220019" w:tentative="1">
      <w:start w:val="1"/>
      <w:numFmt w:val="lowerLetter"/>
      <w:lvlText w:val="%8."/>
      <w:lvlJc w:val="left"/>
      <w:pPr>
        <w:ind w:left="5557" w:hanging="360"/>
      </w:pPr>
    </w:lvl>
    <w:lvl w:ilvl="8" w:tplc="0422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6" w15:restartNumberingAfterBreak="0">
    <w:nsid w:val="492E2B60"/>
    <w:multiLevelType w:val="hybridMultilevel"/>
    <w:tmpl w:val="D1E8498C"/>
    <w:lvl w:ilvl="0" w:tplc="0422000F">
      <w:start w:val="3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E1948"/>
    <w:multiLevelType w:val="hybridMultilevel"/>
    <w:tmpl w:val="D03883B2"/>
    <w:lvl w:ilvl="0" w:tplc="E4DEC770">
      <w:start w:val="1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E727E85"/>
    <w:multiLevelType w:val="hybridMultilevel"/>
    <w:tmpl w:val="2CC038A8"/>
    <w:lvl w:ilvl="0" w:tplc="4D40063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  <w:color w:val="4472C4" w:themeColor="accent5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7B534BB"/>
    <w:multiLevelType w:val="hybridMultilevel"/>
    <w:tmpl w:val="315AB1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26244"/>
    <w:multiLevelType w:val="hybridMultilevel"/>
    <w:tmpl w:val="DB2E26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46"/>
    <w:rsid w:val="000903B4"/>
    <w:rsid w:val="005E4AC8"/>
    <w:rsid w:val="007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3F91A6-B115-4DB6-81DF-3FCAFA8E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A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4A46"/>
  </w:style>
  <w:style w:type="paragraph" w:styleId="a5">
    <w:name w:val="footer"/>
    <w:basedOn w:val="a"/>
    <w:link w:val="a6"/>
    <w:uiPriority w:val="99"/>
    <w:unhideWhenUsed/>
    <w:rsid w:val="007E4A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4A46"/>
  </w:style>
  <w:style w:type="paragraph" w:styleId="a7">
    <w:name w:val="List Paragraph"/>
    <w:basedOn w:val="a"/>
    <w:uiPriority w:val="34"/>
    <w:qFormat/>
    <w:rsid w:val="007E4A4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E4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4A46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7E4A46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E4A46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E4A46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7E4A4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E4A4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E4A46"/>
    <w:rPr>
      <w:vertAlign w:val="superscript"/>
    </w:rPr>
  </w:style>
  <w:style w:type="table" w:styleId="af0">
    <w:name w:val="Table Grid"/>
    <w:basedOn w:val="a1"/>
    <w:uiPriority w:val="39"/>
    <w:rsid w:val="007E4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7E4A4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E4A4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E4A46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E4A4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E4A46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7E4A46"/>
    <w:pPr>
      <w:spacing w:after="0" w:line="240" w:lineRule="auto"/>
    </w:pPr>
  </w:style>
  <w:style w:type="character" w:styleId="af7">
    <w:name w:val="Hyperlink"/>
    <w:basedOn w:val="a0"/>
    <w:uiPriority w:val="99"/>
    <w:unhideWhenUsed/>
    <w:rsid w:val="007E4A4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4A46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f0"/>
    <w:rsid w:val="007E4A46"/>
    <w:pPr>
      <w:spacing w:after="0" w:line="240" w:lineRule="auto"/>
    </w:pPr>
    <w:rPr>
      <w:rFonts w:ascii="Calibri" w:eastAsia="Calibri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7E4A46"/>
    <w:rPr>
      <w:color w:val="954F72" w:themeColor="followedHyperlink"/>
      <w:u w:val="single"/>
    </w:rPr>
  </w:style>
  <w:style w:type="character" w:styleId="af9">
    <w:name w:val="Placeholder Text"/>
    <w:basedOn w:val="a0"/>
    <w:uiPriority w:val="99"/>
    <w:semiHidden/>
    <w:rsid w:val="007E4A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m.ua/ua/Vedenie-buhgalterskogo-ucheta" TargetMode="External"/><Relationship Id="rId18" Type="http://schemas.openxmlformats.org/officeDocument/2006/relationships/hyperlink" Target="https://www.olx.ua/uk/nedvizhimost/garazhy-parkovki/arenda-garazhey-parkovok/kiev/q-%D1%81%D1%82%D0%BE%D1%8F%D0%BD%D0%BA%D0%B8/" TargetMode="External"/><Relationship Id="rId26" Type="http://schemas.openxmlformats.org/officeDocument/2006/relationships/hyperlink" Target="https://auto.24tv.ua/skilky_koshtuvatyme_tekhohliad_na_lehkove_avto_n16103" TargetMode="External"/><Relationship Id="rId39" Type="http://schemas.openxmlformats.org/officeDocument/2006/relationships/hyperlink" Target="https://index.minfin.com.ua/ua/labour/salary/average/" TargetMode="External"/><Relationship Id="rId21" Type="http://schemas.openxmlformats.org/officeDocument/2006/relationships/hyperlink" Target="https://prom.ua/ua/Vedenie-buhgalterskogo-ucheta" TargetMode="External"/><Relationship Id="rId34" Type="http://schemas.openxmlformats.org/officeDocument/2006/relationships/hyperlink" Target="https://prom.ua/ua/Vedenie-buhgalterskogo-ucheta" TargetMode="External"/><Relationship Id="rId42" Type="http://schemas.openxmlformats.org/officeDocument/2006/relationships/hyperlink" Target="https://prom.ua/ua/Yuridicheskie-uslugi" TargetMode="External"/><Relationship Id="rId7" Type="http://schemas.openxmlformats.org/officeDocument/2006/relationships/hyperlink" Target="https://100realty.ua/uk/realty_search/nonlive/rent" TargetMode="External"/><Relationship Id="rId2" Type="http://schemas.openxmlformats.org/officeDocument/2006/relationships/hyperlink" Target="https://privatbank.ua/business/ekvajring-skb" TargetMode="External"/><Relationship Id="rId16" Type="http://schemas.openxmlformats.org/officeDocument/2006/relationships/hyperlink" Target="https://privatbank.ua/business/ekvajring-skb" TargetMode="External"/><Relationship Id="rId29" Type="http://schemas.openxmlformats.org/officeDocument/2006/relationships/hyperlink" Target="https://www.olx.ua/uk/nedvizhimost/garazhy-parkovki/arenda-garazhey-parkovok/kiev/q-%D1%81%D1%82%D0%BE%D1%8F%D0%BD%D0%BA%D0%B8/" TargetMode="External"/><Relationship Id="rId1" Type="http://schemas.openxmlformats.org/officeDocument/2006/relationships/hyperlink" Target="https://privatbank.ua/business/ekvajring-skb" TargetMode="External"/><Relationship Id="rId6" Type="http://schemas.openxmlformats.org/officeDocument/2006/relationships/hyperlink" Target="https://index.minfin.com.ua/ua/labour/salary/average/" TargetMode="External"/><Relationship Id="rId11" Type="http://schemas.openxmlformats.org/officeDocument/2006/relationships/hyperlink" Target="https://prom.ua/ua/Vedenie-buhgalterskogo-ucheta" TargetMode="External"/><Relationship Id="rId24" Type="http://schemas.openxmlformats.org/officeDocument/2006/relationships/hyperlink" Target="https://dsbt.gov.ua/uk/storinka/perelik-dokumentiv-ta-zrazky" TargetMode="External"/><Relationship Id="rId32" Type="http://schemas.openxmlformats.org/officeDocument/2006/relationships/hyperlink" Target="https://prom.ua/ua/Vedenie-buhgalterskogo-ucheta" TargetMode="External"/><Relationship Id="rId37" Type="http://schemas.openxmlformats.org/officeDocument/2006/relationships/hyperlink" Target="https://index.minfin.com.ua/ua/labour/salary/average/" TargetMode="External"/><Relationship Id="rId40" Type="http://schemas.openxmlformats.org/officeDocument/2006/relationships/hyperlink" Target="https://100realty.ua/uk/realty_search/nonlive/rent" TargetMode="External"/><Relationship Id="rId45" Type="http://schemas.openxmlformats.org/officeDocument/2006/relationships/hyperlink" Target="https://prom.ua/ua/Vedenie-buhgalterskogo-ucheta" TargetMode="External"/><Relationship Id="rId5" Type="http://schemas.openxmlformats.org/officeDocument/2006/relationships/hyperlink" Target="https://auto.24tv.ua/skilky_koshtuvatyme_tekhohliad_na_lehkove_avto_n16103" TargetMode="External"/><Relationship Id="rId15" Type="http://schemas.openxmlformats.org/officeDocument/2006/relationships/hyperlink" Target="https://privatbank.ua/business/ekvajring-skb" TargetMode="External"/><Relationship Id="rId23" Type="http://schemas.openxmlformats.org/officeDocument/2006/relationships/hyperlink" Target="https://privatbank.ua/business/ekvajring-skb" TargetMode="External"/><Relationship Id="rId28" Type="http://schemas.openxmlformats.org/officeDocument/2006/relationships/hyperlink" Target="https://100realty.ua/uk/realty_search/nonlive/rent" TargetMode="External"/><Relationship Id="rId36" Type="http://schemas.openxmlformats.org/officeDocument/2006/relationships/hyperlink" Target="https://privatbank.ua/business/ekvajring-skb" TargetMode="External"/><Relationship Id="rId10" Type="http://schemas.openxmlformats.org/officeDocument/2006/relationships/hyperlink" Target="https://prom.ua/ua/Vedenie-buhgalterskogo-ucheta" TargetMode="External"/><Relationship Id="rId19" Type="http://schemas.openxmlformats.org/officeDocument/2006/relationships/hyperlink" Target="https://prom.ua/ua/Yuridicheskie-uslugi" TargetMode="External"/><Relationship Id="rId31" Type="http://schemas.openxmlformats.org/officeDocument/2006/relationships/hyperlink" Target="https://prom.ua/ua/Vedenie-buhgalterskogo-ucheta" TargetMode="External"/><Relationship Id="rId44" Type="http://schemas.openxmlformats.org/officeDocument/2006/relationships/hyperlink" Target="https://prom.ua/ua/Vedenie-buhgalterskogo-ucheta" TargetMode="External"/><Relationship Id="rId4" Type="http://schemas.openxmlformats.org/officeDocument/2006/relationships/hyperlink" Target="https://index.minfin.com.ua/ua/labour/salary/average/" TargetMode="External"/><Relationship Id="rId9" Type="http://schemas.openxmlformats.org/officeDocument/2006/relationships/hyperlink" Target="https://prom.ua/ua/Yuridicheskie-uslugi" TargetMode="External"/><Relationship Id="rId14" Type="http://schemas.openxmlformats.org/officeDocument/2006/relationships/hyperlink" Target="https://prom.ua/ua/Vedenie-buhgalterskogo-ucheta" TargetMode="External"/><Relationship Id="rId22" Type="http://schemas.openxmlformats.org/officeDocument/2006/relationships/hyperlink" Target="https://privatbank.ua/business/ekvajring-skb" TargetMode="External"/><Relationship Id="rId27" Type="http://schemas.openxmlformats.org/officeDocument/2006/relationships/hyperlink" Target="https://index.minfin.com.ua/ua/labour/salary/average/" TargetMode="External"/><Relationship Id="rId30" Type="http://schemas.openxmlformats.org/officeDocument/2006/relationships/hyperlink" Target="https://prom.ua/ua/Yuridicheskie-uslugi" TargetMode="External"/><Relationship Id="rId35" Type="http://schemas.openxmlformats.org/officeDocument/2006/relationships/hyperlink" Target="https://privatbank.ua/business/ekvajring-skb" TargetMode="External"/><Relationship Id="rId43" Type="http://schemas.openxmlformats.org/officeDocument/2006/relationships/hyperlink" Target="https://prom.ua/ua/Vedenie-buhgalterskogo-ucheta" TargetMode="External"/><Relationship Id="rId8" Type="http://schemas.openxmlformats.org/officeDocument/2006/relationships/hyperlink" Target="https://www.olx.ua/uk/nedvizhimost/garazhy-parkovki/arenda-garazhey-parkovok/kiev/q-%D1%81%D1%82%D0%BE%D1%8F%D0%BD%D0%BA%D0%B8/" TargetMode="External"/><Relationship Id="rId3" Type="http://schemas.openxmlformats.org/officeDocument/2006/relationships/hyperlink" Target="https://dsbt.gov.ua/uk/storinka/perelik-dokumentiv-ta-zrazky" TargetMode="External"/><Relationship Id="rId12" Type="http://schemas.openxmlformats.org/officeDocument/2006/relationships/hyperlink" Target="https://prom.ua/ua/Vedenie-buhgalterskogo-ucheta" TargetMode="External"/><Relationship Id="rId17" Type="http://schemas.openxmlformats.org/officeDocument/2006/relationships/hyperlink" Target="https://auto.24tv.ua/skilky_koshtuvatyme_tekhohliad_na_lehkove_avto_n16103" TargetMode="External"/><Relationship Id="rId25" Type="http://schemas.openxmlformats.org/officeDocument/2006/relationships/hyperlink" Target="https://index.minfin.com.ua/ua/labour/salary/average/" TargetMode="External"/><Relationship Id="rId33" Type="http://schemas.openxmlformats.org/officeDocument/2006/relationships/hyperlink" Target="https://prom.ua/ua/Vedenie-buhgalterskogo-ucheta" TargetMode="External"/><Relationship Id="rId38" Type="http://schemas.openxmlformats.org/officeDocument/2006/relationships/hyperlink" Target="https://auto.24tv.ua/skilky_koshtuvatyme_tekhohliad_na_lehkove_avto_n16103" TargetMode="External"/><Relationship Id="rId46" Type="http://schemas.openxmlformats.org/officeDocument/2006/relationships/hyperlink" Target="https://prom.ua/ua/Vedenie-buhgalterskogo-ucheta" TargetMode="External"/><Relationship Id="rId20" Type="http://schemas.openxmlformats.org/officeDocument/2006/relationships/hyperlink" Target="https://prom.ua/ua/Vedenie-buhgalterskogo-ucheta" TargetMode="External"/><Relationship Id="rId41" Type="http://schemas.openxmlformats.org/officeDocument/2006/relationships/hyperlink" Target="https://www.olx.ua/uk/nedvizhimost/garazhy-parkovki/arenda-garazhey-parkovok/kiev/q-%D1%81%D1%82%D0%BE%D1%8F%D0%BD%D0%BA%D0%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15868</Words>
  <Characters>9046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Юсина Лидия</dc:creator>
  <cp:keywords/>
  <dc:description/>
  <cp:lastModifiedBy>Юсина Лидия</cp:lastModifiedBy>
  <cp:revision>1</cp:revision>
  <dcterms:created xsi:type="dcterms:W3CDTF">2020-12-01T08:51:00Z</dcterms:created>
  <dcterms:modified xsi:type="dcterms:W3CDTF">2020-12-01T08:53:00Z</dcterms:modified>
</cp:coreProperties>
</file>