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98" w:rsidRPr="00EC7AE4" w:rsidRDefault="00EE7698" w:rsidP="00DC738A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bookmarkStart w:id="0" w:name="o17"/>
      <w:bookmarkStart w:id="1" w:name="_GoBack"/>
      <w:bookmarkEnd w:id="0"/>
      <w:bookmarkEnd w:id="1"/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EE7698" w:rsidRPr="00EC7AE4" w:rsidRDefault="00EE7698" w:rsidP="00DC738A">
      <w:pPr>
        <w:tabs>
          <w:tab w:val="left" w:pos="5670"/>
        </w:tabs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Наказ Міністерства інфраструктури України</w:t>
      </w:r>
    </w:p>
    <w:p w:rsidR="00EE7698" w:rsidRPr="00EC7AE4" w:rsidRDefault="009F1B89" w:rsidP="00DC738A">
      <w:pPr>
        <w:tabs>
          <w:tab w:val="left" w:pos="7088"/>
        </w:tabs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___________</w:t>
      </w:r>
      <w:r w:rsidR="00EE7698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 ____</w:t>
      </w:r>
    </w:p>
    <w:p w:rsidR="00EE7698" w:rsidRPr="00EC7AE4" w:rsidRDefault="00EE7698" w:rsidP="00DC738A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89" w:rsidRPr="00EC7AE4" w:rsidRDefault="009F1B89" w:rsidP="00DC738A">
      <w:pPr>
        <w:pStyle w:val="HTML"/>
        <w:shd w:val="clear" w:color="auto" w:fill="FFFFFF"/>
        <w:spacing w:line="360" w:lineRule="auto"/>
        <w:ind w:left="567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F1B89" w:rsidRPr="00EC7AE4" w:rsidRDefault="009F1B89" w:rsidP="009E32E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F1B89" w:rsidRDefault="009F1B89" w:rsidP="009E32E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E0871" w:rsidRDefault="005E0871" w:rsidP="009E32E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E0871" w:rsidRPr="00EC7AE4" w:rsidRDefault="005E0871" w:rsidP="009E32E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F1B89" w:rsidRPr="00EC7AE4" w:rsidRDefault="009F1B89" w:rsidP="009E32E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E7698" w:rsidRPr="00EC7AE4" w:rsidRDefault="00EE7698" w:rsidP="009E32ED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C7AE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Зміни</w:t>
      </w:r>
    </w:p>
    <w:p w:rsidR="00EE7698" w:rsidRPr="00EC7AE4" w:rsidRDefault="00EE7698" w:rsidP="009E32ED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C7AE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 Правил перевезень вантажів автомобільним транспортом в Україні</w:t>
      </w:r>
    </w:p>
    <w:p w:rsidR="00EE7698" w:rsidRDefault="00EE7698" w:rsidP="009E32E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0871" w:rsidRPr="00EC7AE4" w:rsidRDefault="005E0871" w:rsidP="009E32E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E7698" w:rsidRPr="00EC7AE4" w:rsidRDefault="00EE7698" w:rsidP="00A97A7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9"/>
      <w:bookmarkEnd w:id="2"/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Абзац двадцять </w:t>
      </w:r>
      <w:r w:rsidR="009F1B89"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сьомий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глави 1 викласти в такій редакції:</w:t>
      </w: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«Товарно-транспортна накладна – первинний обліковий документ</w:t>
      </w:r>
      <w:r w:rsidR="009F1B89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єдиний для всіх учасників транспортного процесу, що призначений для  обліку  товарно-матеріальних цінностей на шляху їх переміщення, розрахунків за перевезення вантажу та обліку виконаної роботи,  є одним із документів, що може використовуватися для списання товарно-матеріальних цінностей, оприбуткування, складсь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кого, оперативного та бухгалтерського обліку, що може бути складений у паперовій та/або електронній формі повинен містити </w:t>
      </w:r>
      <w:r w:rsidR="00DC738A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обов’язкові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реквізити, передбачені цим</w:t>
      </w:r>
      <w:r w:rsidR="00A32D7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2D7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Правилами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F1B89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9F1B89" w:rsidRPr="00EC7AE4" w:rsidRDefault="009F1B89" w:rsidP="009E32ED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2. Пункт 3.5 глави 3 доповнити</w:t>
      </w:r>
      <w:r w:rsidR="00DC738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новими 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абзацом такого змісту:</w:t>
      </w: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«Протягом трьох днів з моменту укладення договору про перевезення вантажу Перевізник повинен надати </w:t>
      </w:r>
      <w:r w:rsidR="009F1B89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Замовнику (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вантажовідправнику</w:t>
      </w:r>
      <w:r w:rsidR="009F1B89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)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бланки товар</w:t>
      </w:r>
      <w:r w:rsidR="00DC738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</w:t>
      </w:r>
      <w:r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о-транспортних накладних у паперовій або електронній формі.».</w:t>
      </w:r>
    </w:p>
    <w:p w:rsidR="00A97A77" w:rsidRDefault="00A97A77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 У главі 8:</w:t>
      </w: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6737" w:rsidRDefault="009F1B89" w:rsidP="00A97A7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-142"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8.25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слів «відмітки» доповнити словами та знаками </w:t>
      </w:r>
      <w:r w:rsidR="008D5D5E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«(електронної відмітки)»;</w:t>
      </w:r>
    </w:p>
    <w:p w:rsidR="00DC738A" w:rsidRPr="00EC7AE4" w:rsidRDefault="00DC738A" w:rsidP="00A97A77">
      <w:pPr>
        <w:pStyle w:val="a3"/>
        <w:shd w:val="clear" w:color="auto" w:fill="FFFFFF"/>
        <w:tabs>
          <w:tab w:val="left" w:pos="1134"/>
        </w:tabs>
        <w:spacing w:after="0" w:line="360" w:lineRule="auto"/>
        <w:ind w:left="709"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right="21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2) пункт 8.26 викласти в такій редакції:</w:t>
      </w:r>
    </w:p>
    <w:p w:rsidR="008D5D5E" w:rsidRPr="00EC7AE4" w:rsidRDefault="008D5D5E" w:rsidP="00A97A77">
      <w:pPr>
        <w:shd w:val="clear" w:color="auto" w:fill="FFFFFF"/>
        <w:tabs>
          <w:tab w:val="left" w:pos="708"/>
        </w:tabs>
        <w:spacing w:after="0" w:line="360" w:lineRule="auto"/>
        <w:ind w:right="21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8.26. Вантаження і розвантаження вважаються закінченими після надання водієві належним чином оформлених товарно-транспортних накладних</w:t>
      </w:r>
      <w:r w:rsidR="00DC738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оформлених у паперовій та/або електронній формі на навантажений або вивантажений вантаж.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425A9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right="21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DC738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D5D5E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абзаці другому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="008D5D5E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9.2 глави 9</w:t>
      </w:r>
      <w:r w:rsidR="008D5D5E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після слів «робиться відмітка»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8D5D5E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повнити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слова</w:t>
      </w:r>
      <w:r w:rsidR="008D5D5E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«та/або електронна відмітка»</w:t>
      </w:r>
      <w:r w:rsidR="008D5D5E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E7698" w:rsidRPr="00EC7AE4" w:rsidRDefault="00EE7698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7698" w:rsidRPr="00EC7AE4" w:rsidRDefault="008D5D5E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5. Г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лав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11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в такій редакції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D5D5E" w:rsidRDefault="008D5D5E" w:rsidP="00A97A77">
      <w:pPr>
        <w:shd w:val="clear" w:color="auto" w:fill="FFFFFF"/>
        <w:tabs>
          <w:tab w:val="left" w:pos="708"/>
        </w:tabs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C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«11. Правила оформлення документів на перевезення</w:t>
      </w:r>
    </w:p>
    <w:p w:rsidR="00DC738A" w:rsidRDefault="00DC738A" w:rsidP="00DC738A">
      <w:pPr>
        <w:shd w:val="clear" w:color="auto" w:fill="FFFFFF"/>
        <w:tabs>
          <w:tab w:val="left" w:pos="708"/>
        </w:tabs>
        <w:spacing w:after="0" w:line="360" w:lineRule="auto"/>
        <w:ind w:left="450" w:right="45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8D5D5E" w:rsidRPr="008D5D5E" w:rsidRDefault="008D5D5E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n248"/>
      <w:bookmarkEnd w:id="3"/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11.1. Основним документом на перевезення вантажів є товарно-транспортна </w:t>
      </w:r>
      <w:r w:rsidR="00DC7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накладна, форму якої наведено в </w:t>
      </w:r>
      <w:hyperlink r:id="rId8" w:anchor="n1161" w:history="1">
        <w:r w:rsidRPr="00DC738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додатку 7</w:t>
        </w:r>
      </w:hyperlink>
      <w:r w:rsidR="00DC7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цих Правил.</w:t>
      </w:r>
    </w:p>
    <w:p w:rsidR="008D5D5E" w:rsidRPr="008D5D5E" w:rsidRDefault="008D5D5E" w:rsidP="009C3070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" w:name="n249"/>
      <w:bookmarkStart w:id="5" w:name="n250"/>
      <w:bookmarkEnd w:id="4"/>
      <w:bookmarkEnd w:id="5"/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Товарно-транспортна накладна може оформлюватись суб’єктом господарювання бе</w:t>
      </w:r>
      <w:r w:rsidR="00DC7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дотримання форми, наведеної в </w:t>
      </w:r>
      <w:hyperlink r:id="rId9" w:anchor="n1161" w:history="1">
        <w:r w:rsidRPr="00DC738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додатку 7</w:t>
        </w:r>
      </w:hyperlink>
      <w:r w:rsidR="00DC7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цих Правил, за умови наявності в ній інформації про назву документа, дату і місце його складання, найменування (прізвище, ім’я, по батькові) перевізника та/або експедитора, замовника, вантажовідправника, вантажоодержувача, найменування та кількість вантажу, його основні характеристики та ознаки, які надають 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можливість однозначно ідентифікувати цей вантаж, автомобіль (марка, модель, тип, реєстраційний номер), причіп/напівпричіп (марка, модель, тип, реєстраційний номер), пункти навантаження та розвантаження із зазначенням повної адреси, посади, прізвища та підписів відповідальних осіб вантажовідправника, вантажоодержувача, водія та/або експедитора.</w:t>
      </w:r>
    </w:p>
    <w:p w:rsidR="008D5D5E" w:rsidRPr="00EC7AE4" w:rsidRDefault="008D5D5E" w:rsidP="00A97A77">
      <w:pPr>
        <w:pStyle w:val="HTML"/>
        <w:shd w:val="clear" w:color="auto" w:fill="FFFFFF"/>
        <w:tabs>
          <w:tab w:val="left" w:pos="708"/>
        </w:tabs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n251"/>
      <w:bookmarkStart w:id="7" w:name="n252"/>
      <w:bookmarkEnd w:id="6"/>
      <w:bookmarkEnd w:id="7"/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Оформлення товарно-транспортної накладної в електронній </w:t>
      </w:r>
      <w:r w:rsid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формі (далі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ТТН) здійснюються відповідно до абзацу другого цього пункту.</w:t>
      </w:r>
    </w:p>
    <w:p w:rsidR="008D5D5E" w:rsidRPr="00EC7AE4" w:rsidRDefault="008D5D5E" w:rsidP="00A97A77">
      <w:pPr>
        <w:pStyle w:val="HTML"/>
        <w:shd w:val="clear" w:color="auto" w:fill="FFFFFF"/>
        <w:tabs>
          <w:tab w:val="left" w:pos="708"/>
        </w:tabs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ТТН підписується за допомогою електронного цифр</w:t>
      </w:r>
      <w:r w:rsid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ового підпису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далі – ЕЦП) відповідальних осіб вантажовідправника, вантажоодержувача, водія та/або експедитора.</w:t>
      </w:r>
    </w:p>
    <w:p w:rsidR="008D5D5E" w:rsidRPr="00EC7AE4" w:rsidRDefault="008D5D5E" w:rsidP="00A97A77">
      <w:pPr>
        <w:pStyle w:val="HTML"/>
        <w:shd w:val="clear" w:color="auto" w:fill="FFFFFF"/>
        <w:tabs>
          <w:tab w:val="left" w:pos="708"/>
        </w:tabs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Створення, відправлення, передавання, одержання, зберігання, оброблення, використання</w:t>
      </w:r>
      <w:r w:rsidR="00A13DAA" w:rsidRP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знищення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DC738A" w:rsidRP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A13DAA" w:rsidRP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ТТН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їх копій</w:t>
      </w:r>
      <w:r w:rsidRP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відповідно до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DC738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аконів України «Про електронні документи та електронний документообіг» та «Про електронні довірчі послуги».</w:t>
      </w:r>
    </w:p>
    <w:p w:rsidR="008D5D5E" w:rsidRPr="00EC7AE4" w:rsidRDefault="008D5D5E" w:rsidP="00A97A77">
      <w:pPr>
        <w:pStyle w:val="HTML"/>
        <w:shd w:val="clear" w:color="auto" w:fill="FFFFFF"/>
        <w:tabs>
          <w:tab w:val="left" w:pos="708"/>
        </w:tabs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Сторони можуть внести у товарно-транспортну накладну будь-яку іншу інформацію, яку вони вважають необхідною.</w:t>
      </w:r>
    </w:p>
    <w:p w:rsidR="00B476BB" w:rsidRPr="00EC7AE4" w:rsidRDefault="00B476BB" w:rsidP="00A97A77">
      <w:pPr>
        <w:pStyle w:val="HTML"/>
        <w:shd w:val="clear" w:color="auto" w:fill="FFFFFF"/>
        <w:tabs>
          <w:tab w:val="left" w:pos="708"/>
        </w:tabs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5D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Залежно від виду вантажу та його специфічних властивостей до основних документів додаються інші (ветеринарні, санітарні та якісні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8D5D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сертифікати, свідоцтва, довідки, пас</w:t>
      </w:r>
      <w:r w:rsidR="005E087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порти, інші супровідні документи</w:t>
      </w:r>
      <w:r w:rsidRPr="008D5D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що визначається </w:t>
      </w:r>
      <w:r w:rsidRPr="008D5D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правилами перевезень зазначених вантажів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паперовому та/або електронному вигляді.</w:t>
      </w:r>
    </w:p>
    <w:p w:rsidR="00B476BB" w:rsidRDefault="00B476BB" w:rsidP="00A97A77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C7AE4">
        <w:rPr>
          <w:color w:val="000000"/>
          <w:sz w:val="28"/>
          <w:szCs w:val="28"/>
          <w:lang w:val="uk-UA"/>
        </w:rPr>
        <w:lastRenderedPageBreak/>
        <w:t>У разі оформлення е</w:t>
      </w:r>
      <w:r w:rsidR="00A97A77">
        <w:rPr>
          <w:color w:val="000000"/>
          <w:sz w:val="28"/>
          <w:szCs w:val="28"/>
          <w:lang w:val="uk-UA"/>
        </w:rPr>
        <w:t>–</w:t>
      </w:r>
      <w:r w:rsidRPr="00EC7AE4">
        <w:rPr>
          <w:color w:val="000000"/>
          <w:sz w:val="28"/>
          <w:szCs w:val="28"/>
          <w:lang w:val="uk-UA"/>
        </w:rPr>
        <w:t xml:space="preserve">ТТН супровідні документи </w:t>
      </w:r>
      <w:r w:rsidRPr="00EC7AE4">
        <w:rPr>
          <w:bCs/>
          <w:sz w:val="28"/>
          <w:szCs w:val="28"/>
          <w:lang w:val="uk-UA"/>
        </w:rPr>
        <w:t>також</w:t>
      </w:r>
      <w:r w:rsidRPr="00EC7AE4">
        <w:rPr>
          <w:sz w:val="28"/>
          <w:szCs w:val="28"/>
          <w:lang w:val="uk-UA"/>
        </w:rPr>
        <w:t xml:space="preserve"> додаються в електронному вигляді </w:t>
      </w:r>
      <w:r w:rsidRPr="00EC7AE4">
        <w:rPr>
          <w:bCs/>
          <w:sz w:val="28"/>
          <w:szCs w:val="28"/>
          <w:lang w:val="uk-UA"/>
        </w:rPr>
        <w:t>з накладанням ЕЦП</w:t>
      </w:r>
      <w:r w:rsidRPr="00EC7AE4">
        <w:rPr>
          <w:color w:val="000000"/>
          <w:sz w:val="28"/>
          <w:szCs w:val="28"/>
          <w:lang w:val="uk-UA"/>
        </w:rPr>
        <w:t xml:space="preserve">. </w:t>
      </w:r>
      <w:r w:rsidR="005E0871">
        <w:rPr>
          <w:color w:val="000000"/>
          <w:sz w:val="28"/>
          <w:szCs w:val="28"/>
          <w:lang w:val="uk-UA"/>
        </w:rPr>
        <w:t>У разі оформлення товарно-транспортної накладної у паперовій формі супровідні документи подаються в паперовій формі за підписом відповідальних осіб.</w:t>
      </w:r>
    </w:p>
    <w:p w:rsidR="00A97A77" w:rsidRPr="00EC7AE4" w:rsidRDefault="00A97A77" w:rsidP="00A97A77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D5D5E" w:rsidRDefault="008D5D5E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8" w:name="n256"/>
      <w:bookmarkEnd w:id="8"/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11.3. Оформлення перевезень вантажів товарно-транспортними накладними здійснюється незалежно від умов оплати за роботу автомобіля.</w:t>
      </w:r>
    </w:p>
    <w:p w:rsidR="00A97A77" w:rsidRPr="008D5D5E" w:rsidRDefault="00A97A77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476BB" w:rsidRPr="00EC7AE4" w:rsidRDefault="00B476BB" w:rsidP="00A97A77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257"/>
      <w:bookmarkEnd w:id="9"/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11.4.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EC7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оварно-транспортна накладна видається Замовником (вантажовідправником) у кількості не менше трьох екземплярів. У разі користування послугами експедитора за договором транспортного експедитування товар</w:t>
      </w:r>
      <w:r w:rsidR="00A97A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EC7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о-транспортна накладна на перевезення вантажів автомобільним транспортом видається у </w:t>
      </w:r>
      <w:r w:rsidR="00756D84" w:rsidRPr="00EC7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кількості не менше чотирьох</w:t>
      </w:r>
      <w:r w:rsidRPr="00EC7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екземпляр</w:t>
      </w:r>
      <w:r w:rsidR="00756D84" w:rsidRPr="00EC7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EC7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476BB" w:rsidRPr="00EC7AE4" w:rsidRDefault="00B476BB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Замовник (вантажовідправник) підписує усі екземпляри</w:t>
      </w:r>
      <w:r w:rsidR="00756D84"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товарно-транспортної накладної.</w:t>
      </w:r>
    </w:p>
    <w:p w:rsidR="00B476BB" w:rsidRPr="00EC7AE4" w:rsidRDefault="00B476BB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випадку використання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е–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ТТН 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амовник (вантажовідправник) повинен одночасно надіслати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е–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ТТН відповідальним особам вантажовідправника, вантажоодержувача, експедитора та водію протягом розумного строку після опломбування вантажу.</w:t>
      </w:r>
    </w:p>
    <w:p w:rsidR="00B476BB" w:rsidRPr="00EC7AE4" w:rsidRDefault="00B476BB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Замовник (вантажовідправник) повинен забезпечити безперешкодний доступ до інформації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міститься в </w:t>
      </w:r>
      <w:r w:rsidR="00A97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е–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ТТН шляхом придатним для прийняття його змісту людиною без застосуванням електронних засобів.</w:t>
      </w:r>
    </w:p>
    <w:p w:rsidR="00B476BB" w:rsidRDefault="00B476BB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Засоби, що використовуються для реєстрації та обробки даних е</w:t>
      </w:r>
      <w:r w:rsidR="00F115A4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ТТН, повинні  відповідати вимогам законодавства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підтвердження оцінки відповідності та забезпечувати захист інформації відповідно до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аконів України «Про захист персональних даних», «Про захист інформації в інформаційно-телекомунікаційних системах»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115A4" w:rsidRPr="00EC7AE4" w:rsidRDefault="00F115A4" w:rsidP="00A97A77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5D5E" w:rsidRDefault="008D5D5E" w:rsidP="00A97A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0" w:name="n260"/>
      <w:bookmarkEnd w:id="10"/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11.5. Після прийняття вантажу згідно з товарно-транспортною накладною водій (експедитор) підписує всі її екземпляри.</w:t>
      </w:r>
    </w:p>
    <w:p w:rsidR="00F115A4" w:rsidRPr="008D5D5E" w:rsidRDefault="00F115A4" w:rsidP="00A97A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115A4" w:rsidRDefault="008D5D5E" w:rsidP="00F115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1" w:name="n261"/>
      <w:bookmarkEnd w:id="11"/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11.6. </w:t>
      </w:r>
      <w:r w:rsidR="00F11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оформлення товарно-транспортної накладної:</w:t>
      </w:r>
    </w:p>
    <w:p w:rsidR="00F115A4" w:rsidRDefault="00F115A4" w:rsidP="00F115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трьох екземплярах: п</w:t>
      </w:r>
      <w:r w:rsidR="008D5D5E"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ерший екземпляр залишається у Замовника (вантажовідправника), другий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надається водію для передачі</w:t>
      </w:r>
      <w:r w:rsidRPr="00F11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вантажоодержувачу, третій – 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засвідчен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підписом вантажоодержува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ча, передається Перевізнику;</w:t>
      </w:r>
    </w:p>
    <w:p w:rsidR="00F115A4" w:rsidRDefault="00F115A4" w:rsidP="00F115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чотирьох екземплярах</w:t>
      </w:r>
      <w:r w:rsidR="00671C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ерший екземпляр залишається у Замовника (вантажовідправника), другий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надається водію, третій –</w:t>
      </w:r>
      <w:r w:rsidR="00671C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експедитору, залученого за договором транспортного експедитування,</w:t>
      </w:r>
      <w:r w:rsidRPr="00F11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передачі</w:t>
      </w:r>
      <w:r w:rsidRPr="00F11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вантажоодержувачу, четвертий – 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засвідчен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підписом вантажоодержува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ча, передається Перевізнику.</w:t>
      </w:r>
    </w:p>
    <w:p w:rsidR="00B67C4D" w:rsidRPr="008D5D5E" w:rsidRDefault="00B67C4D" w:rsidP="00A97A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D5D5E" w:rsidRPr="008D5D5E" w:rsidRDefault="008D5D5E" w:rsidP="00A97A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2" w:name="n262"/>
      <w:bookmarkStart w:id="13" w:name="n263"/>
      <w:bookmarkEnd w:id="12"/>
      <w:bookmarkEnd w:id="13"/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11.7. У тих випадках, коли в товарно-транспортній накладній немає можливості перерахувати всі найменування вантажу, підготовленого для перевезення, до такої накладної Замовник додає документ довільної форми з </w:t>
      </w:r>
      <w:r w:rsidR="009C3070"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обов’язковим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зазначенням відомостей про вантаж (графи 1-10 товарно-транспортної накладної).</w:t>
      </w:r>
    </w:p>
    <w:p w:rsidR="008D5D5E" w:rsidRPr="00EC7AE4" w:rsidRDefault="008D5D5E" w:rsidP="009E32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4" w:name="n264"/>
      <w:bookmarkEnd w:id="14"/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У цих випадках в товарно-транспортній накладній зазначається, що до неї додається як товарний розділ документ</w:t>
      </w:r>
      <w:r w:rsidR="00B67C4D" w:rsidRPr="00EC7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паперовій або електронній формі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без якого товарно-транспортна накладна вважається недійсною і не може використовуватись для розрахунків із Замовником.</w:t>
      </w:r>
    </w:p>
    <w:p w:rsidR="00A32D70" w:rsidRDefault="00A32D70" w:rsidP="00A32D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5" w:name="n265"/>
      <w:bookmarkEnd w:id="15"/>
    </w:p>
    <w:p w:rsidR="008D5D5E" w:rsidRPr="00EC7AE4" w:rsidRDefault="008D5D5E" w:rsidP="00A32D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11.8. Час прибуття</w:t>
      </w:r>
      <w:r w:rsidR="00A32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(вибуття) автомобіля для завантаження</w:t>
      </w:r>
      <w:r w:rsidR="00A32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розвантаження Замовник зобов</w:t>
      </w:r>
      <w:r w:rsidR="00A32D70"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’язаний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зазначати </w:t>
      </w:r>
      <w:r w:rsidR="00A32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пунктів </w:t>
      </w:r>
      <w:hyperlink r:id="rId10" w:anchor="n206" w:history="1">
        <w:r w:rsidRPr="00A32D70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8.25</w:t>
        </w:r>
      </w:hyperlink>
      <w:r w:rsidR="00A32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hyperlink r:id="rId11" w:anchor="n208" w:history="1">
        <w:r w:rsidRPr="00A32D70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8.26</w:t>
        </w:r>
      </w:hyperlink>
      <w:r w:rsidR="00A32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D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цих Правил.</w:t>
      </w:r>
    </w:p>
    <w:p w:rsidR="00A32D70" w:rsidRDefault="00A32D70" w:rsidP="00A32D70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67C4D" w:rsidRPr="00EC7AE4" w:rsidRDefault="00B67C4D" w:rsidP="00A32D70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C7AE4">
        <w:rPr>
          <w:color w:val="000000"/>
          <w:sz w:val="28"/>
          <w:szCs w:val="28"/>
          <w:lang w:val="uk-UA"/>
        </w:rPr>
        <w:t xml:space="preserve">11.9. У випадку перевантаження вантажу в процесі перевезення на інший автомобіль складається акт в довільної форми в паперовій або електронній формі, в якому </w:t>
      </w:r>
      <w:r w:rsidR="00A32D70" w:rsidRPr="00EC7AE4">
        <w:rPr>
          <w:color w:val="000000"/>
          <w:sz w:val="28"/>
          <w:szCs w:val="28"/>
          <w:lang w:val="uk-UA"/>
        </w:rPr>
        <w:t>обов’язково</w:t>
      </w:r>
      <w:r w:rsidRPr="00EC7AE4">
        <w:rPr>
          <w:color w:val="000000"/>
          <w:sz w:val="28"/>
          <w:szCs w:val="28"/>
          <w:lang w:val="uk-UA"/>
        </w:rPr>
        <w:t xml:space="preserve"> зазначаються реквізити: повна назва власника транспорту та його адреса, прізвище, </w:t>
      </w:r>
      <w:r w:rsidR="00A32D70" w:rsidRPr="00EC7AE4">
        <w:rPr>
          <w:color w:val="000000"/>
          <w:sz w:val="28"/>
          <w:szCs w:val="28"/>
          <w:lang w:val="uk-UA"/>
        </w:rPr>
        <w:t>ім’я</w:t>
      </w:r>
      <w:r w:rsidRPr="00EC7AE4">
        <w:rPr>
          <w:color w:val="000000"/>
          <w:sz w:val="28"/>
          <w:szCs w:val="28"/>
          <w:lang w:val="uk-UA"/>
        </w:rPr>
        <w:t xml:space="preserve"> та по батькові водія, державний номер автомобіля Перевізника, який здав вантаж, і Перевізника, який його прийняв.</w:t>
      </w:r>
    </w:p>
    <w:p w:rsidR="00B67C4D" w:rsidRPr="00EC7AE4" w:rsidRDefault="00B67C4D" w:rsidP="00A32D70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C7AE4">
        <w:rPr>
          <w:color w:val="000000"/>
          <w:sz w:val="28"/>
          <w:szCs w:val="28"/>
          <w:lang w:val="uk-UA"/>
        </w:rPr>
        <w:t>Акт складається у двох екземплярах, які підписуються представниками, (водіями) обох Перевізників (по одному для кожного) проставлянням їх особистих підписів або ЕЦП.</w:t>
      </w:r>
      <w:r w:rsidR="00A32D70">
        <w:rPr>
          <w:color w:val="000000"/>
          <w:sz w:val="28"/>
          <w:szCs w:val="28"/>
          <w:lang w:val="uk-UA"/>
        </w:rPr>
        <w:t>».</w:t>
      </w:r>
    </w:p>
    <w:p w:rsidR="00B67C4D" w:rsidRPr="00EC7AE4" w:rsidRDefault="00EE7698" w:rsidP="009E32ED">
      <w:pPr>
        <w:shd w:val="clear" w:color="auto" w:fill="FFFFFF"/>
        <w:tabs>
          <w:tab w:val="left" w:pos="708"/>
        </w:tabs>
        <w:spacing w:after="0" w:line="360" w:lineRule="auto"/>
        <w:ind w:right="2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EE7698" w:rsidRPr="00EC7AE4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6. У главі 15:</w:t>
      </w:r>
    </w:p>
    <w:p w:rsidR="00A32D70" w:rsidRDefault="00A32D70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EC7AE4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1) в пункті 15.1 після слів «оформлюються актом» доповнити словами «, що може бути 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складений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 паперовій або електронній формі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»;</w:t>
      </w:r>
    </w:p>
    <w:p w:rsidR="00A32D70" w:rsidRDefault="00A32D70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EC7AE4" w:rsidRDefault="00B67C4D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 в пункті 15.6 слово «записується» замінити слов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 «зазнача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ється</w:t>
      </w:r>
      <w:r w:rsidR="00EE7698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0E6737" w:rsidRPr="00EC7AE4" w:rsidRDefault="000E6737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EC7AE4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7. У главі 16:</w:t>
      </w:r>
    </w:p>
    <w:p w:rsidR="00EE7698" w:rsidRPr="00EC7AE4" w:rsidRDefault="00EE7698" w:rsidP="009E32ED">
      <w:pPr>
        <w:shd w:val="clear" w:color="auto" w:fill="FFFFFF"/>
        <w:tabs>
          <w:tab w:val="left" w:pos="708"/>
        </w:tabs>
        <w:spacing w:after="0" w:line="360" w:lineRule="auto"/>
        <w:ind w:right="208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EC7AE4" w:rsidRDefault="00EE7698" w:rsidP="00A32D7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 16.2 доповнити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новими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абзацами такого змісту:</w:t>
      </w:r>
    </w:p>
    <w:p w:rsidR="00EE7698" w:rsidRPr="00EC7AE4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«При перевезенні вантажів автомобільним транспортом претензії не </w:t>
      </w:r>
      <w:r w:rsidR="00A32D70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пред’являються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еревізнику, якщо вантажовідправник допустив порушення </w:t>
      </w:r>
      <w:r w:rsidR="00A32D70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строків</w:t>
      </w:r>
      <w:r w:rsidR="004D73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32D70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встановлен</w:t>
      </w:r>
      <w:r w:rsidR="004D73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пунктом 11.4 ц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Правил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якщо не доведе, що таке порушення допущено не з його вини.</w:t>
      </w:r>
    </w:p>
    <w:p w:rsidR="00EE7698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При перевезенні вантажів автомобільним транспортом претензії не </w:t>
      </w:r>
      <w:r w:rsidR="00A32D70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пред’являються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еревізнику, якщо вантажоодержувач не 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проставив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електронну відмітку про отримання вантажу, що спричинило порушення строків виконання договору п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 перевезенн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я, якщо не доведе, що таке порушення допущено не з його вини.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32D70" w:rsidRPr="00EC7AE4" w:rsidRDefault="00A32D70" w:rsidP="00A32D70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EC7AE4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2) в абзаці 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другому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пункту 16.10 після слів «належним чином засвідчених копіях» доповнити словами «, крім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е–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ТТН»</w:t>
      </w:r>
      <w:r w:rsidR="00425A9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7698" w:rsidRPr="00EC7AE4" w:rsidRDefault="00EE7698" w:rsidP="009E32ED">
      <w:pPr>
        <w:shd w:val="clear" w:color="auto" w:fill="FFFFFF"/>
        <w:tabs>
          <w:tab w:val="left" w:pos="708"/>
        </w:tabs>
        <w:spacing w:after="0" w:line="360" w:lineRule="auto"/>
        <w:ind w:right="208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EC7AE4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8. У 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="0093300B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67C4D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17.25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 слів «засвідчивши її своїм підписом»</w:t>
      </w:r>
      <w:r w:rsidR="0093300B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доповнити словами «(</w:t>
      </w:r>
      <w:r w:rsidR="0093300B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або ЕЦП у випадку оформлення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е–</w:t>
      </w:r>
      <w:r w:rsidR="0093300B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ТТН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)»</w:t>
      </w:r>
      <w:r w:rsidR="00425A9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300B" w:rsidRPr="00EC7AE4" w:rsidRDefault="0093300B" w:rsidP="009E32ED">
      <w:pPr>
        <w:shd w:val="clear" w:color="auto" w:fill="FFFFFF"/>
        <w:tabs>
          <w:tab w:val="left" w:pos="708"/>
        </w:tabs>
        <w:spacing w:after="0" w:line="360" w:lineRule="auto"/>
        <w:ind w:right="208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Default="00EE7698" w:rsidP="002A3C8A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9. В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пункті 19.3.5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пункту 19.3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глави 19 після слів «з установленою формою» доповнити словами «за правилами пункту 3.5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цих Правил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A32D70" w:rsidRPr="00EC7AE4" w:rsidRDefault="00A32D70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300B" w:rsidRPr="00EC7AE4" w:rsidRDefault="0093300B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10. У </w:t>
      </w:r>
      <w:r w:rsidR="00593E7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тексті глав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19,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20,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22,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– 2</w:t>
      </w:r>
      <w:r w:rsidR="00425A9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29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слово «виписувати» у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всіх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відмінках замінити словом «надавати» у відповідному відмінку.</w:t>
      </w:r>
    </w:p>
    <w:p w:rsidR="00EE7698" w:rsidRPr="00010166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32D70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3300B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розділі 2 додатка 1 до Правил:</w:t>
      </w:r>
    </w:p>
    <w:p w:rsidR="00A32D70" w:rsidRPr="00010166" w:rsidRDefault="00A32D70" w:rsidP="00A32D70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32D70" w:rsidRDefault="00A32D70" w:rsidP="00A32D70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1) пункт 2.2 доповнити новим підпунктом такого змісту:</w:t>
      </w:r>
    </w:p>
    <w:p w:rsidR="00A32D70" w:rsidRDefault="00A32D70" w:rsidP="00425A9F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«2.2.5. Протягом трьох днів з моменту </w:t>
      </w:r>
      <w:r w:rsidR="00EE7698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укладення договору про перевезення вантажу Перевізник повинен надати вантажовідправнику бланки товар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н</w:t>
      </w:r>
      <w:r w:rsidR="00EE7698" w:rsidRPr="00EC7AE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о-транспортних накладних у паперовій або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електронній формі.»;</w:t>
      </w:r>
    </w:p>
    <w:p w:rsidR="00010166" w:rsidRDefault="00010166" w:rsidP="00425A9F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EE7698" w:rsidRPr="00A32D70" w:rsidRDefault="00A32D70" w:rsidP="00A32D7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right="14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32D7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 підпункті </w:t>
      </w:r>
      <w:r w:rsidR="00EE7698" w:rsidRP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2.3.4 </w:t>
      </w:r>
      <w:r w:rsidR="00425A9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пункту 2.3</w:t>
      </w:r>
      <w:r w:rsidR="00EE7698" w:rsidRP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слово «відмічати» замінити словом «зазначати».</w:t>
      </w:r>
    </w:p>
    <w:p w:rsidR="00EE7698" w:rsidRDefault="00EE7698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3300B"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C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7 до Правил викласти в новій редакції, що додається.</w:t>
      </w:r>
    </w:p>
    <w:p w:rsidR="00425A9F" w:rsidRPr="00EC7AE4" w:rsidRDefault="00425A9F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Default="000E715E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C7A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14. У додатках до Правил:</w:t>
      </w:r>
    </w:p>
    <w:p w:rsidR="00A32D70" w:rsidRDefault="00A32D70" w:rsidP="00A32D70">
      <w:pPr>
        <w:shd w:val="clear" w:color="auto" w:fill="FFFFFF"/>
        <w:tabs>
          <w:tab w:val="left" w:pos="708"/>
        </w:tabs>
        <w:spacing w:after="0" w:line="360" w:lineRule="auto"/>
        <w:ind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715E" w:rsidRDefault="00A32D70" w:rsidP="00A32D70">
      <w:pPr>
        <w:pStyle w:val="a3"/>
        <w:numPr>
          <w:ilvl w:val="0"/>
          <w:numId w:val="4"/>
        </w:numPr>
        <w:shd w:val="clear" w:color="auto" w:fill="FFFFFF"/>
        <w:tabs>
          <w:tab w:val="left" w:pos="708"/>
        </w:tabs>
        <w:spacing w:after="0" w:line="360" w:lineRule="auto"/>
        <w:ind w:right="2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літери «М. П.» виключити;</w:t>
      </w:r>
    </w:p>
    <w:p w:rsidR="00A32D70" w:rsidRDefault="00A32D70" w:rsidP="00A32D70">
      <w:pPr>
        <w:pStyle w:val="a3"/>
        <w:shd w:val="clear" w:color="auto" w:fill="FFFFFF"/>
        <w:tabs>
          <w:tab w:val="left" w:pos="708"/>
        </w:tabs>
        <w:spacing w:after="0" w:line="360" w:lineRule="auto"/>
        <w:ind w:left="927" w:right="2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715E" w:rsidRPr="00A32D70" w:rsidRDefault="000E715E" w:rsidP="00A32D7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right="208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32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після слова «підпис» доповнити словами «/електронний цифровий підпис».</w:t>
      </w:r>
    </w:p>
    <w:p w:rsidR="000E715E" w:rsidRDefault="000E715E" w:rsidP="009E32ED">
      <w:pPr>
        <w:shd w:val="clear" w:color="auto" w:fill="FFFFFF"/>
        <w:tabs>
          <w:tab w:val="left" w:pos="708"/>
        </w:tabs>
        <w:spacing w:after="0" w:line="360" w:lineRule="auto"/>
        <w:ind w:right="2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32ED" w:rsidRDefault="009E32ED" w:rsidP="009E32ED">
      <w:pPr>
        <w:shd w:val="clear" w:color="auto" w:fill="FFFFFF"/>
        <w:tabs>
          <w:tab w:val="left" w:pos="708"/>
        </w:tabs>
        <w:spacing w:after="0" w:line="240" w:lineRule="auto"/>
        <w:ind w:right="2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Директор Департаменту стратегічного</w:t>
      </w:r>
    </w:p>
    <w:p w:rsidR="009E32ED" w:rsidRDefault="009E32ED" w:rsidP="009E32ED">
      <w:pPr>
        <w:shd w:val="clear" w:color="auto" w:fill="FFFFFF"/>
        <w:tabs>
          <w:tab w:val="left" w:pos="708"/>
        </w:tabs>
        <w:spacing w:after="0" w:line="240" w:lineRule="auto"/>
        <w:ind w:right="2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дорожнього ринку </w:t>
      </w:r>
    </w:p>
    <w:p w:rsidR="00EC7AE4" w:rsidRPr="00EC7AE4" w:rsidRDefault="009E32ED" w:rsidP="009E32ED">
      <w:pPr>
        <w:shd w:val="clear" w:color="auto" w:fill="FFFFFF"/>
        <w:tabs>
          <w:tab w:val="left" w:pos="708"/>
        </w:tabs>
        <w:spacing w:after="0" w:line="240" w:lineRule="auto"/>
        <w:ind w:right="2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автомобільних перевезень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>В. САСІН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sectPr w:rsidR="00EC7AE4" w:rsidRPr="00EC7AE4" w:rsidSect="00425A9F">
      <w:headerReference w:type="default" r:id="rId12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FF" w:rsidRDefault="00FC4CFF" w:rsidP="008D037E">
      <w:pPr>
        <w:spacing w:after="0" w:line="240" w:lineRule="auto"/>
      </w:pPr>
      <w:r>
        <w:separator/>
      </w:r>
    </w:p>
  </w:endnote>
  <w:endnote w:type="continuationSeparator" w:id="0">
    <w:p w:rsidR="00FC4CFF" w:rsidRDefault="00FC4CFF" w:rsidP="008D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FF" w:rsidRDefault="00FC4CFF" w:rsidP="008D037E">
      <w:pPr>
        <w:spacing w:after="0" w:line="240" w:lineRule="auto"/>
      </w:pPr>
      <w:r>
        <w:separator/>
      </w:r>
    </w:p>
  </w:footnote>
  <w:footnote w:type="continuationSeparator" w:id="0">
    <w:p w:rsidR="00FC4CFF" w:rsidRDefault="00FC4CFF" w:rsidP="008D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279798632"/>
      <w:docPartObj>
        <w:docPartGallery w:val="Page Numbers (Top of Page)"/>
        <w:docPartUnique/>
      </w:docPartObj>
    </w:sdtPr>
    <w:sdtEndPr/>
    <w:sdtContent>
      <w:p w:rsidR="008D037E" w:rsidRPr="00DC738A" w:rsidRDefault="008D037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73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73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73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016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C73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037E" w:rsidRDefault="008D0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B94"/>
    <w:multiLevelType w:val="hybridMultilevel"/>
    <w:tmpl w:val="946C6C52"/>
    <w:lvl w:ilvl="0" w:tplc="3DD0A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CB1C9C"/>
    <w:multiLevelType w:val="hybridMultilevel"/>
    <w:tmpl w:val="18ACD338"/>
    <w:lvl w:ilvl="0" w:tplc="8CDAF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DD6551"/>
    <w:multiLevelType w:val="hybridMultilevel"/>
    <w:tmpl w:val="64A0D194"/>
    <w:lvl w:ilvl="0" w:tplc="4C84C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D5069"/>
    <w:multiLevelType w:val="hybridMultilevel"/>
    <w:tmpl w:val="6EE60E3E"/>
    <w:lvl w:ilvl="0" w:tplc="3668A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98"/>
    <w:rsid w:val="00010166"/>
    <w:rsid w:val="000E6737"/>
    <w:rsid w:val="000E715E"/>
    <w:rsid w:val="002A3C8A"/>
    <w:rsid w:val="00320A93"/>
    <w:rsid w:val="00425A9F"/>
    <w:rsid w:val="004A591C"/>
    <w:rsid w:val="004D73D8"/>
    <w:rsid w:val="00593E72"/>
    <w:rsid w:val="005E0871"/>
    <w:rsid w:val="00617C54"/>
    <w:rsid w:val="00671C4E"/>
    <w:rsid w:val="00745445"/>
    <w:rsid w:val="00756D84"/>
    <w:rsid w:val="008D037E"/>
    <w:rsid w:val="008D5D5E"/>
    <w:rsid w:val="0093300B"/>
    <w:rsid w:val="009A69BE"/>
    <w:rsid w:val="009C3070"/>
    <w:rsid w:val="009E32ED"/>
    <w:rsid w:val="009F1B89"/>
    <w:rsid w:val="00A04698"/>
    <w:rsid w:val="00A13DAA"/>
    <w:rsid w:val="00A32D70"/>
    <w:rsid w:val="00A97A77"/>
    <w:rsid w:val="00B476BB"/>
    <w:rsid w:val="00B67C4D"/>
    <w:rsid w:val="00C05119"/>
    <w:rsid w:val="00DC738A"/>
    <w:rsid w:val="00E55762"/>
    <w:rsid w:val="00EC7AE4"/>
    <w:rsid w:val="00EE7698"/>
    <w:rsid w:val="00F115A4"/>
    <w:rsid w:val="00F641A4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D2AC-5315-43B8-9961-62B4DD2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69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EE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37E"/>
    <w:rPr>
      <w:lang w:val="ru-RU"/>
    </w:rPr>
  </w:style>
  <w:style w:type="paragraph" w:styleId="a6">
    <w:name w:val="footer"/>
    <w:basedOn w:val="a"/>
    <w:link w:val="a7"/>
    <w:uiPriority w:val="99"/>
    <w:unhideWhenUsed/>
    <w:rsid w:val="008D0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37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A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8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128-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z0128-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z0128-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128-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0D6C-8556-4386-AFF5-3CABFC0C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Гандзий Елена Дмитриевна</dc:creator>
  <cp:lastModifiedBy>Горбачук Галина</cp:lastModifiedBy>
  <cp:revision>2</cp:revision>
  <cp:lastPrinted>2018-11-20T10:17:00Z</cp:lastPrinted>
  <dcterms:created xsi:type="dcterms:W3CDTF">2018-11-21T14:23:00Z</dcterms:created>
  <dcterms:modified xsi:type="dcterms:W3CDTF">2018-11-21T14:23:00Z</dcterms:modified>
</cp:coreProperties>
</file>