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FD9" w:rsidRPr="00AC0C2F" w:rsidRDefault="00A00FD9" w:rsidP="00734060">
      <w:pPr>
        <w:tabs>
          <w:tab w:val="left" w:pos="720"/>
          <w:tab w:val="left" w:pos="900"/>
        </w:tabs>
        <w:spacing w:line="259" w:lineRule="auto"/>
        <w:jc w:val="center"/>
        <w:rPr>
          <w:b/>
          <w:bCs/>
          <w:szCs w:val="28"/>
        </w:rPr>
      </w:pPr>
      <w:r w:rsidRPr="00AC0C2F">
        <w:rPr>
          <w:b/>
          <w:bCs/>
          <w:szCs w:val="28"/>
        </w:rPr>
        <w:t>ПОЯСНЮВАЛЬНА ЗАПИСКА</w:t>
      </w:r>
    </w:p>
    <w:p w:rsidR="00A53517" w:rsidRPr="00AC0C2F" w:rsidRDefault="00A00FD9" w:rsidP="00734060">
      <w:pPr>
        <w:shd w:val="clear" w:color="auto" w:fill="FFFFFF"/>
        <w:tabs>
          <w:tab w:val="left" w:pos="720"/>
          <w:tab w:val="left" w:pos="900"/>
        </w:tabs>
        <w:autoSpaceDE w:val="0"/>
        <w:autoSpaceDN w:val="0"/>
        <w:adjustRightInd w:val="0"/>
        <w:spacing w:line="259" w:lineRule="auto"/>
        <w:jc w:val="center"/>
        <w:rPr>
          <w:rFonts w:eastAsia="Times New Roman"/>
          <w:b/>
          <w:bCs/>
          <w:szCs w:val="28"/>
          <w:lang w:eastAsia="ru-RU"/>
        </w:rPr>
      </w:pPr>
      <w:r w:rsidRPr="00AC0C2F">
        <w:rPr>
          <w:b/>
          <w:bCs/>
          <w:szCs w:val="28"/>
        </w:rPr>
        <w:t xml:space="preserve">до </w:t>
      </w:r>
      <w:r w:rsidR="00706274" w:rsidRPr="00AC0C2F">
        <w:rPr>
          <w:b/>
          <w:bCs/>
          <w:szCs w:val="28"/>
        </w:rPr>
        <w:t xml:space="preserve">проєкту </w:t>
      </w:r>
      <w:r w:rsidR="00A53517" w:rsidRPr="00AC0C2F">
        <w:rPr>
          <w:rFonts w:eastAsia="Times New Roman"/>
          <w:b/>
          <w:bCs/>
          <w:szCs w:val="28"/>
          <w:lang w:eastAsia="ru-RU"/>
        </w:rPr>
        <w:t>наказу Міністерства інфраструктури України</w:t>
      </w:r>
    </w:p>
    <w:p w:rsidR="00A53517" w:rsidRPr="00AC0C2F" w:rsidRDefault="00A53517" w:rsidP="00734060">
      <w:pPr>
        <w:tabs>
          <w:tab w:val="left" w:pos="720"/>
        </w:tabs>
        <w:spacing w:line="259" w:lineRule="auto"/>
        <w:jc w:val="center"/>
        <w:rPr>
          <w:b/>
          <w:szCs w:val="28"/>
        </w:rPr>
      </w:pPr>
      <w:r w:rsidRPr="00AC0C2F">
        <w:rPr>
          <w:b/>
          <w:szCs w:val="28"/>
        </w:rPr>
        <w:t>«</w:t>
      </w:r>
      <w:r w:rsidR="00B660FF" w:rsidRPr="00AC0C2F">
        <w:rPr>
          <w:b/>
          <w:szCs w:val="28"/>
        </w:rPr>
        <w:t xml:space="preserve">Про </w:t>
      </w:r>
      <w:r w:rsidR="00527E0E" w:rsidRPr="00AC0C2F">
        <w:rPr>
          <w:b/>
          <w:szCs w:val="28"/>
        </w:rPr>
        <w:t xml:space="preserve">деякі питання </w:t>
      </w:r>
      <w:r w:rsidR="00FC7C17" w:rsidRPr="00AC0C2F">
        <w:rPr>
          <w:b/>
          <w:szCs w:val="28"/>
        </w:rPr>
        <w:t>портов</w:t>
      </w:r>
      <w:r w:rsidR="00527E0E" w:rsidRPr="00AC0C2F">
        <w:rPr>
          <w:b/>
          <w:szCs w:val="28"/>
        </w:rPr>
        <w:t>их</w:t>
      </w:r>
      <w:r w:rsidR="00FC7C17" w:rsidRPr="00AC0C2F">
        <w:rPr>
          <w:b/>
          <w:szCs w:val="28"/>
        </w:rPr>
        <w:t xml:space="preserve"> збор</w:t>
      </w:r>
      <w:r w:rsidR="00527E0E" w:rsidRPr="00AC0C2F">
        <w:rPr>
          <w:b/>
          <w:szCs w:val="28"/>
        </w:rPr>
        <w:t>ів</w:t>
      </w:r>
      <w:r w:rsidR="00B660FF" w:rsidRPr="00AC0C2F">
        <w:rPr>
          <w:b/>
          <w:szCs w:val="28"/>
        </w:rPr>
        <w:t>»</w:t>
      </w:r>
    </w:p>
    <w:p w:rsidR="00726A97" w:rsidRPr="00AC0C2F" w:rsidRDefault="00726A97" w:rsidP="00734060">
      <w:pPr>
        <w:shd w:val="clear" w:color="auto" w:fill="FFFFFF"/>
        <w:tabs>
          <w:tab w:val="left" w:pos="720"/>
          <w:tab w:val="left" w:pos="900"/>
        </w:tabs>
        <w:autoSpaceDE w:val="0"/>
        <w:autoSpaceDN w:val="0"/>
        <w:adjustRightInd w:val="0"/>
        <w:spacing w:line="259" w:lineRule="auto"/>
        <w:jc w:val="center"/>
        <w:rPr>
          <w:b/>
          <w:szCs w:val="28"/>
        </w:rPr>
      </w:pPr>
    </w:p>
    <w:p w:rsidR="00424088" w:rsidRPr="00AC0C2F" w:rsidRDefault="00424088" w:rsidP="00734060">
      <w:pPr>
        <w:keepNext/>
        <w:spacing w:before="280" w:after="280" w:line="259" w:lineRule="auto"/>
        <w:ind w:firstLine="567"/>
        <w:jc w:val="both"/>
        <w:rPr>
          <w:b/>
        </w:rPr>
      </w:pPr>
      <w:r w:rsidRPr="00AC0C2F">
        <w:rPr>
          <w:b/>
        </w:rPr>
        <w:t>1. Мета</w:t>
      </w:r>
    </w:p>
    <w:p w:rsidR="00424088" w:rsidRPr="00AC0C2F" w:rsidRDefault="00424088" w:rsidP="00734060">
      <w:pPr>
        <w:spacing w:line="259" w:lineRule="auto"/>
        <w:ind w:firstLine="567"/>
        <w:jc w:val="both"/>
        <w:rPr>
          <w:rFonts w:eastAsia="Times New Roman"/>
          <w:lang w:eastAsia="ru-RU"/>
        </w:rPr>
      </w:pPr>
      <w:r w:rsidRPr="00AC0C2F">
        <w:rPr>
          <w:rFonts w:eastAsia="Times New Roman"/>
          <w:lang w:eastAsia="ru-RU"/>
        </w:rPr>
        <w:t>Метою прийняття наказу</w:t>
      </w:r>
      <w:r w:rsidRPr="00AC0C2F">
        <w:t xml:space="preserve"> Міністерства інфраструктури України «Про деякі питання портових зборів» </w:t>
      </w:r>
      <w:r w:rsidRPr="00AC0C2F">
        <w:rPr>
          <w:rFonts w:eastAsia="Times New Roman"/>
          <w:lang w:eastAsia="ru-RU"/>
        </w:rPr>
        <w:t xml:space="preserve">(далі – проєкт Наказу) є </w:t>
      </w:r>
      <w:r w:rsidRPr="00AC0C2F">
        <w:t xml:space="preserve">удосконалення тарифної політики морських портів, впровадження єдиних засад формування і визначення ставок портових зборів, що призведе до </w:t>
      </w:r>
      <w:r w:rsidRPr="00AC0C2F">
        <w:rPr>
          <w:rFonts w:eastAsia="Times New Roman"/>
          <w:lang w:eastAsia="ru-RU"/>
        </w:rPr>
        <w:t xml:space="preserve">зростання конкурентоспроможності вітчизняних морських портів на міжнародному ринку транспортних послуг. </w:t>
      </w:r>
    </w:p>
    <w:p w:rsidR="00424088" w:rsidRPr="00AC0C2F" w:rsidRDefault="00424088" w:rsidP="00734060">
      <w:pPr>
        <w:keepNext/>
        <w:spacing w:before="280" w:after="280" w:line="259" w:lineRule="auto"/>
        <w:ind w:firstLine="567"/>
        <w:jc w:val="both"/>
        <w:rPr>
          <w:b/>
        </w:rPr>
      </w:pPr>
      <w:r w:rsidRPr="00AC0C2F">
        <w:rPr>
          <w:b/>
        </w:rPr>
        <w:t>2. Обґрунтування необхідності прийняття акта</w:t>
      </w:r>
    </w:p>
    <w:p w:rsidR="002255D1" w:rsidRPr="00AC0C2F" w:rsidRDefault="002255D1" w:rsidP="00734060">
      <w:pPr>
        <w:spacing w:line="259" w:lineRule="auto"/>
        <w:ind w:firstLine="567"/>
        <w:jc w:val="both"/>
        <w:rPr>
          <w:rFonts w:eastAsia="Times New Roman"/>
          <w:lang w:eastAsia="ru-RU"/>
        </w:rPr>
      </w:pPr>
      <w:r w:rsidRPr="00AC0C2F">
        <w:rPr>
          <w:rFonts w:eastAsia="Times New Roman"/>
          <w:lang w:eastAsia="ru-RU"/>
        </w:rPr>
        <w:t>Проєкт наказу розроблено на виконання:</w:t>
      </w:r>
    </w:p>
    <w:p w:rsidR="002255D1" w:rsidRPr="00AC0C2F" w:rsidRDefault="002255D1" w:rsidP="00734060">
      <w:pPr>
        <w:spacing w:line="259" w:lineRule="auto"/>
        <w:ind w:firstLine="567"/>
        <w:jc w:val="both"/>
        <w:rPr>
          <w:rFonts w:eastAsia="Times New Roman"/>
          <w:lang w:eastAsia="ru-RU"/>
        </w:rPr>
      </w:pPr>
      <w:r w:rsidRPr="00AC0C2F">
        <w:rPr>
          <w:rFonts w:eastAsia="Times New Roman"/>
          <w:lang w:eastAsia="ru-RU"/>
        </w:rPr>
        <w:t xml:space="preserve">частини другої статті 22 </w:t>
      </w:r>
      <w:r w:rsidR="00E3436F" w:rsidRPr="00AC0C2F">
        <w:rPr>
          <w:rFonts w:eastAsia="Times New Roman"/>
          <w:lang w:eastAsia="ru-RU"/>
        </w:rPr>
        <w:t xml:space="preserve">Закону України «Про морські порти України», а </w:t>
      </w:r>
      <w:r w:rsidRPr="00AC0C2F">
        <w:rPr>
          <w:rFonts w:eastAsia="Times New Roman"/>
          <w:lang w:eastAsia="ru-RU"/>
        </w:rPr>
        <w:t>та</w:t>
      </w:r>
      <w:r w:rsidR="00E3436F" w:rsidRPr="00AC0C2F">
        <w:rPr>
          <w:rFonts w:eastAsia="Times New Roman"/>
          <w:lang w:eastAsia="ru-RU"/>
        </w:rPr>
        <w:t>кож</w:t>
      </w:r>
      <w:r w:rsidRPr="00AC0C2F">
        <w:rPr>
          <w:rFonts w:eastAsia="Times New Roman"/>
          <w:lang w:eastAsia="ru-RU"/>
        </w:rPr>
        <w:t xml:space="preserve"> пункту 4 розділу VI «Прикінцеві положення»</w:t>
      </w:r>
      <w:r w:rsidR="00E3436F" w:rsidRPr="00AC0C2F">
        <w:rPr>
          <w:rFonts w:eastAsia="Times New Roman"/>
          <w:lang w:eastAsia="ru-RU"/>
        </w:rPr>
        <w:t xml:space="preserve"> цього Закону;</w:t>
      </w:r>
    </w:p>
    <w:p w:rsidR="00E3436F" w:rsidRPr="00AC0C2F" w:rsidRDefault="001E5E65" w:rsidP="00734060">
      <w:pPr>
        <w:spacing w:line="259" w:lineRule="auto"/>
        <w:ind w:firstLine="567"/>
        <w:jc w:val="both"/>
        <w:rPr>
          <w:rFonts w:eastAsia="Times New Roman"/>
          <w:lang w:eastAsia="ru-RU"/>
        </w:rPr>
      </w:pPr>
      <w:r w:rsidRPr="00AC0C2F">
        <w:rPr>
          <w:rFonts w:eastAsia="Times New Roman"/>
          <w:lang w:eastAsia="ru-RU"/>
        </w:rPr>
        <w:t>підпункту «г» пункту 1 статті 1 Указу Президента України від 08.11.2019 № 837 «Про невідкладні заходи з проведення реформ та зміцнення держави».</w:t>
      </w:r>
    </w:p>
    <w:p w:rsidR="00AC0C2F" w:rsidRPr="00AC0C2F" w:rsidRDefault="00AC0C2F" w:rsidP="00734060">
      <w:pPr>
        <w:spacing w:line="259" w:lineRule="auto"/>
        <w:ind w:firstLine="567"/>
        <w:jc w:val="both"/>
      </w:pPr>
      <w:r w:rsidRPr="00AC0C2F">
        <w:t xml:space="preserve">Проєктом наказу затверджуються такі документи: методика розрахунку розмірів ставок портових зборів, які справляються у морських портах (далі – Методика) та порядок справляння, обліку та використання коштів від портових зборів, крім використання коштів від адміністративного збору  </w:t>
      </w:r>
      <w:r w:rsidRPr="00AC0C2F">
        <w:rPr>
          <w:bCs/>
        </w:rPr>
        <w:t>(далі – Порядок).</w:t>
      </w:r>
    </w:p>
    <w:p w:rsidR="001D15AF" w:rsidRPr="00AC0C2F" w:rsidRDefault="001D15AF" w:rsidP="00734060">
      <w:pPr>
        <w:spacing w:line="259" w:lineRule="auto"/>
        <w:ind w:firstLine="567"/>
        <w:jc w:val="both"/>
        <w:rPr>
          <w:color w:val="000000"/>
        </w:rPr>
      </w:pPr>
      <w:r w:rsidRPr="00AC0C2F">
        <w:rPr>
          <w:rFonts w:eastAsia="Times New Roman"/>
          <w:lang w:eastAsia="ru-RU"/>
        </w:rPr>
        <w:t xml:space="preserve">На сьогодні існує проблема відсутності єдиного </w:t>
      </w:r>
      <w:r w:rsidRPr="00AC0C2F">
        <w:rPr>
          <w:rStyle w:val="xfm14295782"/>
          <w:color w:val="000000"/>
          <w:szCs w:val="28"/>
        </w:rPr>
        <w:t>економічно обґрунтованого підходу до розрахунку розмірів ставок портових зборів, які</w:t>
      </w:r>
      <w:r w:rsidRPr="00AC0C2F">
        <w:rPr>
          <w:color w:val="000000"/>
        </w:rPr>
        <w:t xml:space="preserve"> є обов’язковими для застосування усіма суб’єктами господарювання різних форм власності, що провадять діяльність у морському порту і забезпечують відповідно до законодавства справляння портових зборів. </w:t>
      </w:r>
    </w:p>
    <w:p w:rsidR="001D15AF" w:rsidRPr="00AC0C2F" w:rsidRDefault="001D15AF" w:rsidP="00734060">
      <w:pPr>
        <w:spacing w:line="259" w:lineRule="auto"/>
        <w:ind w:firstLine="567"/>
        <w:jc w:val="both"/>
        <w:rPr>
          <w:lang w:eastAsia="en-US"/>
        </w:rPr>
      </w:pPr>
      <w:r w:rsidRPr="00AC0C2F">
        <w:rPr>
          <w:color w:val="000000"/>
        </w:rPr>
        <w:t xml:space="preserve">Для вирішення цієї проблеми, </w:t>
      </w:r>
      <w:r w:rsidRPr="00AC0C2F">
        <w:rPr>
          <w:lang w:eastAsia="en-US"/>
        </w:rPr>
        <w:t>а також у зв’язку з необхідністю одночасного вирішення наступних основних завдань було розроблено Методику та Порядок:</w:t>
      </w:r>
    </w:p>
    <w:p w:rsidR="001D15AF" w:rsidRPr="00AC0C2F" w:rsidRDefault="001D15AF" w:rsidP="00734060">
      <w:pPr>
        <w:spacing w:line="259" w:lineRule="auto"/>
        <w:ind w:firstLine="567"/>
        <w:jc w:val="both"/>
        <w:rPr>
          <w:bCs/>
          <w:lang w:eastAsia="en-US"/>
        </w:rPr>
      </w:pPr>
      <w:r w:rsidRPr="00AC0C2F">
        <w:rPr>
          <w:bCs/>
          <w:lang w:eastAsia="en-US"/>
        </w:rPr>
        <w:t>визначення механізму розрахунку ставок портових зборів, що дасть можливість за рахунок коштів, отриманих від портових зборів, здійснювати утримання та розвиток морських портів, каналів, маяків та інших засобів навігаційного забезпечення на рівні, що відповідає національним інтересам та вимогам безпеки мореплавства, а також</w:t>
      </w:r>
      <w:r w:rsidRPr="00AC0C2F">
        <w:rPr>
          <w:lang w:eastAsia="en-US"/>
        </w:rPr>
        <w:t xml:space="preserve"> </w:t>
      </w:r>
      <w:r w:rsidRPr="00AC0C2F">
        <w:rPr>
          <w:bCs/>
          <w:lang w:eastAsia="en-US"/>
        </w:rPr>
        <w:t>утримання та розвиток системи пошуку та рятування на морі;</w:t>
      </w:r>
    </w:p>
    <w:p w:rsidR="001D15AF" w:rsidRPr="00AC0C2F" w:rsidRDefault="001D15AF" w:rsidP="00734060">
      <w:pPr>
        <w:spacing w:line="259" w:lineRule="auto"/>
        <w:ind w:firstLine="567"/>
        <w:jc w:val="both"/>
        <w:rPr>
          <w:lang w:eastAsia="en-US"/>
        </w:rPr>
      </w:pPr>
      <w:r w:rsidRPr="00AC0C2F">
        <w:rPr>
          <w:bCs/>
          <w:lang w:eastAsia="en-US"/>
        </w:rPr>
        <w:t>зниження рівня питомих витрат портових зборів на одиницю вантажу в портах України до рівня закордонних портів;</w:t>
      </w:r>
    </w:p>
    <w:p w:rsidR="001D15AF" w:rsidRPr="00AC0C2F" w:rsidRDefault="001D15AF" w:rsidP="00734060">
      <w:pPr>
        <w:spacing w:line="259" w:lineRule="auto"/>
        <w:ind w:firstLine="567"/>
        <w:jc w:val="both"/>
        <w:rPr>
          <w:lang w:eastAsia="en-US"/>
        </w:rPr>
      </w:pPr>
      <w:r w:rsidRPr="00AC0C2F">
        <w:rPr>
          <w:bCs/>
          <w:lang w:eastAsia="en-US"/>
        </w:rPr>
        <w:t xml:space="preserve">врахування найкращого світового досвіду, рекомендацій закордонних експертів. </w:t>
      </w:r>
    </w:p>
    <w:p w:rsidR="001D15AF" w:rsidRPr="00AC0C2F" w:rsidRDefault="001D15AF" w:rsidP="00734060">
      <w:pPr>
        <w:spacing w:line="259" w:lineRule="auto"/>
        <w:ind w:firstLine="567"/>
        <w:jc w:val="both"/>
      </w:pPr>
      <w:r w:rsidRPr="00AC0C2F">
        <w:t>Методика дасть змогу:</w:t>
      </w:r>
    </w:p>
    <w:p w:rsidR="001D15AF" w:rsidRPr="00AC0C2F" w:rsidRDefault="001D15AF" w:rsidP="00734060">
      <w:pPr>
        <w:spacing w:line="259" w:lineRule="auto"/>
        <w:ind w:firstLine="567"/>
        <w:jc w:val="both"/>
        <w:rPr>
          <w:color w:val="000000"/>
        </w:rPr>
      </w:pPr>
      <w:r w:rsidRPr="00AC0C2F">
        <w:rPr>
          <w:color w:val="000000"/>
        </w:rPr>
        <w:lastRenderedPageBreak/>
        <w:t>уніфікувати</w:t>
      </w:r>
      <w:r w:rsidRPr="00AC0C2F">
        <w:rPr>
          <w:rStyle w:val="apple-converted-space"/>
          <w:color w:val="000000"/>
          <w:szCs w:val="28"/>
        </w:rPr>
        <w:t> </w:t>
      </w:r>
      <w:r w:rsidRPr="00AC0C2F">
        <w:rPr>
          <w:color w:val="000000"/>
        </w:rPr>
        <w:t>розрахунки ставок портових зборів;</w:t>
      </w:r>
    </w:p>
    <w:p w:rsidR="001D15AF" w:rsidRPr="00AC0C2F" w:rsidRDefault="001D15AF" w:rsidP="00734060">
      <w:pPr>
        <w:spacing w:line="259" w:lineRule="auto"/>
        <w:ind w:firstLine="567"/>
        <w:jc w:val="both"/>
        <w:rPr>
          <w:color w:val="000000"/>
        </w:rPr>
      </w:pPr>
      <w:r w:rsidRPr="00AC0C2F">
        <w:rPr>
          <w:color w:val="000000"/>
        </w:rPr>
        <w:t>визначити реальний рівень ставок портових зборів, зважаючи на ринкову вартість послуг, які підприємства надають судновласникам;</w:t>
      </w:r>
    </w:p>
    <w:p w:rsidR="001D15AF" w:rsidRPr="00AC0C2F" w:rsidRDefault="001D15AF" w:rsidP="00734060">
      <w:pPr>
        <w:spacing w:line="259" w:lineRule="auto"/>
        <w:ind w:firstLine="567"/>
        <w:jc w:val="both"/>
        <w:rPr>
          <w:color w:val="000000"/>
        </w:rPr>
      </w:pPr>
      <w:r w:rsidRPr="00AC0C2F">
        <w:rPr>
          <w:color w:val="000000"/>
        </w:rPr>
        <w:t>врахувати коректний облік фактичних обґрунтованих витрат на утримання адміністрацією морських портів України гідротехнічних споруд та здійснення відповідних заходів щодо забезпечення безпеки мореплавства у межах відведених морським портам акваторій відповідно до Закону України «Про морські порти України»;</w:t>
      </w:r>
    </w:p>
    <w:p w:rsidR="001D15AF" w:rsidRPr="00AC0C2F" w:rsidRDefault="001D15AF" w:rsidP="00734060">
      <w:pPr>
        <w:spacing w:line="259" w:lineRule="auto"/>
        <w:ind w:firstLine="567"/>
        <w:jc w:val="both"/>
        <w:rPr>
          <w:color w:val="000000"/>
        </w:rPr>
      </w:pPr>
      <w:r w:rsidRPr="00AC0C2F">
        <w:rPr>
          <w:color w:val="000000"/>
        </w:rPr>
        <w:t>визначити економічне обґрунтування розрахунку ставок портових зборів для кожного збору та можливість їх подальшого корегування;</w:t>
      </w:r>
    </w:p>
    <w:p w:rsidR="001D15AF" w:rsidRPr="00AC0C2F" w:rsidRDefault="001D15AF" w:rsidP="00734060">
      <w:pPr>
        <w:spacing w:line="259" w:lineRule="auto"/>
        <w:ind w:firstLine="567"/>
        <w:jc w:val="both"/>
        <w:rPr>
          <w:color w:val="000000"/>
        </w:rPr>
      </w:pPr>
      <w:r w:rsidRPr="00AC0C2F">
        <w:rPr>
          <w:color w:val="000000"/>
        </w:rPr>
        <w:t>під час реконструкції і розвитку гідротехнічних споруд, акваторій, огороджувальних і берегоукріплювальних споруджень та інших об’єктів визначити розмір портових зборів, коштами від яких покриваються витрати на їх утримання;</w:t>
      </w:r>
    </w:p>
    <w:p w:rsidR="001D15AF" w:rsidRPr="00AC0C2F" w:rsidRDefault="001D15AF" w:rsidP="00734060">
      <w:pPr>
        <w:spacing w:line="259" w:lineRule="auto"/>
        <w:ind w:firstLine="567"/>
        <w:jc w:val="both"/>
        <w:rPr>
          <w:color w:val="000000"/>
        </w:rPr>
      </w:pPr>
      <w:r w:rsidRPr="00AC0C2F">
        <w:rPr>
          <w:color w:val="000000"/>
        </w:rPr>
        <w:t>здійснити розрахунки ставок портових зборів під час проєктування будівництва нових морських портів (причалів, перевантажувальних терміналів) тощо.</w:t>
      </w:r>
    </w:p>
    <w:p w:rsidR="00424088" w:rsidRPr="00AC0C2F" w:rsidRDefault="00424088" w:rsidP="00734060">
      <w:pPr>
        <w:keepNext/>
        <w:spacing w:before="280" w:after="280" w:line="259" w:lineRule="auto"/>
        <w:ind w:firstLine="567"/>
        <w:jc w:val="both"/>
        <w:rPr>
          <w:b/>
        </w:rPr>
      </w:pPr>
      <w:r w:rsidRPr="00AC0C2F">
        <w:rPr>
          <w:b/>
        </w:rPr>
        <w:t>3. Основні положення проекту акта</w:t>
      </w:r>
    </w:p>
    <w:p w:rsidR="00A45D90" w:rsidRPr="00AC0C2F" w:rsidRDefault="00A45D90" w:rsidP="00734060">
      <w:pPr>
        <w:spacing w:line="259" w:lineRule="auto"/>
        <w:ind w:firstLine="567"/>
        <w:jc w:val="both"/>
      </w:pPr>
      <w:r w:rsidRPr="00AC0C2F">
        <w:t xml:space="preserve">Проєктом наказу затверджуються наступні документи: методика розрахунку розмірів ставок портових зборів, які справляються у морських портах (далі </w:t>
      </w:r>
      <w:r>
        <w:t>–</w:t>
      </w:r>
      <w:r w:rsidRPr="00AC0C2F">
        <w:t xml:space="preserve"> Методика); порядок справляння, обліку та використання коштів від портових зборів, крім використання коштів від адміністративного збору </w:t>
      </w:r>
      <w:r w:rsidRPr="00AC0C2F">
        <w:rPr>
          <w:bCs/>
        </w:rPr>
        <w:t>(далі– Порядок).</w:t>
      </w:r>
    </w:p>
    <w:p w:rsidR="00A45D90" w:rsidRPr="00AC0C2F" w:rsidRDefault="00A45D90" w:rsidP="00734060">
      <w:pPr>
        <w:spacing w:line="259" w:lineRule="auto"/>
        <w:ind w:firstLine="567"/>
        <w:jc w:val="both"/>
      </w:pPr>
      <w:r w:rsidRPr="00AC0C2F">
        <w:rPr>
          <w:color w:val="000000"/>
          <w:lang w:eastAsia="ru-RU"/>
        </w:rPr>
        <w:t xml:space="preserve">Порядок </w:t>
      </w:r>
      <w:r w:rsidRPr="00AC0C2F">
        <w:t>справляння, обліку та використання коштів від портових зборів, крім використання коштів від адміністративного збору визначає процедуру справляння портових зборів та встановлює порядок обліку та використання  коштів від портових зборів, крім адміністративного збору, а також установлює єдиний порядок надання оперативних форм звітності щодо обліку та використання цих коштів</w:t>
      </w:r>
      <w:r w:rsidRPr="00AC0C2F">
        <w:rPr>
          <w:i/>
        </w:rPr>
        <w:t>.</w:t>
      </w:r>
      <w:r w:rsidRPr="00AC0C2F">
        <w:t xml:space="preserve"> Кошти від портових зборів використовуються виключно на цілі, зазначені в Порядку. Цей Порядок є обов’язковим для застосування усіма суб’єктами господарювання незалежно від підпорядкованості та форми власності, які відповідно до чинного законодавства України забезпечують справляння з суден корабельного, канального, маякового, причального та санітарного портових зборів (крім адміністративного)</w:t>
      </w:r>
      <w:bookmarkStart w:id="0" w:name="n8"/>
      <w:bookmarkStart w:id="1" w:name="n9"/>
      <w:bookmarkStart w:id="2" w:name="n10"/>
      <w:bookmarkEnd w:id="0"/>
      <w:bookmarkEnd w:id="1"/>
      <w:bookmarkEnd w:id="2"/>
      <w:r w:rsidRPr="00AC0C2F">
        <w:t>. Взагалі, у морському порту справляються такі портові збори: корабельний, канальний, причальний, санітарний, маяковий, якірний та адміністративний. Розміри ставок портових зборів затверджуються у встановленому відповідно до законодавства порядку. Контроль за цільовим використанням коштів від портових зборів здійснюється відповідно до чинного законодавства.</w:t>
      </w:r>
    </w:p>
    <w:p w:rsidR="00A45D90" w:rsidRPr="00AC0C2F" w:rsidRDefault="00A45D90" w:rsidP="00734060">
      <w:pPr>
        <w:spacing w:line="259" w:lineRule="auto"/>
        <w:ind w:firstLine="567"/>
        <w:jc w:val="both"/>
        <w:rPr>
          <w:color w:val="000000"/>
        </w:rPr>
      </w:pPr>
      <w:r w:rsidRPr="00AC0C2F">
        <w:rPr>
          <w:color w:val="000000"/>
        </w:rPr>
        <w:lastRenderedPageBreak/>
        <w:t xml:space="preserve">Методика встановлює </w:t>
      </w:r>
      <w:r w:rsidRPr="00AC0C2F">
        <w:rPr>
          <w:rStyle w:val="xfm14295782"/>
          <w:color w:val="000000"/>
          <w:szCs w:val="28"/>
        </w:rPr>
        <w:t>економічно обґрунтований підхід до розрахунку розмірів ставок портових зборів, які</w:t>
      </w:r>
      <w:r w:rsidRPr="00AC0C2F">
        <w:rPr>
          <w:color w:val="000000"/>
        </w:rPr>
        <w:t xml:space="preserve"> є обов’язковими для застосування усіма суб’єктами господарювання різних форм власності, що провадять діяльність у морському порту і забезпечують відповідно до законодавства справляння портових зборів.</w:t>
      </w:r>
    </w:p>
    <w:p w:rsidR="00A45D90" w:rsidRPr="00AC0C2F" w:rsidRDefault="00A45D90" w:rsidP="00734060">
      <w:pPr>
        <w:spacing w:line="259" w:lineRule="auto"/>
        <w:ind w:firstLine="567"/>
        <w:jc w:val="both"/>
      </w:pPr>
      <w:r w:rsidRPr="00AC0C2F">
        <w:t xml:space="preserve">Розрахунок ставок портових зборів у Методиці базується на застосуванні витратного методу розрахунку ставок портових зборів </w:t>
      </w:r>
      <w:r w:rsidRPr="00AC0C2F">
        <w:rPr>
          <w:color w:val="000000"/>
        </w:rPr>
        <w:t>за критерієм достатності джерела необхідного фінансування об’єктів портової інфраструктури та інших об’єктів, які утримуються за рахунок портових зборів</w:t>
      </w:r>
      <w:r w:rsidRPr="00AC0C2F">
        <w:t xml:space="preserve">. </w:t>
      </w:r>
    </w:p>
    <w:p w:rsidR="00A45D90" w:rsidRPr="00AC0C2F" w:rsidRDefault="00A45D90" w:rsidP="00734060">
      <w:pPr>
        <w:spacing w:line="259" w:lineRule="auto"/>
        <w:ind w:firstLine="567"/>
        <w:jc w:val="both"/>
        <w:rPr>
          <w:color w:val="000000"/>
        </w:rPr>
      </w:pPr>
      <w:r w:rsidRPr="00AC0C2F">
        <w:t xml:space="preserve">При розрахунку застосовується показник </w:t>
      </w:r>
      <w:r w:rsidRPr="00AC0C2F">
        <w:rPr>
          <w:color w:val="000000"/>
        </w:rPr>
        <w:t>нормативу рентабельності</w:t>
      </w:r>
      <w:r w:rsidRPr="00AC0C2F">
        <w:rPr>
          <w:color w:val="000000"/>
          <w:shd w:val="clear" w:color="auto" w:fill="FFFFFF"/>
        </w:rPr>
        <w:t>, який включається до складу ставок портових зборів і забезпечує покриття витрат на нове будівництво, реконструкцію, технічне переоснащення, капітальний ремонт об’єктів портової інфраструктури та судноплавних каналів, у тому числі на компенсацію інвестицій, податок на прибуток та частину чистого прибутку (доходу), що підлягає відрахуванню до Державного бюджету відповідно до законодавства. Н</w:t>
      </w:r>
      <w:r w:rsidRPr="00AC0C2F">
        <w:rPr>
          <w:color w:val="000000"/>
        </w:rPr>
        <w:t xml:space="preserve">орматив рентабельності встановлюється окремо для корабельного, канального, причального, санітарного портового збору для кожного морського порту (або регіону) з урахуванням економічних показників діяльності та планів розвитку на прогнозований період. Норматив рентабельності для маякового збору встановлюється на єдиному рівні для усіх морських портів. </w:t>
      </w:r>
      <w:r w:rsidRPr="00AC0C2F">
        <w:t>Для адміністративного збору норматив рентабельності не передбачений.</w:t>
      </w:r>
    </w:p>
    <w:p w:rsidR="00A45D90" w:rsidRPr="00AC0C2F" w:rsidRDefault="00A45D90" w:rsidP="00734060">
      <w:pPr>
        <w:spacing w:line="259" w:lineRule="auto"/>
        <w:ind w:firstLine="567"/>
        <w:jc w:val="both"/>
        <w:rPr>
          <w:bCs/>
          <w:color w:val="000000"/>
          <w:bdr w:val="none" w:sz="0" w:space="0" w:color="auto" w:frame="1"/>
          <w:lang w:eastAsia="en-US"/>
        </w:rPr>
      </w:pPr>
      <w:r w:rsidRPr="00AC0C2F">
        <w:rPr>
          <w:bCs/>
          <w:color w:val="000000"/>
          <w:bdr w:val="none" w:sz="0" w:space="0" w:color="auto" w:frame="1"/>
          <w:lang w:eastAsia="en-US"/>
        </w:rPr>
        <w:t>У Методиці закладено такі принципи та особливості:</w:t>
      </w:r>
    </w:p>
    <w:p w:rsidR="00A45D90" w:rsidRPr="00AC0C2F" w:rsidRDefault="00A45D90" w:rsidP="00734060">
      <w:pPr>
        <w:spacing w:line="259" w:lineRule="auto"/>
        <w:ind w:firstLine="567"/>
        <w:jc w:val="both"/>
        <w:rPr>
          <w:bCs/>
          <w:color w:val="000000"/>
          <w:bdr w:val="none" w:sz="0" w:space="0" w:color="auto" w:frame="1"/>
          <w:lang w:eastAsia="en-US"/>
        </w:rPr>
      </w:pPr>
      <w:r w:rsidRPr="00AC0C2F">
        <w:rPr>
          <w:bCs/>
          <w:color w:val="000000"/>
          <w:bdr w:val="none" w:sz="0" w:space="0" w:color="auto" w:frame="1"/>
          <w:lang w:eastAsia="en-US"/>
        </w:rPr>
        <w:t xml:space="preserve">– застосування бази нарахування портових зборів </w:t>
      </w:r>
      <w:r w:rsidRPr="00AC0C2F">
        <w:t xml:space="preserve">на підставі валової місткості судна (грос-тоннажу – </w:t>
      </w:r>
      <w:proofErr w:type="spellStart"/>
      <w:r w:rsidRPr="00AC0C2F">
        <w:t>GT</w:t>
      </w:r>
      <w:proofErr w:type="spellEnd"/>
      <w:r w:rsidRPr="00AC0C2F">
        <w:t>);</w:t>
      </w:r>
      <w:r w:rsidRPr="00AC0C2F">
        <w:rPr>
          <w:bCs/>
          <w:color w:val="000000"/>
          <w:bdr w:val="none" w:sz="0" w:space="0" w:color="auto" w:frame="1"/>
          <w:lang w:eastAsia="en-US"/>
        </w:rPr>
        <w:t xml:space="preserve"> </w:t>
      </w:r>
    </w:p>
    <w:p w:rsidR="00A45D90" w:rsidRPr="00AC0C2F" w:rsidRDefault="00A45D90" w:rsidP="00734060">
      <w:pPr>
        <w:spacing w:line="259" w:lineRule="auto"/>
        <w:ind w:firstLine="567"/>
        <w:jc w:val="both"/>
      </w:pPr>
      <w:r w:rsidRPr="00AC0C2F">
        <w:rPr>
          <w:bCs/>
          <w:color w:val="000000"/>
          <w:bdr w:val="none" w:sz="0" w:space="0" w:color="auto" w:frame="1"/>
          <w:lang w:eastAsia="en-US"/>
        </w:rPr>
        <w:t>– </w:t>
      </w:r>
      <w:r w:rsidRPr="00AC0C2F">
        <w:t>нарахування корабельного, канального, адміністративного, маякового та санітарного портових зборів здійснюється на підставі валової місткості судна, а нарахування причального портового збору - на підставі валової місткості судна за добу;</w:t>
      </w:r>
    </w:p>
    <w:p w:rsidR="00A45D90" w:rsidRPr="00AC0C2F" w:rsidRDefault="00A45D90" w:rsidP="00734060">
      <w:pPr>
        <w:spacing w:line="259" w:lineRule="auto"/>
        <w:ind w:firstLine="567"/>
        <w:jc w:val="both"/>
        <w:rPr>
          <w:color w:val="000000"/>
        </w:rPr>
      </w:pPr>
      <w:r w:rsidRPr="00AC0C2F">
        <w:rPr>
          <w:bCs/>
          <w:color w:val="000000"/>
          <w:bdr w:val="none" w:sz="0" w:space="0" w:color="auto" w:frame="1"/>
          <w:lang w:eastAsia="en-US"/>
        </w:rPr>
        <w:t>– </w:t>
      </w:r>
      <w:r w:rsidRPr="00AC0C2F">
        <w:rPr>
          <w:color w:val="000000"/>
        </w:rPr>
        <w:t>прогнозований період як період планування діяльності отримувача портового збору, на який визначаються витрати та база нарахування для розрахунку ставок портових зборів, дорівнює п’яти рокам;</w:t>
      </w:r>
    </w:p>
    <w:p w:rsidR="00A45D90" w:rsidRPr="00AC0C2F" w:rsidRDefault="00A45D90" w:rsidP="00734060">
      <w:pPr>
        <w:spacing w:line="259" w:lineRule="auto"/>
        <w:ind w:firstLine="567"/>
        <w:jc w:val="both"/>
      </w:pPr>
      <w:r w:rsidRPr="00AC0C2F">
        <w:rPr>
          <w:bCs/>
          <w:color w:val="000000"/>
          <w:bdr w:val="none" w:sz="0" w:space="0" w:color="auto" w:frame="1"/>
          <w:lang w:eastAsia="en-US"/>
        </w:rPr>
        <w:t>– </w:t>
      </w:r>
      <w:r w:rsidRPr="00AC0C2F">
        <w:rPr>
          <w:color w:val="000000"/>
        </w:rPr>
        <w:t xml:space="preserve">ставки корабельного, причального, санітарного </w:t>
      </w:r>
      <w:r w:rsidRPr="00AC0C2F">
        <w:t xml:space="preserve">портових </w:t>
      </w:r>
      <w:r w:rsidRPr="00AC0C2F">
        <w:rPr>
          <w:color w:val="000000"/>
        </w:rPr>
        <w:t xml:space="preserve">зборів визначаються </w:t>
      </w:r>
      <w:r w:rsidRPr="00AC0C2F">
        <w:t>за регіональним підходом на єдиному рівні для кожного портового збору наступним чином:</w:t>
      </w:r>
    </w:p>
    <w:p w:rsidR="00786880" w:rsidRDefault="00786880" w:rsidP="00734060">
      <w:pPr>
        <w:spacing w:line="259" w:lineRule="auto"/>
        <w:ind w:firstLine="567"/>
        <w:jc w:val="both"/>
      </w:pPr>
      <w:r>
        <w:t>1 регіон (Азовський регіон) – морський порт Маріуполь, морський порт Бердянськ;</w:t>
      </w:r>
    </w:p>
    <w:p w:rsidR="00786880" w:rsidRDefault="00786880" w:rsidP="00734060">
      <w:pPr>
        <w:spacing w:line="259" w:lineRule="auto"/>
        <w:ind w:firstLine="567"/>
        <w:jc w:val="both"/>
      </w:pPr>
      <w:r>
        <w:t xml:space="preserve">2 регіон (Кримський регіон) – морський порт Керч, морський порт Севастополь, морський порт Феодосія, морський порт Ялта, морський порт Євпаторія; </w:t>
      </w:r>
    </w:p>
    <w:p w:rsidR="00786880" w:rsidRDefault="00786880" w:rsidP="00734060">
      <w:pPr>
        <w:spacing w:line="259" w:lineRule="auto"/>
        <w:ind w:firstLine="567"/>
        <w:jc w:val="both"/>
      </w:pPr>
      <w:r>
        <w:t>3 регіон (Бузько-Дніпровський регіон)  – морський порт Миколаїв, морський порт Херсон, морський порт Ольвія, морський порт Скадовськ;</w:t>
      </w:r>
    </w:p>
    <w:p w:rsidR="00A45D90" w:rsidRPr="00AC0C2F" w:rsidRDefault="00786880" w:rsidP="00734060">
      <w:pPr>
        <w:spacing w:line="259" w:lineRule="auto"/>
        <w:ind w:firstLine="567"/>
        <w:jc w:val="both"/>
      </w:pPr>
      <w:r>
        <w:lastRenderedPageBreak/>
        <w:t>4 регіон (Одеський) – морський порт Одеса, морський порт Південний, морський порт Чорноморськ та морський порт Білгород-</w:t>
      </w:r>
      <w:proofErr w:type="spellStart"/>
      <w:r>
        <w:t>Дністровськ</w:t>
      </w:r>
      <w:proofErr w:type="spellEnd"/>
      <w:r>
        <w:t>, морський порт Ізмаїл, морський порт Ре</w:t>
      </w:r>
      <w:r>
        <w:t>ні, морський порт Усть-Дунайськ;</w:t>
      </w:r>
    </w:p>
    <w:p w:rsidR="00A45D90" w:rsidRPr="00AC0C2F" w:rsidRDefault="00A45D90" w:rsidP="00734060">
      <w:pPr>
        <w:spacing w:line="259" w:lineRule="auto"/>
        <w:ind w:firstLine="567"/>
        <w:jc w:val="both"/>
        <w:rPr>
          <w:color w:val="000000"/>
        </w:rPr>
      </w:pPr>
      <w:r w:rsidRPr="00AC0C2F">
        <w:rPr>
          <w:bCs/>
          <w:color w:val="000000"/>
          <w:bdr w:val="none" w:sz="0" w:space="0" w:color="auto" w:frame="1"/>
          <w:lang w:eastAsia="en-US"/>
        </w:rPr>
        <w:t>– </w:t>
      </w:r>
      <w:r w:rsidRPr="00AC0C2F">
        <w:rPr>
          <w:color w:val="000000"/>
        </w:rPr>
        <w:t>ставки адміністративного та маякового зборів визначаються на єдиному рівні для морських портів України;</w:t>
      </w:r>
    </w:p>
    <w:p w:rsidR="00A45D90" w:rsidRPr="00AC0C2F" w:rsidRDefault="00A45D90" w:rsidP="00734060">
      <w:pPr>
        <w:spacing w:line="259" w:lineRule="auto"/>
        <w:ind w:firstLine="567"/>
        <w:jc w:val="both"/>
        <w:rPr>
          <w:color w:val="000000"/>
        </w:rPr>
      </w:pPr>
      <w:r w:rsidRPr="00AC0C2F">
        <w:rPr>
          <w:bCs/>
          <w:color w:val="000000"/>
          <w:bdr w:val="none" w:sz="0" w:space="0" w:color="auto" w:frame="1"/>
          <w:lang w:eastAsia="en-US"/>
        </w:rPr>
        <w:t>– </w:t>
      </w:r>
      <w:r w:rsidRPr="00AC0C2F">
        <w:rPr>
          <w:color w:val="000000"/>
        </w:rPr>
        <w:t xml:space="preserve">ставка якірного збору для кожного морського порту приймається зі значенням на рівні нуль, </w:t>
      </w:r>
      <w:r w:rsidRPr="00AC0C2F">
        <w:t>покриття витрат на утримання якірних стоянок у межах акваторії морського порту враховано у ставках корабельного збору;</w:t>
      </w:r>
      <w:r w:rsidRPr="00AC0C2F">
        <w:rPr>
          <w:color w:val="000000"/>
        </w:rPr>
        <w:t xml:space="preserve"> </w:t>
      </w:r>
    </w:p>
    <w:p w:rsidR="00A45D90" w:rsidRPr="00AC0C2F" w:rsidRDefault="00A45D90" w:rsidP="00734060">
      <w:pPr>
        <w:spacing w:line="259" w:lineRule="auto"/>
        <w:ind w:firstLine="567"/>
        <w:jc w:val="both"/>
        <w:rPr>
          <w:color w:val="000000"/>
        </w:rPr>
      </w:pPr>
      <w:r w:rsidRPr="00AC0C2F">
        <w:rPr>
          <w:bCs/>
          <w:color w:val="000000"/>
          <w:bdr w:val="none" w:sz="0" w:space="0" w:color="auto" w:frame="1"/>
          <w:lang w:eastAsia="en-US"/>
        </w:rPr>
        <w:t>– </w:t>
      </w:r>
      <w:r w:rsidRPr="00AC0C2F">
        <w:rPr>
          <w:color w:val="000000"/>
        </w:rPr>
        <w:t xml:space="preserve">ставки канального збору визначаються для кожного судноплавного каналу; </w:t>
      </w:r>
    </w:p>
    <w:p w:rsidR="00A45D90" w:rsidRPr="00AC0C2F" w:rsidRDefault="00A45D90" w:rsidP="00734060">
      <w:pPr>
        <w:spacing w:line="259" w:lineRule="auto"/>
        <w:ind w:firstLine="567"/>
        <w:jc w:val="both"/>
      </w:pPr>
      <w:r w:rsidRPr="00AC0C2F">
        <w:rPr>
          <w:bCs/>
          <w:color w:val="000000"/>
          <w:bdr w:val="none" w:sz="0" w:space="0" w:color="auto" w:frame="1"/>
          <w:lang w:eastAsia="en-US"/>
        </w:rPr>
        <w:t>– </w:t>
      </w:r>
      <w:r w:rsidRPr="00AC0C2F">
        <w:rPr>
          <w:color w:val="000000"/>
        </w:rPr>
        <w:t>перегляд розмірів ставок портових зборів передбачається не рідше одного разу на три роки.</w:t>
      </w:r>
    </w:p>
    <w:p w:rsidR="00424088" w:rsidRPr="00AC0C2F" w:rsidRDefault="00424088" w:rsidP="00734060">
      <w:pPr>
        <w:keepNext/>
        <w:spacing w:before="280" w:after="280" w:line="259" w:lineRule="auto"/>
        <w:ind w:firstLine="567"/>
        <w:jc w:val="both"/>
        <w:rPr>
          <w:b/>
        </w:rPr>
      </w:pPr>
      <w:r w:rsidRPr="00AC0C2F">
        <w:rPr>
          <w:b/>
        </w:rPr>
        <w:t>4. Правові аспекти</w:t>
      </w:r>
    </w:p>
    <w:p w:rsidR="00CD4EAB" w:rsidRDefault="00CD4EAB" w:rsidP="00734060">
      <w:pPr>
        <w:spacing w:line="259" w:lineRule="auto"/>
        <w:ind w:firstLine="567"/>
        <w:jc w:val="both"/>
        <w:rPr>
          <w:rFonts w:eastAsia="Times New Roman"/>
          <w:lang w:eastAsia="ru-RU"/>
        </w:rPr>
      </w:pPr>
      <w:r>
        <w:rPr>
          <w:rFonts w:eastAsia="Times New Roman"/>
          <w:lang w:eastAsia="ru-RU"/>
        </w:rPr>
        <w:t xml:space="preserve">Відповідно до </w:t>
      </w:r>
      <w:r w:rsidR="00EF45CE" w:rsidRPr="00AC0C2F">
        <w:rPr>
          <w:rFonts w:eastAsia="Times New Roman"/>
          <w:lang w:eastAsia="ru-RU"/>
        </w:rPr>
        <w:t>частини другої статті 22 Закону України «Про морські порти України»</w:t>
      </w:r>
      <w:r>
        <w:rPr>
          <w:rFonts w:eastAsia="Times New Roman"/>
          <w:lang w:eastAsia="ru-RU"/>
        </w:rPr>
        <w:t xml:space="preserve"> р</w:t>
      </w:r>
      <w:r w:rsidRPr="00CD4EAB">
        <w:rPr>
          <w:rFonts w:eastAsia="Times New Roman"/>
          <w:lang w:eastAsia="ru-RU"/>
        </w:rPr>
        <w:t>озміри ставок портових зборів для кожного морського порту встановлюються національною комісією, що здійснює державне регулювання у сфері транспорту, відповідно до затвердженої нею методики. Порядок справляння, обліку та використання коштів від портових зборів, крім використання коштів від адміністративного збору, визначається центральним органом виконавчої влади, що забезпечує формування та реалізує державну політику у сферах морського і річкового транспорту.</w:t>
      </w:r>
    </w:p>
    <w:p w:rsidR="00EF45CE" w:rsidRPr="00AC0C2F" w:rsidRDefault="00BE2CA1" w:rsidP="00734060">
      <w:pPr>
        <w:spacing w:line="259" w:lineRule="auto"/>
        <w:ind w:firstLine="567"/>
        <w:jc w:val="both"/>
        <w:rPr>
          <w:rFonts w:eastAsia="Times New Roman"/>
          <w:lang w:eastAsia="ru-RU"/>
        </w:rPr>
      </w:pPr>
      <w:r>
        <w:rPr>
          <w:rFonts w:eastAsia="Times New Roman"/>
          <w:lang w:eastAsia="ru-RU"/>
        </w:rPr>
        <w:t xml:space="preserve">Згідно з </w:t>
      </w:r>
      <w:r w:rsidR="00EF45CE" w:rsidRPr="00AC0C2F">
        <w:rPr>
          <w:rFonts w:eastAsia="Times New Roman"/>
          <w:lang w:eastAsia="ru-RU"/>
        </w:rPr>
        <w:t>пункт</w:t>
      </w:r>
      <w:r>
        <w:rPr>
          <w:rFonts w:eastAsia="Times New Roman"/>
          <w:lang w:eastAsia="ru-RU"/>
        </w:rPr>
        <w:t>ом</w:t>
      </w:r>
      <w:r w:rsidR="00EF45CE" w:rsidRPr="00AC0C2F">
        <w:rPr>
          <w:rFonts w:eastAsia="Times New Roman"/>
          <w:lang w:eastAsia="ru-RU"/>
        </w:rPr>
        <w:t xml:space="preserve"> 4 розділу VI «Прикінцеві положення» цього Закону</w:t>
      </w:r>
      <w:r>
        <w:rPr>
          <w:rFonts w:eastAsia="Times New Roman"/>
          <w:lang w:eastAsia="ru-RU"/>
        </w:rPr>
        <w:t xml:space="preserve"> </w:t>
      </w:r>
      <w:r w:rsidR="00366A39">
        <w:rPr>
          <w:rFonts w:eastAsia="Times New Roman"/>
          <w:lang w:eastAsia="ru-RU"/>
        </w:rPr>
        <w:t>т</w:t>
      </w:r>
      <w:r w:rsidR="00366A39" w:rsidRPr="00366A39">
        <w:rPr>
          <w:rFonts w:eastAsia="Times New Roman"/>
          <w:lang w:eastAsia="ru-RU"/>
        </w:rPr>
        <w:t>имчасово, до створення національної комісії, що здійснює державне регулювання у сфері транспорту, її функції та повноваження, визначені цим Законом, виконує центральний орган виконавчої влади, що забезпечує формування та реалізує державну політику у сферах морського і річкового транспорту.</w:t>
      </w:r>
    </w:p>
    <w:p w:rsidR="00EF45CE" w:rsidRPr="00AC0C2F" w:rsidRDefault="00366A39" w:rsidP="00734060">
      <w:pPr>
        <w:spacing w:line="259" w:lineRule="auto"/>
        <w:ind w:firstLine="567"/>
        <w:jc w:val="both"/>
        <w:rPr>
          <w:rFonts w:eastAsia="Times New Roman"/>
          <w:lang w:eastAsia="ru-RU"/>
        </w:rPr>
      </w:pPr>
      <w:r>
        <w:rPr>
          <w:rFonts w:eastAsia="Times New Roman"/>
          <w:lang w:eastAsia="ru-RU"/>
        </w:rPr>
        <w:t>П</w:t>
      </w:r>
      <w:r w:rsidR="00EF45CE" w:rsidRPr="00AC0C2F">
        <w:rPr>
          <w:rFonts w:eastAsia="Times New Roman"/>
          <w:lang w:eastAsia="ru-RU"/>
        </w:rPr>
        <w:t>ідпункт</w:t>
      </w:r>
      <w:r>
        <w:rPr>
          <w:rFonts w:eastAsia="Times New Roman"/>
          <w:lang w:eastAsia="ru-RU"/>
        </w:rPr>
        <w:t>ом</w:t>
      </w:r>
      <w:r w:rsidR="00EF45CE" w:rsidRPr="00AC0C2F">
        <w:rPr>
          <w:rFonts w:eastAsia="Times New Roman"/>
          <w:lang w:eastAsia="ru-RU"/>
        </w:rPr>
        <w:t xml:space="preserve"> «г» пункту 1 статті 1 Указу Президента України від 08.11.2019 № 837 «Про невідкладні заходи з проведення реформ та зміцнення держави»</w:t>
      </w:r>
      <w:r>
        <w:rPr>
          <w:rFonts w:eastAsia="Times New Roman"/>
          <w:lang w:eastAsia="ru-RU"/>
        </w:rPr>
        <w:t xml:space="preserve"> </w:t>
      </w:r>
      <w:r w:rsidRPr="00366A39">
        <w:rPr>
          <w:rFonts w:eastAsia="Times New Roman"/>
          <w:lang w:eastAsia="ru-RU"/>
        </w:rPr>
        <w:t xml:space="preserve">Кабінету Міністрів України </w:t>
      </w:r>
      <w:r>
        <w:rPr>
          <w:rFonts w:eastAsia="Times New Roman"/>
          <w:lang w:eastAsia="ru-RU"/>
        </w:rPr>
        <w:t xml:space="preserve">доручено </w:t>
      </w:r>
      <w:r w:rsidRPr="00366A39">
        <w:rPr>
          <w:rFonts w:eastAsia="Times New Roman"/>
          <w:lang w:eastAsia="ru-RU"/>
        </w:rPr>
        <w:t>вжити заходів</w:t>
      </w:r>
      <w:r>
        <w:rPr>
          <w:rFonts w:eastAsia="Times New Roman"/>
          <w:lang w:eastAsia="ru-RU"/>
        </w:rPr>
        <w:t xml:space="preserve"> </w:t>
      </w:r>
      <w:r w:rsidRPr="00366A39">
        <w:rPr>
          <w:rFonts w:eastAsia="Times New Roman"/>
          <w:lang w:eastAsia="ru-RU"/>
        </w:rPr>
        <w:t>стосовно</w:t>
      </w:r>
      <w:r>
        <w:rPr>
          <w:rFonts w:eastAsia="Times New Roman"/>
          <w:lang w:eastAsia="ru-RU"/>
        </w:rPr>
        <w:t xml:space="preserve"> </w:t>
      </w:r>
      <w:r w:rsidRPr="00366A39">
        <w:rPr>
          <w:rFonts w:eastAsia="Times New Roman"/>
          <w:lang w:eastAsia="ru-RU"/>
        </w:rPr>
        <w:t>оптимізації системи портових зборів та приведення їх до конкурентного рівня, у тому числі затвердження методики розрахунку розмірів ставок портових зборів, порядку справляння портових зборів та розмірів ставок таких зборів, порядку обліку та використання коштів від портових зборів</w:t>
      </w:r>
      <w:r w:rsidR="00EF45CE" w:rsidRPr="00AC0C2F">
        <w:rPr>
          <w:rFonts w:eastAsia="Times New Roman"/>
          <w:lang w:eastAsia="ru-RU"/>
        </w:rPr>
        <w:t>.</w:t>
      </w:r>
    </w:p>
    <w:p w:rsidR="00DC028C" w:rsidRDefault="00366A39" w:rsidP="00734060">
      <w:pPr>
        <w:spacing w:line="259" w:lineRule="auto"/>
        <w:ind w:firstLine="567"/>
        <w:jc w:val="both"/>
        <w:rPr>
          <w:rFonts w:eastAsia="Times New Roman"/>
          <w:lang w:eastAsia="ru-RU"/>
        </w:rPr>
      </w:pPr>
      <w:r>
        <w:rPr>
          <w:rFonts w:eastAsia="Times New Roman"/>
          <w:lang w:eastAsia="ru-RU"/>
        </w:rPr>
        <w:t>П</w:t>
      </w:r>
      <w:r w:rsidR="00DC028C" w:rsidRPr="00AC0C2F">
        <w:rPr>
          <w:rFonts w:eastAsia="Times New Roman"/>
          <w:lang w:eastAsia="ru-RU"/>
        </w:rPr>
        <w:t xml:space="preserve">ідпунктами 13 і 35 пункту 4 Положення про Міністерство інфраструктури України, затвердженого постановою Кабінету Міністрів України від 30.06.2015 № 460, встановлено, що Мінінфраструктури відповідно до покладених на нього завдань затверджує порядок справляння, обліку та використання коштів від сплати портових зборів, крім використання коштів від сплати адміністративного </w:t>
      </w:r>
      <w:r w:rsidR="00DC028C" w:rsidRPr="00AC0C2F">
        <w:rPr>
          <w:rFonts w:eastAsia="Times New Roman"/>
          <w:lang w:eastAsia="ru-RU"/>
        </w:rPr>
        <w:lastRenderedPageBreak/>
        <w:t>збору, затверджує методику розрахунку розмірів ставок портових зборів, які справляються у морських портах.</w:t>
      </w:r>
    </w:p>
    <w:p w:rsidR="00366A39" w:rsidRDefault="00E85214" w:rsidP="00734060">
      <w:pPr>
        <w:spacing w:line="259" w:lineRule="auto"/>
        <w:ind w:firstLine="567"/>
        <w:jc w:val="both"/>
        <w:rPr>
          <w:rFonts w:eastAsia="Times New Roman"/>
          <w:lang w:eastAsia="ru-RU"/>
        </w:rPr>
      </w:pPr>
      <w:r>
        <w:rPr>
          <w:rFonts w:eastAsia="Times New Roman"/>
          <w:lang w:eastAsia="ru-RU"/>
        </w:rPr>
        <w:t xml:space="preserve">Додатково слід зауважити, що </w:t>
      </w:r>
      <w:r w:rsidR="00F01716">
        <w:rPr>
          <w:rFonts w:eastAsia="Times New Roman"/>
          <w:lang w:eastAsia="ru-RU"/>
        </w:rPr>
        <w:t>відповідно до підпункт</w:t>
      </w:r>
      <w:r w:rsidR="00E80AA9">
        <w:rPr>
          <w:rFonts w:eastAsia="Times New Roman"/>
          <w:lang w:eastAsia="ru-RU"/>
        </w:rPr>
        <w:t>у</w:t>
      </w:r>
      <w:r w:rsidR="00F01716">
        <w:rPr>
          <w:rFonts w:eastAsia="Times New Roman"/>
          <w:lang w:eastAsia="ru-RU"/>
        </w:rPr>
        <w:t xml:space="preserve"> 34 </w:t>
      </w:r>
      <w:r w:rsidR="00F01716" w:rsidRPr="00AC0C2F">
        <w:rPr>
          <w:rFonts w:eastAsia="Times New Roman"/>
          <w:lang w:eastAsia="ru-RU"/>
        </w:rPr>
        <w:t>пункту 4</w:t>
      </w:r>
      <w:r w:rsidR="00F01716">
        <w:rPr>
          <w:rFonts w:eastAsia="Times New Roman"/>
          <w:lang w:eastAsia="ru-RU"/>
        </w:rPr>
        <w:t xml:space="preserve"> зазначеного Положення</w:t>
      </w:r>
      <w:r w:rsidR="00F01716" w:rsidRPr="00F01716">
        <w:rPr>
          <w:rFonts w:eastAsia="Times New Roman"/>
          <w:lang w:eastAsia="ru-RU"/>
        </w:rPr>
        <w:t xml:space="preserve"> </w:t>
      </w:r>
      <w:r w:rsidR="00F01716" w:rsidRPr="00AC0C2F">
        <w:rPr>
          <w:rFonts w:eastAsia="Times New Roman"/>
          <w:lang w:eastAsia="ru-RU"/>
        </w:rPr>
        <w:t>Мінінфраструктури відповідно до покладених на нього завдань</w:t>
      </w:r>
      <w:r w:rsidR="00F01716" w:rsidRPr="00F01716">
        <w:t xml:space="preserve"> </w:t>
      </w:r>
      <w:r w:rsidR="00F01716" w:rsidRPr="00F01716">
        <w:rPr>
          <w:rFonts w:eastAsia="Times New Roman"/>
          <w:lang w:eastAsia="ru-RU"/>
        </w:rPr>
        <w:t>установлює розміри ставок портових зборів у морських портах та на внутрішніх водних шляхах</w:t>
      </w:r>
      <w:r w:rsidR="00E80AA9">
        <w:rPr>
          <w:rFonts w:eastAsia="Times New Roman"/>
          <w:lang w:eastAsia="ru-RU"/>
        </w:rPr>
        <w:t>.</w:t>
      </w:r>
    </w:p>
    <w:p w:rsidR="00366A39" w:rsidRDefault="00E80AA9" w:rsidP="00734060">
      <w:pPr>
        <w:spacing w:line="259" w:lineRule="auto"/>
        <w:ind w:firstLine="567"/>
        <w:jc w:val="both"/>
        <w:rPr>
          <w:rFonts w:eastAsia="Times New Roman"/>
          <w:lang w:eastAsia="ru-RU"/>
        </w:rPr>
      </w:pPr>
      <w:r>
        <w:rPr>
          <w:rFonts w:eastAsia="Times New Roman"/>
          <w:lang w:eastAsia="ru-RU"/>
        </w:rPr>
        <w:t>Також</w:t>
      </w:r>
      <w:r w:rsidR="00AE2350">
        <w:rPr>
          <w:rFonts w:eastAsia="Times New Roman"/>
          <w:lang w:eastAsia="ru-RU"/>
        </w:rPr>
        <w:t xml:space="preserve"> слід зазначити, що згідно з підпунктом г пункту 2 Повноважень </w:t>
      </w:r>
      <w:r w:rsidR="00AE2350" w:rsidRPr="00AE2350">
        <w:rPr>
          <w:rFonts w:eastAsia="Times New Roman"/>
          <w:lang w:eastAsia="ru-RU"/>
        </w:rPr>
        <w:t>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виконавчих органів міських рад щодо регулювання цін і тарифів на окремі види продукції, товарів і послуг</w:t>
      </w:r>
      <w:r w:rsidR="00AE2350">
        <w:rPr>
          <w:rFonts w:eastAsia="Times New Roman"/>
          <w:lang w:eastAsia="ru-RU"/>
        </w:rPr>
        <w:t xml:space="preserve"> (д</w:t>
      </w:r>
      <w:r w:rsidR="00AE2350" w:rsidRPr="00AE2350">
        <w:rPr>
          <w:rFonts w:eastAsia="Times New Roman"/>
          <w:lang w:eastAsia="ru-RU"/>
        </w:rPr>
        <w:t>одаток до постанови Кабінету Міністрів України від 25</w:t>
      </w:r>
      <w:r w:rsidR="00AE2350">
        <w:rPr>
          <w:rFonts w:eastAsia="Times New Roman"/>
          <w:lang w:eastAsia="ru-RU"/>
        </w:rPr>
        <w:t>.12.</w:t>
      </w:r>
      <w:r w:rsidR="00AE2350" w:rsidRPr="00AE2350">
        <w:rPr>
          <w:rFonts w:eastAsia="Times New Roman"/>
          <w:lang w:eastAsia="ru-RU"/>
        </w:rPr>
        <w:t xml:space="preserve">96 </w:t>
      </w:r>
      <w:r w:rsidR="00AE2350">
        <w:rPr>
          <w:rFonts w:eastAsia="Times New Roman"/>
          <w:lang w:eastAsia="ru-RU"/>
        </w:rPr>
        <w:t>№ </w:t>
      </w:r>
      <w:r w:rsidR="00AE2350" w:rsidRPr="00AE2350">
        <w:rPr>
          <w:rFonts w:eastAsia="Times New Roman"/>
          <w:lang w:eastAsia="ru-RU"/>
        </w:rPr>
        <w:t>1548</w:t>
      </w:r>
      <w:r w:rsidR="00AE2350">
        <w:rPr>
          <w:rFonts w:eastAsia="Times New Roman"/>
          <w:lang w:eastAsia="ru-RU"/>
        </w:rPr>
        <w:t xml:space="preserve">, зі змінами) </w:t>
      </w:r>
      <w:r w:rsidR="00465AA2" w:rsidRPr="00465AA2">
        <w:rPr>
          <w:rFonts w:eastAsia="Times New Roman"/>
          <w:lang w:eastAsia="ru-RU"/>
        </w:rPr>
        <w:t>Мінінфраструктури</w:t>
      </w:r>
      <w:r w:rsidR="00465AA2">
        <w:rPr>
          <w:rFonts w:eastAsia="Times New Roman"/>
          <w:lang w:eastAsia="ru-RU"/>
        </w:rPr>
        <w:t xml:space="preserve"> </w:t>
      </w:r>
      <w:r w:rsidR="00465AA2" w:rsidRPr="00465AA2">
        <w:rPr>
          <w:rFonts w:eastAsia="Times New Roman"/>
          <w:lang w:eastAsia="ru-RU"/>
        </w:rPr>
        <w:t>за погодженням з Кабінетом Міністрів України тимчасово до утворення національної комісії, що здійснює державне регулювання у сфері транспорту, встановлює розміри ставок пор</w:t>
      </w:r>
      <w:r w:rsidR="00465AA2">
        <w:rPr>
          <w:rFonts w:eastAsia="Times New Roman"/>
          <w:lang w:eastAsia="ru-RU"/>
        </w:rPr>
        <w:t>тових зборів в іноземній валюті.</w:t>
      </w:r>
    </w:p>
    <w:p w:rsidR="00424088" w:rsidRPr="00AC0C2F" w:rsidRDefault="00424088" w:rsidP="00734060">
      <w:pPr>
        <w:keepNext/>
        <w:spacing w:before="280" w:after="280" w:line="259" w:lineRule="auto"/>
        <w:ind w:firstLine="567"/>
        <w:jc w:val="both"/>
        <w:rPr>
          <w:b/>
        </w:rPr>
      </w:pPr>
      <w:r w:rsidRPr="00AC0C2F">
        <w:rPr>
          <w:b/>
        </w:rPr>
        <w:t>5. Фінансово-економічне обґрунтування</w:t>
      </w:r>
    </w:p>
    <w:p w:rsidR="00CB568A" w:rsidRPr="00AC0C2F" w:rsidRDefault="00CB568A" w:rsidP="00734060">
      <w:pPr>
        <w:spacing w:line="259" w:lineRule="auto"/>
        <w:ind w:firstLine="567"/>
        <w:jc w:val="both"/>
        <w:rPr>
          <w:rFonts w:eastAsia="Times New Roman"/>
          <w:lang w:eastAsia="ru-RU"/>
        </w:rPr>
      </w:pPr>
      <w:r w:rsidRPr="00AC0C2F">
        <w:rPr>
          <w:rFonts w:eastAsia="Times New Roman"/>
          <w:lang w:eastAsia="ru-RU"/>
        </w:rPr>
        <w:t xml:space="preserve">Реалізація акта не потребує фінансування з державного чи місцевого бюджетів. </w:t>
      </w:r>
    </w:p>
    <w:p w:rsidR="00CB568A" w:rsidRPr="00AC0C2F" w:rsidRDefault="00CB568A" w:rsidP="00734060">
      <w:pPr>
        <w:spacing w:line="259" w:lineRule="auto"/>
        <w:ind w:firstLine="567"/>
        <w:jc w:val="both"/>
        <w:rPr>
          <w:rFonts w:eastAsia="Times New Roman"/>
          <w:lang w:eastAsia="ru-RU"/>
        </w:rPr>
      </w:pPr>
      <w:r w:rsidRPr="00AC0C2F">
        <w:rPr>
          <w:rFonts w:eastAsia="Times New Roman"/>
          <w:lang w:eastAsia="ru-RU"/>
        </w:rPr>
        <w:t>Проєкт Наказу не передбачає надання державної допомоги суб’єктам господарювання, та дія Закону України «</w:t>
      </w:r>
      <w:r w:rsidRPr="00AC0C2F">
        <w:rPr>
          <w:color w:val="000000"/>
          <w:shd w:val="clear" w:color="auto" w:fill="FFFFFF"/>
        </w:rPr>
        <w:t>Про державну допомогу суб’єктам господарювання» не поширюється на будь-яку підтримку суб’єктів господарювання за рахунок ресурсів держави чи місцевих ресурсів для виробництва товарів або провадження окремих видів господарської діяльності</w:t>
      </w:r>
      <w:r w:rsidRPr="00AC0C2F">
        <w:rPr>
          <w:rFonts w:eastAsia="Times New Roman"/>
          <w:lang w:eastAsia="ru-RU"/>
        </w:rPr>
        <w:t>.</w:t>
      </w:r>
    </w:p>
    <w:p w:rsidR="00424088" w:rsidRPr="00AC0C2F" w:rsidRDefault="00424088" w:rsidP="00734060">
      <w:pPr>
        <w:keepNext/>
        <w:spacing w:before="280" w:after="280" w:line="259" w:lineRule="auto"/>
        <w:ind w:firstLine="567"/>
        <w:jc w:val="both"/>
        <w:rPr>
          <w:b/>
        </w:rPr>
      </w:pPr>
      <w:r w:rsidRPr="00AC0C2F">
        <w:rPr>
          <w:b/>
        </w:rPr>
        <w:t>6. Позиція заінтересованих сторін</w:t>
      </w:r>
    </w:p>
    <w:p w:rsidR="00CB568A" w:rsidRPr="00AC0C2F" w:rsidRDefault="00CB568A" w:rsidP="00734060">
      <w:pPr>
        <w:spacing w:line="259" w:lineRule="auto"/>
        <w:ind w:firstLine="567"/>
        <w:jc w:val="both"/>
      </w:pPr>
      <w:r w:rsidRPr="00AC0C2F">
        <w:t>Проєкт наказу не стосується питань функціонування місцевого самоврядування, прав та інтересів територіальних громад, місцевого та регіонального розвитку, соціально трудової сфери, прав інвалідів і не потребує погодження з уповноваженими представниками від всеукраїнських профспілок, їх об’єднань, всеукраїнських об’єднань організацій роботодавців, сфери наукової та науково-технічної діяльності, питання розвитку адміністративно-територіальних одиниць.</w:t>
      </w:r>
    </w:p>
    <w:p w:rsidR="00CB568A" w:rsidRPr="00AC0C2F" w:rsidRDefault="00CB568A" w:rsidP="00734060">
      <w:pPr>
        <w:spacing w:line="259" w:lineRule="auto"/>
        <w:ind w:firstLine="567"/>
        <w:jc w:val="both"/>
        <w:rPr>
          <w:rFonts w:eastAsia="Times New Roman"/>
          <w:lang w:eastAsia="ru-RU"/>
        </w:rPr>
      </w:pPr>
      <w:r w:rsidRPr="00AC0C2F">
        <w:rPr>
          <w:rFonts w:eastAsia="Times New Roman"/>
          <w:lang w:eastAsia="ru-RU"/>
        </w:rPr>
        <w:t xml:space="preserve">Проєкт Наказу було оприлюднено на офіційному веб-сайті Міністерства інфраструктури України (http://www.mtu.gov.ua) з метою отримання зауважень та пропозицій до нього від фізичних та юридичних осіб, їх об’єднань. </w:t>
      </w:r>
    </w:p>
    <w:p w:rsidR="00424088" w:rsidRPr="00AC0C2F" w:rsidRDefault="00424088" w:rsidP="00734060">
      <w:pPr>
        <w:keepNext/>
        <w:spacing w:before="280" w:after="280" w:line="259" w:lineRule="auto"/>
        <w:ind w:firstLine="567"/>
        <w:jc w:val="both"/>
        <w:rPr>
          <w:b/>
        </w:rPr>
      </w:pPr>
      <w:r w:rsidRPr="00AC0C2F">
        <w:rPr>
          <w:b/>
        </w:rPr>
        <w:t>7. Оцінка відповідності</w:t>
      </w:r>
    </w:p>
    <w:p w:rsidR="00424088" w:rsidRPr="00AC0C2F" w:rsidRDefault="00CB568A" w:rsidP="00734060">
      <w:pPr>
        <w:spacing w:line="259" w:lineRule="auto"/>
        <w:ind w:firstLine="567"/>
        <w:jc w:val="both"/>
        <w:rPr>
          <w:rFonts w:eastAsia="Times New Roman"/>
          <w:lang w:eastAsia="ru-RU"/>
        </w:rPr>
      </w:pPr>
      <w:r>
        <w:rPr>
          <w:rFonts w:eastAsia="Times New Roman"/>
          <w:lang w:eastAsia="ru-RU"/>
        </w:rPr>
        <w:t xml:space="preserve">У проєкті </w:t>
      </w:r>
      <w:r w:rsidR="000B138B">
        <w:rPr>
          <w:rFonts w:eastAsia="Times New Roman"/>
          <w:lang w:eastAsia="ru-RU"/>
        </w:rPr>
        <w:t xml:space="preserve">наказу відсутні </w:t>
      </w:r>
      <w:r w:rsidR="00424088" w:rsidRPr="00AC0C2F">
        <w:rPr>
          <w:rFonts w:eastAsia="Times New Roman"/>
          <w:lang w:eastAsia="ru-RU"/>
        </w:rPr>
        <w:t>положен</w:t>
      </w:r>
      <w:r w:rsidR="000B138B">
        <w:rPr>
          <w:rFonts w:eastAsia="Times New Roman"/>
          <w:lang w:eastAsia="ru-RU"/>
        </w:rPr>
        <w:t xml:space="preserve">ня, що </w:t>
      </w:r>
      <w:r w:rsidR="00424088" w:rsidRPr="00AC0C2F">
        <w:rPr>
          <w:rFonts w:eastAsia="Times New Roman"/>
          <w:lang w:eastAsia="ru-RU"/>
        </w:rPr>
        <w:t xml:space="preserve">стосуються зобов’язань України </w:t>
      </w:r>
      <w:r w:rsidR="000B138B">
        <w:rPr>
          <w:rFonts w:eastAsia="Times New Roman"/>
          <w:lang w:eastAsia="ru-RU"/>
        </w:rPr>
        <w:t xml:space="preserve">у сфері європейської інтеграції, </w:t>
      </w:r>
      <w:r w:rsidR="00424088" w:rsidRPr="00AC0C2F">
        <w:rPr>
          <w:rFonts w:eastAsia="Times New Roman"/>
          <w:lang w:eastAsia="ru-RU"/>
        </w:rPr>
        <w:t xml:space="preserve">стосуються прав та свобод, гарантованих </w:t>
      </w:r>
      <w:r w:rsidR="00424088" w:rsidRPr="00AC0C2F">
        <w:rPr>
          <w:rFonts w:eastAsia="Times New Roman"/>
          <w:lang w:eastAsia="ru-RU"/>
        </w:rPr>
        <w:lastRenderedPageBreak/>
        <w:t>Конвенцією про захист прав</w:t>
      </w:r>
      <w:r w:rsidR="000B138B">
        <w:rPr>
          <w:rFonts w:eastAsia="Times New Roman"/>
          <w:lang w:eastAsia="ru-RU"/>
        </w:rPr>
        <w:t xml:space="preserve"> людини і основоположних свобод, </w:t>
      </w:r>
      <w:r w:rsidR="00424088" w:rsidRPr="00AC0C2F">
        <w:rPr>
          <w:rFonts w:eastAsia="Times New Roman"/>
          <w:lang w:eastAsia="ru-RU"/>
        </w:rPr>
        <w:t>впливають на забезпечення рівних прав т</w:t>
      </w:r>
      <w:r w:rsidR="000B138B">
        <w:rPr>
          <w:rFonts w:eastAsia="Times New Roman"/>
          <w:lang w:eastAsia="ru-RU"/>
        </w:rPr>
        <w:t xml:space="preserve">а можливостей жінок і чоловіків, </w:t>
      </w:r>
      <w:r w:rsidR="00424088" w:rsidRPr="00AC0C2F">
        <w:rPr>
          <w:rFonts w:eastAsia="Times New Roman"/>
          <w:lang w:eastAsia="ru-RU"/>
        </w:rPr>
        <w:t>містять ризики вчинення корупційних правопорушень та правоп</w:t>
      </w:r>
      <w:r w:rsidR="000B138B">
        <w:rPr>
          <w:rFonts w:eastAsia="Times New Roman"/>
          <w:lang w:eastAsia="ru-RU"/>
        </w:rPr>
        <w:t xml:space="preserve">орушень, пов’язаних з корупцією, </w:t>
      </w:r>
      <w:r w:rsidR="00424088" w:rsidRPr="00AC0C2F">
        <w:rPr>
          <w:rFonts w:eastAsia="Times New Roman"/>
          <w:lang w:eastAsia="ru-RU"/>
        </w:rPr>
        <w:t>створюють підстави для дискримінації.</w:t>
      </w:r>
    </w:p>
    <w:p w:rsidR="00424088" w:rsidRPr="00AC0C2F" w:rsidRDefault="00424088" w:rsidP="00734060">
      <w:pPr>
        <w:keepNext/>
        <w:spacing w:before="280" w:after="280" w:line="259" w:lineRule="auto"/>
        <w:ind w:firstLine="567"/>
        <w:jc w:val="both"/>
        <w:rPr>
          <w:b/>
        </w:rPr>
      </w:pPr>
      <w:r w:rsidRPr="00AC0C2F">
        <w:rPr>
          <w:b/>
        </w:rPr>
        <w:t>8. Прогноз результатів</w:t>
      </w:r>
    </w:p>
    <w:p w:rsidR="00EA26FF" w:rsidRPr="00AC0C2F" w:rsidRDefault="00EA26FF" w:rsidP="00734060">
      <w:pPr>
        <w:spacing w:line="259" w:lineRule="auto"/>
        <w:ind w:firstLine="567"/>
        <w:jc w:val="both"/>
        <w:rPr>
          <w:shd w:val="clear" w:color="auto" w:fill="FFFFFF"/>
        </w:rPr>
      </w:pPr>
      <w:r w:rsidRPr="00AC0C2F">
        <w:rPr>
          <w:color w:val="000000"/>
        </w:rPr>
        <w:t xml:space="preserve">Із встановленням </w:t>
      </w:r>
      <w:r w:rsidRPr="00AC0C2F">
        <w:rPr>
          <w:rStyle w:val="xfm14295782"/>
          <w:color w:val="000000"/>
          <w:szCs w:val="28"/>
        </w:rPr>
        <w:t>економічно обґрунтованого підходу до розрахунку розмірів ставок портових зборів</w:t>
      </w:r>
      <w:r w:rsidRPr="00AC0C2F">
        <w:rPr>
          <w:shd w:val="clear" w:color="auto" w:fill="FFFFFF"/>
        </w:rPr>
        <w:t xml:space="preserve"> буде створено конкурентний та ефективний ринок з прозорими умовами для якісної роботи портових операторів, виробників продукції, перевізників та судновласників; </w:t>
      </w:r>
      <w:r w:rsidRPr="00AC0C2F">
        <w:rPr>
          <w:color w:val="000000"/>
        </w:rPr>
        <w:t>підвищено рівень безпеки мореплавства, забезпечено високий рівень охорони людського життя на морі та на внутрішніх водних шляхах відповідно до передових світових стандартів.</w:t>
      </w:r>
    </w:p>
    <w:p w:rsidR="007E63F1" w:rsidRPr="00AC0C2F" w:rsidRDefault="007E63F1" w:rsidP="00734060">
      <w:pPr>
        <w:widowControl w:val="0"/>
        <w:shd w:val="clear" w:color="auto" w:fill="FFFFFF"/>
        <w:tabs>
          <w:tab w:val="left" w:pos="720"/>
          <w:tab w:val="left" w:pos="900"/>
          <w:tab w:val="left" w:pos="974"/>
        </w:tabs>
        <w:autoSpaceDE w:val="0"/>
        <w:autoSpaceDN w:val="0"/>
        <w:adjustRightInd w:val="0"/>
        <w:spacing w:line="259" w:lineRule="auto"/>
        <w:ind w:firstLine="567"/>
        <w:jc w:val="both"/>
        <w:rPr>
          <w:szCs w:val="28"/>
        </w:rPr>
      </w:pPr>
    </w:p>
    <w:p w:rsidR="006B78EF" w:rsidRPr="00AC0C2F" w:rsidRDefault="006B78EF" w:rsidP="00734060">
      <w:pPr>
        <w:tabs>
          <w:tab w:val="left" w:pos="720"/>
          <w:tab w:val="left" w:pos="7515"/>
        </w:tabs>
        <w:spacing w:line="259" w:lineRule="auto"/>
        <w:ind w:firstLine="567"/>
        <w:jc w:val="both"/>
        <w:rPr>
          <w:szCs w:val="28"/>
        </w:rPr>
      </w:pPr>
      <w:bookmarkStart w:id="3" w:name="_GoBack"/>
      <w:bookmarkEnd w:id="3"/>
    </w:p>
    <w:p w:rsidR="00EB1734" w:rsidRPr="00AC0C2F" w:rsidRDefault="008E015A" w:rsidP="00734060">
      <w:pPr>
        <w:tabs>
          <w:tab w:val="right" w:pos="9582"/>
        </w:tabs>
        <w:spacing w:line="259" w:lineRule="auto"/>
        <w:rPr>
          <w:szCs w:val="28"/>
        </w:rPr>
      </w:pPr>
      <w:r w:rsidRPr="00AC0C2F">
        <w:rPr>
          <w:szCs w:val="28"/>
        </w:rPr>
        <w:t>Міністр</w:t>
      </w:r>
      <w:r w:rsidR="00630C83" w:rsidRPr="00AC0C2F">
        <w:rPr>
          <w:szCs w:val="28"/>
        </w:rPr>
        <w:t xml:space="preserve"> інфраструктури України</w:t>
      </w:r>
      <w:r w:rsidR="00BC1C9D" w:rsidRPr="00AC0C2F">
        <w:rPr>
          <w:szCs w:val="28"/>
        </w:rPr>
        <w:tab/>
      </w:r>
      <w:r w:rsidR="00B5409D" w:rsidRPr="00AC0C2F">
        <w:rPr>
          <w:szCs w:val="28"/>
        </w:rPr>
        <w:t>В</w:t>
      </w:r>
      <w:r w:rsidR="00BC1C9D" w:rsidRPr="00AC0C2F">
        <w:rPr>
          <w:szCs w:val="28"/>
        </w:rPr>
        <w:t>ладислав</w:t>
      </w:r>
      <w:r w:rsidR="00B5409D" w:rsidRPr="00AC0C2F">
        <w:rPr>
          <w:szCs w:val="28"/>
        </w:rPr>
        <w:t xml:space="preserve"> </w:t>
      </w:r>
      <w:r w:rsidR="00FC7C17" w:rsidRPr="00AC0C2F">
        <w:rPr>
          <w:szCs w:val="28"/>
        </w:rPr>
        <w:t>КРИКЛІЙ</w:t>
      </w:r>
    </w:p>
    <w:p w:rsidR="00A00FD9" w:rsidRPr="00AC0C2F" w:rsidRDefault="00A00FD9" w:rsidP="00734060">
      <w:pPr>
        <w:tabs>
          <w:tab w:val="left" w:pos="720"/>
          <w:tab w:val="left" w:pos="900"/>
        </w:tabs>
        <w:spacing w:line="259" w:lineRule="auto"/>
        <w:rPr>
          <w:szCs w:val="28"/>
        </w:rPr>
      </w:pPr>
    </w:p>
    <w:p w:rsidR="00A00FD9" w:rsidRPr="00AC0C2F" w:rsidRDefault="00197471" w:rsidP="00734060">
      <w:pPr>
        <w:tabs>
          <w:tab w:val="left" w:pos="720"/>
          <w:tab w:val="left" w:pos="900"/>
        </w:tabs>
        <w:spacing w:line="259" w:lineRule="auto"/>
        <w:jc w:val="both"/>
        <w:rPr>
          <w:szCs w:val="28"/>
        </w:rPr>
      </w:pPr>
      <w:r w:rsidRPr="00AC0C2F">
        <w:rPr>
          <w:szCs w:val="28"/>
        </w:rPr>
        <w:t>«</w:t>
      </w:r>
      <w:r w:rsidR="00500476" w:rsidRPr="00AC0C2F">
        <w:rPr>
          <w:szCs w:val="28"/>
        </w:rPr>
        <w:t>____</w:t>
      </w:r>
      <w:r w:rsidRPr="00AC0C2F">
        <w:rPr>
          <w:szCs w:val="28"/>
        </w:rPr>
        <w:t xml:space="preserve">» </w:t>
      </w:r>
      <w:r w:rsidR="0089741D" w:rsidRPr="00AC0C2F">
        <w:rPr>
          <w:szCs w:val="28"/>
        </w:rPr>
        <w:t>__________</w:t>
      </w:r>
      <w:r w:rsidR="004E0E75" w:rsidRPr="00AC0C2F">
        <w:rPr>
          <w:szCs w:val="28"/>
        </w:rPr>
        <w:t>___</w:t>
      </w:r>
      <w:r w:rsidR="0089741D" w:rsidRPr="00AC0C2F">
        <w:rPr>
          <w:szCs w:val="28"/>
        </w:rPr>
        <w:t xml:space="preserve"> 20</w:t>
      </w:r>
      <w:r w:rsidR="00FC7C17" w:rsidRPr="00AC0C2F">
        <w:rPr>
          <w:szCs w:val="28"/>
        </w:rPr>
        <w:t>20</w:t>
      </w:r>
      <w:r w:rsidR="00A00FD9" w:rsidRPr="00AC0C2F">
        <w:rPr>
          <w:szCs w:val="28"/>
        </w:rPr>
        <w:t xml:space="preserve"> р.</w:t>
      </w:r>
    </w:p>
    <w:sectPr w:rsidR="00A00FD9" w:rsidRPr="00AC0C2F" w:rsidSect="00BC1C9D">
      <w:headerReference w:type="even" r:id="rId8"/>
      <w:headerReference w:type="default" r:id="rId9"/>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3A1" w:rsidRDefault="00BC73A1">
      <w:r>
        <w:separator/>
      </w:r>
    </w:p>
  </w:endnote>
  <w:endnote w:type="continuationSeparator" w:id="0">
    <w:p w:rsidR="00BC73A1" w:rsidRDefault="00BC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3A1" w:rsidRDefault="00BC73A1">
      <w:r>
        <w:separator/>
      </w:r>
    </w:p>
  </w:footnote>
  <w:footnote w:type="continuationSeparator" w:id="0">
    <w:p w:rsidR="00BC73A1" w:rsidRDefault="00BC7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F8" w:rsidRDefault="00584DF8" w:rsidP="00BD0B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4DF8" w:rsidRDefault="00584D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F8" w:rsidRDefault="00584DF8">
    <w:pPr>
      <w:pStyle w:val="a3"/>
      <w:jc w:val="center"/>
    </w:pPr>
    <w:r>
      <w:fldChar w:fldCharType="begin"/>
    </w:r>
    <w:r>
      <w:instrText>PAGE   \* MERGEFORMAT</w:instrText>
    </w:r>
    <w:r>
      <w:fldChar w:fldCharType="separate"/>
    </w:r>
    <w:r w:rsidR="00734060" w:rsidRPr="00734060">
      <w:rPr>
        <w:noProof/>
        <w:lang w:val="ru-RU"/>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0EA7"/>
    <w:multiLevelType w:val="hybridMultilevel"/>
    <w:tmpl w:val="C9DA6464"/>
    <w:lvl w:ilvl="0" w:tplc="0419000F">
      <w:start w:val="1"/>
      <w:numFmt w:val="decimal"/>
      <w:lvlText w:val="%1."/>
      <w:lvlJc w:val="left"/>
      <w:pPr>
        <w:tabs>
          <w:tab w:val="num" w:pos="1211"/>
        </w:tabs>
        <w:ind w:left="1211" w:hanging="360"/>
      </w:pPr>
      <w:rPr>
        <w:rFonts w:cs="Times New Roman"/>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 w15:restartNumberingAfterBreak="0">
    <w:nsid w:val="0BDC26E7"/>
    <w:multiLevelType w:val="hybridMultilevel"/>
    <w:tmpl w:val="99386C9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2093968"/>
    <w:multiLevelType w:val="hybridMultilevel"/>
    <w:tmpl w:val="26644856"/>
    <w:lvl w:ilvl="0" w:tplc="8AA08726">
      <w:start w:val="3"/>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A244561"/>
    <w:multiLevelType w:val="hybridMultilevel"/>
    <w:tmpl w:val="7D3846B4"/>
    <w:lvl w:ilvl="0" w:tplc="D0F03B0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E480556"/>
    <w:multiLevelType w:val="multilevel"/>
    <w:tmpl w:val="E5B27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423FA7"/>
    <w:multiLevelType w:val="hybridMultilevel"/>
    <w:tmpl w:val="CF4872F6"/>
    <w:lvl w:ilvl="0" w:tplc="B0FA151A">
      <w:start w:val="3"/>
      <w:numFmt w:val="bullet"/>
      <w:lvlText w:val="-"/>
      <w:lvlJc w:val="left"/>
      <w:pPr>
        <w:tabs>
          <w:tab w:val="num" w:pos="1080"/>
        </w:tabs>
        <w:ind w:left="1080" w:hanging="360"/>
      </w:pPr>
      <w:rPr>
        <w:rFonts w:ascii="Times New Roman" w:eastAsia="Calibri"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84A04D3"/>
    <w:multiLevelType w:val="multilevel"/>
    <w:tmpl w:val="6980BE94"/>
    <w:lvl w:ilvl="0">
      <w:start w:val="1"/>
      <w:numFmt w:val="decimal"/>
      <w:lvlText w:val="%1."/>
      <w:lvlJc w:val="left"/>
      <w:pPr>
        <w:ind w:left="615" w:hanging="615"/>
      </w:pPr>
      <w:rPr>
        <w:rFonts w:hint="default"/>
        <w:color w:val="000000"/>
      </w:rPr>
    </w:lvl>
    <w:lvl w:ilvl="1">
      <w:start w:val="1"/>
      <w:numFmt w:val="decimal"/>
      <w:lvlText w:val="%1.%2."/>
      <w:lvlJc w:val="left"/>
      <w:pPr>
        <w:ind w:left="1170" w:hanging="72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430" w:hanging="108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690" w:hanging="1440"/>
      </w:pPr>
      <w:rPr>
        <w:rFonts w:hint="default"/>
        <w:color w:val="000000"/>
      </w:rPr>
    </w:lvl>
    <w:lvl w:ilvl="6">
      <w:start w:val="1"/>
      <w:numFmt w:val="decimal"/>
      <w:lvlText w:val="%1.%2.%3.%4.%5.%6.%7."/>
      <w:lvlJc w:val="left"/>
      <w:pPr>
        <w:ind w:left="4500" w:hanging="1800"/>
      </w:pPr>
      <w:rPr>
        <w:rFonts w:hint="default"/>
        <w:color w:val="000000"/>
      </w:rPr>
    </w:lvl>
    <w:lvl w:ilvl="7">
      <w:start w:val="1"/>
      <w:numFmt w:val="decimal"/>
      <w:lvlText w:val="%1.%2.%3.%4.%5.%6.%7.%8."/>
      <w:lvlJc w:val="left"/>
      <w:pPr>
        <w:ind w:left="4950" w:hanging="1800"/>
      </w:pPr>
      <w:rPr>
        <w:rFonts w:hint="default"/>
        <w:color w:val="000000"/>
      </w:rPr>
    </w:lvl>
    <w:lvl w:ilvl="8">
      <w:start w:val="1"/>
      <w:numFmt w:val="decimal"/>
      <w:lvlText w:val="%1.%2.%3.%4.%5.%6.%7.%8.%9."/>
      <w:lvlJc w:val="left"/>
      <w:pPr>
        <w:ind w:left="5760" w:hanging="216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94"/>
    <w:rsid w:val="0000353F"/>
    <w:rsid w:val="00010283"/>
    <w:rsid w:val="000107F8"/>
    <w:rsid w:val="00022206"/>
    <w:rsid w:val="0004465D"/>
    <w:rsid w:val="000476BF"/>
    <w:rsid w:val="000569C2"/>
    <w:rsid w:val="00080BA7"/>
    <w:rsid w:val="00081BB5"/>
    <w:rsid w:val="0008651C"/>
    <w:rsid w:val="00086E80"/>
    <w:rsid w:val="000906A8"/>
    <w:rsid w:val="00096FB5"/>
    <w:rsid w:val="000A2DC4"/>
    <w:rsid w:val="000A302E"/>
    <w:rsid w:val="000B138B"/>
    <w:rsid w:val="000B6432"/>
    <w:rsid w:val="000B6FF0"/>
    <w:rsid w:val="000D007B"/>
    <w:rsid w:val="000D4480"/>
    <w:rsid w:val="000E23D2"/>
    <w:rsid w:val="000F42B6"/>
    <w:rsid w:val="000F5ACC"/>
    <w:rsid w:val="000F6A22"/>
    <w:rsid w:val="00107B0E"/>
    <w:rsid w:val="001172DA"/>
    <w:rsid w:val="0011786B"/>
    <w:rsid w:val="001231DE"/>
    <w:rsid w:val="00137ED8"/>
    <w:rsid w:val="00140F7D"/>
    <w:rsid w:val="001413C5"/>
    <w:rsid w:val="00144DFB"/>
    <w:rsid w:val="00155C2C"/>
    <w:rsid w:val="001561F4"/>
    <w:rsid w:val="001713F0"/>
    <w:rsid w:val="00171C82"/>
    <w:rsid w:val="001824F2"/>
    <w:rsid w:val="0018528B"/>
    <w:rsid w:val="0018552F"/>
    <w:rsid w:val="0019525C"/>
    <w:rsid w:val="00195639"/>
    <w:rsid w:val="00197471"/>
    <w:rsid w:val="001A158D"/>
    <w:rsid w:val="001A4696"/>
    <w:rsid w:val="001B6E16"/>
    <w:rsid w:val="001C2114"/>
    <w:rsid w:val="001D15AF"/>
    <w:rsid w:val="001E0B7E"/>
    <w:rsid w:val="001E5E65"/>
    <w:rsid w:val="001F10CC"/>
    <w:rsid w:val="001F282B"/>
    <w:rsid w:val="002067ED"/>
    <w:rsid w:val="00210A62"/>
    <w:rsid w:val="00213C35"/>
    <w:rsid w:val="0022193C"/>
    <w:rsid w:val="00221DC4"/>
    <w:rsid w:val="00222B5F"/>
    <w:rsid w:val="002255D1"/>
    <w:rsid w:val="00227209"/>
    <w:rsid w:val="00230463"/>
    <w:rsid w:val="0023539C"/>
    <w:rsid w:val="00256342"/>
    <w:rsid w:val="00260974"/>
    <w:rsid w:val="0026195F"/>
    <w:rsid w:val="00280107"/>
    <w:rsid w:val="00290624"/>
    <w:rsid w:val="00290B92"/>
    <w:rsid w:val="00293813"/>
    <w:rsid w:val="002A21D2"/>
    <w:rsid w:val="002D2A46"/>
    <w:rsid w:val="002E2F6E"/>
    <w:rsid w:val="002E44B2"/>
    <w:rsid w:val="002E752D"/>
    <w:rsid w:val="002F10E0"/>
    <w:rsid w:val="00307A35"/>
    <w:rsid w:val="00314BF3"/>
    <w:rsid w:val="00321AC4"/>
    <w:rsid w:val="0034631A"/>
    <w:rsid w:val="00353940"/>
    <w:rsid w:val="00354DFD"/>
    <w:rsid w:val="003567BF"/>
    <w:rsid w:val="003618E7"/>
    <w:rsid w:val="00366A39"/>
    <w:rsid w:val="003705FE"/>
    <w:rsid w:val="00370950"/>
    <w:rsid w:val="00372E5F"/>
    <w:rsid w:val="003817A5"/>
    <w:rsid w:val="0039114A"/>
    <w:rsid w:val="003970B2"/>
    <w:rsid w:val="003A21BD"/>
    <w:rsid w:val="003B03C7"/>
    <w:rsid w:val="003C4F50"/>
    <w:rsid w:val="003F18A5"/>
    <w:rsid w:val="003F2416"/>
    <w:rsid w:val="00411948"/>
    <w:rsid w:val="00417038"/>
    <w:rsid w:val="00421B8F"/>
    <w:rsid w:val="00424088"/>
    <w:rsid w:val="00425F90"/>
    <w:rsid w:val="00451983"/>
    <w:rsid w:val="00465AA2"/>
    <w:rsid w:val="00475C06"/>
    <w:rsid w:val="00481860"/>
    <w:rsid w:val="0048509C"/>
    <w:rsid w:val="0048759F"/>
    <w:rsid w:val="0049584A"/>
    <w:rsid w:val="004966E7"/>
    <w:rsid w:val="004A1663"/>
    <w:rsid w:val="004A5B4B"/>
    <w:rsid w:val="004A6019"/>
    <w:rsid w:val="004C414B"/>
    <w:rsid w:val="004E0E75"/>
    <w:rsid w:val="004E7BCF"/>
    <w:rsid w:val="004F4C7F"/>
    <w:rsid w:val="00500476"/>
    <w:rsid w:val="005071D6"/>
    <w:rsid w:val="00512FA9"/>
    <w:rsid w:val="00527E0E"/>
    <w:rsid w:val="00527FC3"/>
    <w:rsid w:val="005411BC"/>
    <w:rsid w:val="00551FCD"/>
    <w:rsid w:val="00561306"/>
    <w:rsid w:val="00562E3C"/>
    <w:rsid w:val="00582499"/>
    <w:rsid w:val="00584DF8"/>
    <w:rsid w:val="00596489"/>
    <w:rsid w:val="005A0BF7"/>
    <w:rsid w:val="005B536A"/>
    <w:rsid w:val="005C3F54"/>
    <w:rsid w:val="005D72FD"/>
    <w:rsid w:val="005D7B2E"/>
    <w:rsid w:val="005F684D"/>
    <w:rsid w:val="005F68A1"/>
    <w:rsid w:val="00602F30"/>
    <w:rsid w:val="006038E8"/>
    <w:rsid w:val="0060442A"/>
    <w:rsid w:val="006160E9"/>
    <w:rsid w:val="00623002"/>
    <w:rsid w:val="00627101"/>
    <w:rsid w:val="00630695"/>
    <w:rsid w:val="00630C83"/>
    <w:rsid w:val="00632501"/>
    <w:rsid w:val="006453FD"/>
    <w:rsid w:val="00655B57"/>
    <w:rsid w:val="0067493D"/>
    <w:rsid w:val="006870EF"/>
    <w:rsid w:val="00693D39"/>
    <w:rsid w:val="006A715F"/>
    <w:rsid w:val="006B78EF"/>
    <w:rsid w:val="006D29F4"/>
    <w:rsid w:val="006E1037"/>
    <w:rsid w:val="006F6AD8"/>
    <w:rsid w:val="00701F1E"/>
    <w:rsid w:val="00706274"/>
    <w:rsid w:val="00717682"/>
    <w:rsid w:val="00721BE4"/>
    <w:rsid w:val="00726A97"/>
    <w:rsid w:val="00734060"/>
    <w:rsid w:val="00760191"/>
    <w:rsid w:val="007618B1"/>
    <w:rsid w:val="00780E9F"/>
    <w:rsid w:val="00785F0B"/>
    <w:rsid w:val="00786880"/>
    <w:rsid w:val="007E381A"/>
    <w:rsid w:val="007E63F1"/>
    <w:rsid w:val="008055B6"/>
    <w:rsid w:val="008166FA"/>
    <w:rsid w:val="008274D2"/>
    <w:rsid w:val="00831F59"/>
    <w:rsid w:val="0083218C"/>
    <w:rsid w:val="00836CE4"/>
    <w:rsid w:val="00840E6C"/>
    <w:rsid w:val="00843F7E"/>
    <w:rsid w:val="00870F5F"/>
    <w:rsid w:val="00877E73"/>
    <w:rsid w:val="0088117F"/>
    <w:rsid w:val="00887794"/>
    <w:rsid w:val="0089741D"/>
    <w:rsid w:val="008B184A"/>
    <w:rsid w:val="008B58C1"/>
    <w:rsid w:val="008D287C"/>
    <w:rsid w:val="008E015A"/>
    <w:rsid w:val="008F06BD"/>
    <w:rsid w:val="008F1954"/>
    <w:rsid w:val="0090439E"/>
    <w:rsid w:val="00905561"/>
    <w:rsid w:val="00930098"/>
    <w:rsid w:val="00933A65"/>
    <w:rsid w:val="00933FE3"/>
    <w:rsid w:val="009412C7"/>
    <w:rsid w:val="00950349"/>
    <w:rsid w:val="0096344D"/>
    <w:rsid w:val="009674D2"/>
    <w:rsid w:val="00974F7D"/>
    <w:rsid w:val="00990378"/>
    <w:rsid w:val="00991436"/>
    <w:rsid w:val="0099478A"/>
    <w:rsid w:val="009B27A6"/>
    <w:rsid w:val="009B4D23"/>
    <w:rsid w:val="009B777F"/>
    <w:rsid w:val="009C613D"/>
    <w:rsid w:val="009C66BA"/>
    <w:rsid w:val="00A00FD9"/>
    <w:rsid w:val="00A030AC"/>
    <w:rsid w:val="00A173F1"/>
    <w:rsid w:val="00A2476E"/>
    <w:rsid w:val="00A274B4"/>
    <w:rsid w:val="00A41CA9"/>
    <w:rsid w:val="00A45D90"/>
    <w:rsid w:val="00A53517"/>
    <w:rsid w:val="00A62660"/>
    <w:rsid w:val="00A71C98"/>
    <w:rsid w:val="00A87B6F"/>
    <w:rsid w:val="00AA1F49"/>
    <w:rsid w:val="00AA1FB8"/>
    <w:rsid w:val="00AA6812"/>
    <w:rsid w:val="00AB20F5"/>
    <w:rsid w:val="00AB6D64"/>
    <w:rsid w:val="00AC0C2F"/>
    <w:rsid w:val="00AC6630"/>
    <w:rsid w:val="00AD3E6B"/>
    <w:rsid w:val="00AD4F63"/>
    <w:rsid w:val="00AE2350"/>
    <w:rsid w:val="00AE4FBE"/>
    <w:rsid w:val="00AF3160"/>
    <w:rsid w:val="00B0105B"/>
    <w:rsid w:val="00B231E6"/>
    <w:rsid w:val="00B269F5"/>
    <w:rsid w:val="00B30F50"/>
    <w:rsid w:val="00B3357E"/>
    <w:rsid w:val="00B361B7"/>
    <w:rsid w:val="00B419EC"/>
    <w:rsid w:val="00B44A17"/>
    <w:rsid w:val="00B5021D"/>
    <w:rsid w:val="00B52515"/>
    <w:rsid w:val="00B53DFD"/>
    <w:rsid w:val="00B5409D"/>
    <w:rsid w:val="00B610F7"/>
    <w:rsid w:val="00B63211"/>
    <w:rsid w:val="00B660FF"/>
    <w:rsid w:val="00BB046C"/>
    <w:rsid w:val="00BB223B"/>
    <w:rsid w:val="00BC0355"/>
    <w:rsid w:val="00BC1C9D"/>
    <w:rsid w:val="00BC2E6C"/>
    <w:rsid w:val="00BC73A1"/>
    <w:rsid w:val="00BD0B3F"/>
    <w:rsid w:val="00BD592A"/>
    <w:rsid w:val="00BD7970"/>
    <w:rsid w:val="00BD7D1F"/>
    <w:rsid w:val="00BE2CA1"/>
    <w:rsid w:val="00BE787D"/>
    <w:rsid w:val="00BF2214"/>
    <w:rsid w:val="00BF3AFA"/>
    <w:rsid w:val="00C053EB"/>
    <w:rsid w:val="00C16D77"/>
    <w:rsid w:val="00C21352"/>
    <w:rsid w:val="00C31BB1"/>
    <w:rsid w:val="00C37E80"/>
    <w:rsid w:val="00C437CB"/>
    <w:rsid w:val="00C52F9E"/>
    <w:rsid w:val="00C54E2F"/>
    <w:rsid w:val="00C95D26"/>
    <w:rsid w:val="00CA770B"/>
    <w:rsid w:val="00CB568A"/>
    <w:rsid w:val="00CB78B7"/>
    <w:rsid w:val="00CC3971"/>
    <w:rsid w:val="00CD4EAB"/>
    <w:rsid w:val="00CF50B9"/>
    <w:rsid w:val="00CF734B"/>
    <w:rsid w:val="00D03565"/>
    <w:rsid w:val="00D05F9B"/>
    <w:rsid w:val="00D067D2"/>
    <w:rsid w:val="00D07B3D"/>
    <w:rsid w:val="00D1680E"/>
    <w:rsid w:val="00D17D55"/>
    <w:rsid w:val="00D363EE"/>
    <w:rsid w:val="00D4118F"/>
    <w:rsid w:val="00D809F2"/>
    <w:rsid w:val="00D819AA"/>
    <w:rsid w:val="00D8464E"/>
    <w:rsid w:val="00D91177"/>
    <w:rsid w:val="00DA2F54"/>
    <w:rsid w:val="00DA69FF"/>
    <w:rsid w:val="00DA78AE"/>
    <w:rsid w:val="00DB47D6"/>
    <w:rsid w:val="00DB4982"/>
    <w:rsid w:val="00DB4F70"/>
    <w:rsid w:val="00DB6F03"/>
    <w:rsid w:val="00DC028C"/>
    <w:rsid w:val="00DC103F"/>
    <w:rsid w:val="00DD0804"/>
    <w:rsid w:val="00DE3044"/>
    <w:rsid w:val="00DE75DF"/>
    <w:rsid w:val="00E100B9"/>
    <w:rsid w:val="00E10419"/>
    <w:rsid w:val="00E1231E"/>
    <w:rsid w:val="00E17EC4"/>
    <w:rsid w:val="00E3436F"/>
    <w:rsid w:val="00E3611E"/>
    <w:rsid w:val="00E45413"/>
    <w:rsid w:val="00E532D2"/>
    <w:rsid w:val="00E574DD"/>
    <w:rsid w:val="00E61D57"/>
    <w:rsid w:val="00E6327F"/>
    <w:rsid w:val="00E76BC0"/>
    <w:rsid w:val="00E77044"/>
    <w:rsid w:val="00E80AA9"/>
    <w:rsid w:val="00E85214"/>
    <w:rsid w:val="00E9400B"/>
    <w:rsid w:val="00E948B4"/>
    <w:rsid w:val="00EA1410"/>
    <w:rsid w:val="00EA26FF"/>
    <w:rsid w:val="00EA3C1B"/>
    <w:rsid w:val="00EA667F"/>
    <w:rsid w:val="00EB1734"/>
    <w:rsid w:val="00EB3FA2"/>
    <w:rsid w:val="00EC3DF9"/>
    <w:rsid w:val="00EF45CE"/>
    <w:rsid w:val="00EF4C71"/>
    <w:rsid w:val="00F01716"/>
    <w:rsid w:val="00F1013E"/>
    <w:rsid w:val="00F308C6"/>
    <w:rsid w:val="00F3188E"/>
    <w:rsid w:val="00F32A7E"/>
    <w:rsid w:val="00F341F5"/>
    <w:rsid w:val="00F42894"/>
    <w:rsid w:val="00F94441"/>
    <w:rsid w:val="00FC7C17"/>
    <w:rsid w:val="00FE2791"/>
    <w:rsid w:val="00FE4DD0"/>
    <w:rsid w:val="00FF2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BB6FD90-CCFD-4A77-8A40-ABBCC40E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uiPriority="99"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C9D"/>
    <w:rPr>
      <w:rFonts w:ascii="Times New Roman" w:hAnsi="Times New Roman"/>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1231E"/>
    <w:pPr>
      <w:spacing w:before="100" w:beforeAutospacing="1" w:after="100" w:afterAutospacing="1"/>
    </w:pPr>
    <w:rPr>
      <w:rFonts w:eastAsia="Times New Roman"/>
    </w:rPr>
  </w:style>
  <w:style w:type="paragraph" w:customStyle="1" w:styleId="2">
    <w:name w:val="Знак Знак2 Знак Знак Знак Знак"/>
    <w:basedOn w:val="a"/>
    <w:rsid w:val="009C66BA"/>
    <w:rPr>
      <w:rFonts w:ascii="Verdana" w:eastAsia="Times New Roman" w:hAnsi="Verdana" w:cs="Verdana"/>
      <w:sz w:val="20"/>
      <w:szCs w:val="20"/>
      <w:lang w:val="en-US" w:eastAsia="en-US"/>
    </w:rPr>
  </w:style>
  <w:style w:type="paragraph" w:styleId="HTML">
    <w:name w:val="HTML Preformatted"/>
    <w:basedOn w:val="a"/>
    <w:rsid w:val="0041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3">
    <w:name w:val="header"/>
    <w:basedOn w:val="a"/>
    <w:link w:val="a4"/>
    <w:uiPriority w:val="99"/>
    <w:rsid w:val="006B78EF"/>
    <w:pPr>
      <w:tabs>
        <w:tab w:val="center" w:pos="4819"/>
        <w:tab w:val="right" w:pos="9639"/>
      </w:tabs>
    </w:pPr>
  </w:style>
  <w:style w:type="character" w:styleId="a5">
    <w:name w:val="page number"/>
    <w:basedOn w:val="a0"/>
    <w:rsid w:val="006B78EF"/>
  </w:style>
  <w:style w:type="character" w:styleId="a6">
    <w:name w:val="Hyperlink"/>
    <w:rsid w:val="006B78EF"/>
    <w:rPr>
      <w:color w:val="0000FF"/>
      <w:u w:val="single"/>
    </w:rPr>
  </w:style>
  <w:style w:type="character" w:styleId="a7">
    <w:name w:val="Strong"/>
    <w:uiPriority w:val="99"/>
    <w:qFormat/>
    <w:locked/>
    <w:rsid w:val="00A53517"/>
    <w:rPr>
      <w:rFonts w:cs="Times New Roman"/>
      <w:b/>
    </w:rPr>
  </w:style>
  <w:style w:type="character" w:customStyle="1" w:styleId="rvts23">
    <w:name w:val="rvts23"/>
    <w:rsid w:val="00A53517"/>
  </w:style>
  <w:style w:type="paragraph" w:styleId="a8">
    <w:name w:val="footer"/>
    <w:basedOn w:val="a"/>
    <w:link w:val="a9"/>
    <w:rsid w:val="00AB20F5"/>
    <w:pPr>
      <w:tabs>
        <w:tab w:val="center" w:pos="4819"/>
        <w:tab w:val="right" w:pos="9639"/>
      </w:tabs>
    </w:pPr>
  </w:style>
  <w:style w:type="character" w:customStyle="1" w:styleId="a9">
    <w:name w:val="Нижний колонтитул Знак"/>
    <w:link w:val="a8"/>
    <w:rsid w:val="00AB20F5"/>
    <w:rPr>
      <w:rFonts w:ascii="Times New Roman" w:hAnsi="Times New Roman"/>
      <w:sz w:val="24"/>
      <w:szCs w:val="24"/>
    </w:rPr>
  </w:style>
  <w:style w:type="character" w:customStyle="1" w:styleId="a4">
    <w:name w:val="Верхний колонтитул Знак"/>
    <w:link w:val="a3"/>
    <w:uiPriority w:val="99"/>
    <w:rsid w:val="00AB20F5"/>
    <w:rPr>
      <w:rFonts w:ascii="Times New Roman" w:hAnsi="Times New Roman"/>
      <w:sz w:val="24"/>
      <w:szCs w:val="24"/>
    </w:rPr>
  </w:style>
  <w:style w:type="paragraph" w:styleId="aa">
    <w:name w:val="Balloon Text"/>
    <w:basedOn w:val="a"/>
    <w:link w:val="ab"/>
    <w:rsid w:val="00D809F2"/>
    <w:rPr>
      <w:rFonts w:ascii="Segoe UI" w:hAnsi="Segoe UI" w:cs="Segoe UI"/>
      <w:sz w:val="18"/>
      <w:szCs w:val="18"/>
    </w:rPr>
  </w:style>
  <w:style w:type="character" w:customStyle="1" w:styleId="ab">
    <w:name w:val="Текст выноски Знак"/>
    <w:link w:val="aa"/>
    <w:rsid w:val="00D809F2"/>
    <w:rPr>
      <w:rFonts w:ascii="Segoe UI" w:hAnsi="Segoe UI" w:cs="Segoe UI"/>
      <w:sz w:val="18"/>
      <w:szCs w:val="18"/>
    </w:rPr>
  </w:style>
  <w:style w:type="character" w:customStyle="1" w:styleId="apple-converted-space">
    <w:name w:val="apple-converted-space"/>
    <w:basedOn w:val="a0"/>
    <w:rsid w:val="00417038"/>
  </w:style>
  <w:style w:type="paragraph" w:styleId="ac">
    <w:name w:val="Normal (Web)"/>
    <w:basedOn w:val="a"/>
    <w:rsid w:val="00417038"/>
    <w:pPr>
      <w:spacing w:before="100" w:beforeAutospacing="1" w:after="100" w:afterAutospacing="1"/>
    </w:pPr>
    <w:rPr>
      <w:rFonts w:eastAsia="Times New Roman"/>
      <w:lang w:val="ru-RU" w:eastAsia="ru-RU"/>
    </w:rPr>
  </w:style>
  <w:style w:type="character" w:customStyle="1" w:styleId="xfm14295782">
    <w:name w:val="xfm_14295782"/>
    <w:rsid w:val="00144DFB"/>
  </w:style>
  <w:style w:type="character" w:styleId="ad">
    <w:name w:val="annotation reference"/>
    <w:uiPriority w:val="99"/>
    <w:unhideWhenUsed/>
    <w:rsid w:val="00AB6D64"/>
    <w:rPr>
      <w:sz w:val="16"/>
      <w:szCs w:val="16"/>
    </w:rPr>
  </w:style>
  <w:style w:type="paragraph" w:styleId="ae">
    <w:name w:val="annotation text"/>
    <w:basedOn w:val="a"/>
    <w:link w:val="af"/>
    <w:uiPriority w:val="99"/>
    <w:unhideWhenUsed/>
    <w:rsid w:val="00AB6D64"/>
    <w:pPr>
      <w:widowControl w:val="0"/>
    </w:pPr>
    <w:rPr>
      <w:rFonts w:eastAsia="Times New Roman"/>
      <w:sz w:val="20"/>
      <w:szCs w:val="20"/>
      <w:lang w:eastAsia="ru-RU"/>
    </w:rPr>
  </w:style>
  <w:style w:type="character" w:customStyle="1" w:styleId="af">
    <w:name w:val="Текст примечания Знак"/>
    <w:link w:val="ae"/>
    <w:uiPriority w:val="99"/>
    <w:rsid w:val="00AB6D64"/>
    <w:rPr>
      <w:rFonts w:ascii="Times New Roman" w:eastAsia="Times New Roman" w:hAnsi="Times New Roman"/>
      <w:lang w:eastAsia="ru-RU"/>
    </w:rPr>
  </w:style>
  <w:style w:type="paragraph" w:styleId="af0">
    <w:name w:val="List Paragraph"/>
    <w:basedOn w:val="a"/>
    <w:uiPriority w:val="34"/>
    <w:qFormat/>
    <w:rsid w:val="00DB4982"/>
    <w:pPr>
      <w:spacing w:after="160" w:line="259" w:lineRule="auto"/>
      <w:ind w:left="720"/>
    </w:pPr>
    <w:rPr>
      <w:rFonts w:ascii="Calibri" w:hAnsi="Calibri" w:cs="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5129843">
      <w:bodyDiv w:val="1"/>
      <w:marLeft w:val="0"/>
      <w:marRight w:val="0"/>
      <w:marTop w:val="0"/>
      <w:marBottom w:val="0"/>
      <w:divBdr>
        <w:top w:val="none" w:sz="0" w:space="0" w:color="auto"/>
        <w:left w:val="none" w:sz="0" w:space="0" w:color="auto"/>
        <w:bottom w:val="none" w:sz="0" w:space="0" w:color="auto"/>
        <w:right w:val="none" w:sz="0" w:space="0" w:color="auto"/>
      </w:divBdr>
    </w:div>
    <w:div w:id="631638430">
      <w:bodyDiv w:val="1"/>
      <w:marLeft w:val="0"/>
      <w:marRight w:val="0"/>
      <w:marTop w:val="0"/>
      <w:marBottom w:val="0"/>
      <w:divBdr>
        <w:top w:val="none" w:sz="0" w:space="0" w:color="auto"/>
        <w:left w:val="none" w:sz="0" w:space="0" w:color="auto"/>
        <w:bottom w:val="none" w:sz="0" w:space="0" w:color="auto"/>
        <w:right w:val="none" w:sz="0" w:space="0" w:color="auto"/>
      </w:divBdr>
    </w:div>
    <w:div w:id="1254973605">
      <w:bodyDiv w:val="1"/>
      <w:marLeft w:val="0"/>
      <w:marRight w:val="0"/>
      <w:marTop w:val="0"/>
      <w:marBottom w:val="0"/>
      <w:divBdr>
        <w:top w:val="none" w:sz="0" w:space="0" w:color="auto"/>
        <w:left w:val="none" w:sz="0" w:space="0" w:color="auto"/>
        <w:bottom w:val="none" w:sz="0" w:space="0" w:color="auto"/>
        <w:right w:val="none" w:sz="0" w:space="0" w:color="auto"/>
      </w:divBdr>
    </w:div>
    <w:div w:id="14319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440F-113D-4194-A069-21983689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1913</Words>
  <Characters>10907</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ПОЯСНЮВАЛЬНА ЗАПИСКА</vt:lpstr>
      <vt:lpstr>ПОЯСНЮВАЛЬНА ЗАПИСКА</vt:lpstr>
    </vt:vector>
  </TitlesOfParts>
  <Company>Укрсервис</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Тіменко Анатолій Юрійович</dc:creator>
  <cp:keywords/>
  <dc:description/>
  <cp:lastModifiedBy>Ребенок Александр Сергеевич</cp:lastModifiedBy>
  <cp:revision>17</cp:revision>
  <cp:lastPrinted>2014-10-08T11:56:00Z</cp:lastPrinted>
  <dcterms:created xsi:type="dcterms:W3CDTF">2021-01-21T21:45:00Z</dcterms:created>
  <dcterms:modified xsi:type="dcterms:W3CDTF">2021-01-21T22:08:00Z</dcterms:modified>
</cp:coreProperties>
</file>