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E2" w:rsidRPr="00D3328F" w:rsidRDefault="008A7A73" w:rsidP="00C4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8F">
        <w:rPr>
          <w:rFonts w:ascii="Times New Roman" w:hAnsi="Times New Roman" w:cs="Times New Roman"/>
          <w:b/>
          <w:sz w:val="28"/>
          <w:szCs w:val="28"/>
        </w:rPr>
        <w:t>АНАЛІЗ</w:t>
      </w:r>
      <w:r w:rsidR="00DA7388" w:rsidRPr="00D33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758" w:rsidRPr="00D3328F">
        <w:rPr>
          <w:rFonts w:ascii="Times New Roman" w:hAnsi="Times New Roman" w:cs="Times New Roman"/>
          <w:b/>
          <w:sz w:val="28"/>
          <w:szCs w:val="28"/>
        </w:rPr>
        <w:t>РЕГУЛЯТОРНОГО ВПЛИВУ</w:t>
      </w:r>
    </w:p>
    <w:p w:rsidR="00CE3598" w:rsidRPr="00D3328F" w:rsidRDefault="0047248B" w:rsidP="00C444E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spellStart"/>
      <w:r w:rsidRPr="00D3328F">
        <w:rPr>
          <w:b/>
          <w:sz w:val="28"/>
          <w:szCs w:val="28"/>
          <w:lang w:val="uk-UA"/>
        </w:rPr>
        <w:t>проєкту</w:t>
      </w:r>
      <w:proofErr w:type="spellEnd"/>
      <w:r w:rsidRPr="00D3328F">
        <w:rPr>
          <w:b/>
          <w:sz w:val="28"/>
          <w:szCs w:val="28"/>
          <w:lang w:val="uk-UA"/>
        </w:rPr>
        <w:t xml:space="preserve"> </w:t>
      </w:r>
      <w:r w:rsidR="00C444E2" w:rsidRPr="00D3328F">
        <w:rPr>
          <w:b/>
          <w:sz w:val="28"/>
          <w:szCs w:val="28"/>
          <w:lang w:val="uk-UA"/>
        </w:rPr>
        <w:t>наказу</w:t>
      </w:r>
      <w:r w:rsidRPr="00D3328F">
        <w:rPr>
          <w:b/>
          <w:sz w:val="28"/>
          <w:szCs w:val="28"/>
          <w:lang w:val="uk-UA"/>
        </w:rPr>
        <w:t xml:space="preserve"> Міністерства інфраструктури України</w:t>
      </w:r>
      <w:r w:rsidR="00C444E2" w:rsidRPr="00D3328F">
        <w:rPr>
          <w:b/>
          <w:sz w:val="28"/>
          <w:szCs w:val="28"/>
          <w:lang w:val="uk-UA"/>
        </w:rPr>
        <w:t xml:space="preserve"> </w:t>
      </w:r>
      <w:r w:rsidR="00CE3598" w:rsidRPr="00D3328F">
        <w:rPr>
          <w:b/>
          <w:bCs/>
          <w:color w:val="000000"/>
          <w:sz w:val="28"/>
          <w:szCs w:val="28"/>
          <w:lang w:val="uk-UA"/>
        </w:rPr>
        <w:t xml:space="preserve">«Про </w:t>
      </w:r>
      <w:r w:rsidR="00CE3598" w:rsidRPr="00D3328F">
        <w:rPr>
          <w:rFonts w:eastAsia="Arial Unicode MS"/>
          <w:b/>
          <w:sz w:val="28"/>
          <w:szCs w:val="28"/>
          <w:lang w:val="uk-UA" w:eastAsia="uk-UA" w:bidi="uk-UA"/>
        </w:rPr>
        <w:t xml:space="preserve">внесення змін до </w:t>
      </w:r>
      <w:r w:rsidR="00CE3598" w:rsidRPr="00D3328F">
        <w:rPr>
          <w:b/>
          <w:bCs/>
          <w:sz w:val="28"/>
          <w:szCs w:val="28"/>
          <w:shd w:val="clear" w:color="auto" w:fill="FFFFFF"/>
          <w:lang w:val="uk-UA"/>
        </w:rPr>
        <w:t>Тимчасового положення про порядок допуску приватних локомотивів до роботи окремими маршрутами на залізничних коліях загального користування»</w:t>
      </w:r>
    </w:p>
    <w:p w:rsidR="00C444E2" w:rsidRPr="00D3328F" w:rsidRDefault="00C444E2" w:rsidP="005E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73" w:rsidRPr="00D3328F" w:rsidRDefault="00383B73" w:rsidP="005E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28F" w:rsidRPr="00D3328F" w:rsidRDefault="00D3328F" w:rsidP="005E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758" w:rsidRPr="00D3328F" w:rsidRDefault="00537758" w:rsidP="00537758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D3328F">
        <w:rPr>
          <w:b/>
          <w:sz w:val="28"/>
          <w:szCs w:val="28"/>
          <w:lang w:val="uk-UA"/>
        </w:rPr>
        <w:t>Визначення проблеми</w:t>
      </w:r>
    </w:p>
    <w:p w:rsidR="008448B8" w:rsidRPr="00D3328F" w:rsidRDefault="008448B8" w:rsidP="008448B8">
      <w:pPr>
        <w:pStyle w:val="a5"/>
        <w:ind w:left="1287"/>
        <w:rPr>
          <w:b/>
          <w:sz w:val="28"/>
          <w:szCs w:val="28"/>
          <w:lang w:val="uk-UA"/>
        </w:rPr>
      </w:pPr>
    </w:p>
    <w:p w:rsidR="007C392F" w:rsidRPr="00D3328F" w:rsidRDefault="00BA4350" w:rsidP="007C392F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D3328F">
        <w:rPr>
          <w:rFonts w:eastAsiaTheme="minorHAnsi"/>
          <w:sz w:val="28"/>
          <w:szCs w:val="28"/>
          <w:shd w:val="clear" w:color="auto" w:fill="FFFFFF"/>
          <w:lang w:val="uk-UA" w:eastAsia="en-US"/>
        </w:rPr>
        <w:t>Відповідно до </w:t>
      </w:r>
      <w:hyperlink r:id="rId8" w:anchor="n9" w:tgtFrame="_blank" w:history="1">
        <w:r w:rsidRPr="00D3328F">
          <w:rPr>
            <w:rFonts w:eastAsiaTheme="minorHAnsi"/>
            <w:sz w:val="28"/>
            <w:szCs w:val="28"/>
            <w:shd w:val="clear" w:color="auto" w:fill="FFFFFF"/>
            <w:lang w:val="uk-UA" w:eastAsia="en-US"/>
          </w:rPr>
          <w:t>абзацу другого</w:t>
        </w:r>
      </w:hyperlink>
      <w:r w:rsidRPr="00D3328F">
        <w:rPr>
          <w:rFonts w:eastAsiaTheme="minorHAnsi"/>
          <w:sz w:val="28"/>
          <w:szCs w:val="28"/>
          <w:shd w:val="clear" w:color="auto" w:fill="FFFFFF"/>
          <w:lang w:val="uk-UA" w:eastAsia="en-US"/>
        </w:rPr>
        <w:t> </w:t>
      </w:r>
      <w:r w:rsidR="001823AD" w:rsidRPr="00D3328F">
        <w:rPr>
          <w:rFonts w:eastAsiaTheme="minorHAnsi"/>
          <w:sz w:val="28"/>
          <w:szCs w:val="28"/>
          <w:shd w:val="clear" w:color="auto" w:fill="FFFFFF"/>
          <w:lang w:val="uk-UA" w:eastAsia="en-US"/>
        </w:rPr>
        <w:t>пункту 4</w:t>
      </w:r>
      <w:r w:rsidR="00291AED" w:rsidRPr="00D3328F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постанови</w:t>
      </w:r>
      <w:r w:rsidR="001823AD" w:rsidRPr="00D3328F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</w:t>
      </w:r>
      <w:r w:rsidR="00291AED" w:rsidRPr="00D3328F">
        <w:rPr>
          <w:sz w:val="28"/>
          <w:szCs w:val="28"/>
          <w:lang w:val="uk-UA"/>
        </w:rPr>
        <w:t xml:space="preserve">Кабінету Міністрів України </w:t>
      </w:r>
      <w:r w:rsidR="002B4229" w:rsidRPr="00D3328F">
        <w:rPr>
          <w:sz w:val="28"/>
          <w:szCs w:val="28"/>
          <w:lang w:val="uk-UA"/>
        </w:rPr>
        <w:t>від 04.12.2019 № 1043 «</w:t>
      </w:r>
      <w:r w:rsidR="002B4229" w:rsidRPr="00D3328F">
        <w:rPr>
          <w:bCs/>
          <w:sz w:val="28"/>
          <w:szCs w:val="28"/>
          <w:lang w:val="uk-UA" w:eastAsia="uk-UA"/>
        </w:rPr>
        <w:t>Про реалізацію</w:t>
      </w:r>
      <w:r w:rsidR="002B4229" w:rsidRPr="00D3328F">
        <w:rPr>
          <w:b/>
          <w:bCs/>
          <w:sz w:val="28"/>
          <w:szCs w:val="28"/>
          <w:lang w:val="uk-UA" w:eastAsia="uk-UA"/>
        </w:rPr>
        <w:t xml:space="preserve"> </w:t>
      </w:r>
      <w:r w:rsidR="002B4229" w:rsidRPr="00D3328F">
        <w:rPr>
          <w:sz w:val="28"/>
          <w:szCs w:val="28"/>
          <w:lang w:val="uk-UA"/>
        </w:rPr>
        <w:t>експериментального проекту щодо допуску приватних локомотивів</w:t>
      </w:r>
      <w:r w:rsidR="002B4229" w:rsidRPr="00D3328F">
        <w:rPr>
          <w:sz w:val="28"/>
          <w:szCs w:val="28"/>
          <w:lang w:val="uk-UA" w:eastAsia="uk-UA"/>
        </w:rPr>
        <w:t xml:space="preserve"> </w:t>
      </w:r>
      <w:r w:rsidR="002B4229" w:rsidRPr="00D3328F">
        <w:rPr>
          <w:sz w:val="28"/>
          <w:szCs w:val="28"/>
          <w:lang w:val="uk-UA"/>
        </w:rPr>
        <w:t xml:space="preserve">до роботи окремими маршрутами на залізничних коліях загального користування» </w:t>
      </w:r>
      <w:r w:rsidR="000F7327" w:rsidRPr="00D3328F">
        <w:rPr>
          <w:sz w:val="28"/>
          <w:szCs w:val="28"/>
          <w:lang w:val="uk-UA"/>
        </w:rPr>
        <w:t>(далі –</w:t>
      </w:r>
      <w:r w:rsidR="00291AED" w:rsidRPr="00D3328F">
        <w:rPr>
          <w:sz w:val="28"/>
          <w:szCs w:val="28"/>
          <w:lang w:val="uk-UA"/>
        </w:rPr>
        <w:t xml:space="preserve"> Постанова</w:t>
      </w:r>
      <w:r w:rsidR="000F7327" w:rsidRPr="00D3328F">
        <w:rPr>
          <w:sz w:val="28"/>
          <w:szCs w:val="28"/>
          <w:lang w:val="uk-UA"/>
        </w:rPr>
        <w:t xml:space="preserve">) </w:t>
      </w:r>
      <w:r w:rsidR="007C392F" w:rsidRPr="00D3328F">
        <w:rPr>
          <w:rFonts w:eastAsia="Calibri"/>
          <w:bCs/>
          <w:sz w:val="28"/>
          <w:szCs w:val="28"/>
          <w:shd w:val="clear" w:color="auto" w:fill="FFFFFF"/>
          <w:lang w:val="uk-UA"/>
        </w:rPr>
        <w:t xml:space="preserve">наказом </w:t>
      </w:r>
      <w:r w:rsidR="007C392F" w:rsidRPr="00D3328F">
        <w:rPr>
          <w:sz w:val="28"/>
          <w:szCs w:val="28"/>
          <w:lang w:val="uk-UA"/>
        </w:rPr>
        <w:t xml:space="preserve">Міністерства інфраструктури України </w:t>
      </w:r>
      <w:r w:rsidR="007C392F" w:rsidRPr="00D3328F">
        <w:rPr>
          <w:rFonts w:eastAsia="Calibri"/>
          <w:bCs/>
          <w:sz w:val="28"/>
          <w:szCs w:val="28"/>
          <w:shd w:val="clear" w:color="auto" w:fill="FFFFFF"/>
          <w:lang w:val="uk-UA"/>
        </w:rPr>
        <w:t>від 04.03.2020 № 191, зареєстрованим в Мін’юсті 16.03.2020 за № 278/34561, затверджено Тимчасове положення про порядок допуску приватних локомотивів до роботи окремими маршрутами на залізничних коліях загального користування (далі – Положення).</w:t>
      </w:r>
    </w:p>
    <w:p w:rsidR="00D47582" w:rsidRPr="00D3328F" w:rsidRDefault="00D47582" w:rsidP="00D4758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3328F">
        <w:rPr>
          <w:sz w:val="28"/>
          <w:szCs w:val="28"/>
          <w:shd w:val="clear" w:color="auto" w:fill="FFFFFF"/>
          <w:lang w:val="uk-UA"/>
        </w:rPr>
        <w:t>Положення визначає порядок допуску локомотивів, що належать суб’єктам господарювання, які не відносяться до сфери управління АТ «Укрзалізниця», до роботи окремими маршрутами на залізничних коліях загального користування у вантажному русі та є обов’язковим при виконанні перевезень вантажів та порожніх вагонів всіма суб’єктам господарювання, допущеними до учас</w:t>
      </w:r>
      <w:r w:rsidR="00F21C4D" w:rsidRPr="00D3328F">
        <w:rPr>
          <w:sz w:val="28"/>
          <w:szCs w:val="28"/>
          <w:shd w:val="clear" w:color="auto" w:fill="FFFFFF"/>
          <w:lang w:val="uk-UA"/>
        </w:rPr>
        <w:t xml:space="preserve">ті у експериментальному </w:t>
      </w:r>
      <w:proofErr w:type="spellStart"/>
      <w:r w:rsidR="00F21C4D" w:rsidRPr="00D3328F">
        <w:rPr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="00F21C4D" w:rsidRPr="00D3328F">
        <w:rPr>
          <w:sz w:val="28"/>
          <w:szCs w:val="28"/>
          <w:shd w:val="clear" w:color="auto" w:fill="FFFFFF"/>
          <w:lang w:val="uk-UA"/>
        </w:rPr>
        <w:t>.</w:t>
      </w:r>
    </w:p>
    <w:p w:rsidR="00291AED" w:rsidRPr="00D3328F" w:rsidRDefault="008414AA" w:rsidP="008414A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3328F">
        <w:rPr>
          <w:sz w:val="28"/>
          <w:szCs w:val="28"/>
          <w:shd w:val="clear" w:color="auto" w:fill="FFFFFF"/>
          <w:lang w:val="uk-UA"/>
        </w:rPr>
        <w:t xml:space="preserve">З метою реалізації експериментального </w:t>
      </w:r>
      <w:proofErr w:type="spellStart"/>
      <w:r w:rsidRPr="00D3328F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291AED" w:rsidRPr="00D3328F">
        <w:rPr>
          <w:sz w:val="28"/>
          <w:szCs w:val="28"/>
          <w:shd w:val="clear" w:color="auto" w:fill="FFFFFF"/>
          <w:lang w:val="uk-UA"/>
        </w:rPr>
        <w:t xml:space="preserve"> </w:t>
      </w:r>
      <w:r w:rsidR="00291AED" w:rsidRPr="00D3328F">
        <w:rPr>
          <w:sz w:val="28"/>
          <w:szCs w:val="28"/>
          <w:lang w:val="uk-UA"/>
        </w:rPr>
        <w:t>щодо допуску приватних локомотивів</w:t>
      </w:r>
      <w:r w:rsidR="00291AED" w:rsidRPr="00D3328F">
        <w:rPr>
          <w:sz w:val="28"/>
          <w:szCs w:val="28"/>
          <w:lang w:val="uk-UA" w:eastAsia="uk-UA"/>
        </w:rPr>
        <w:t xml:space="preserve"> </w:t>
      </w:r>
      <w:r w:rsidR="00291AED" w:rsidRPr="00D3328F">
        <w:rPr>
          <w:sz w:val="28"/>
          <w:szCs w:val="28"/>
          <w:lang w:val="uk-UA"/>
        </w:rPr>
        <w:t>до роботи окремими маршрутами на залізничних коліях загального користування</w:t>
      </w:r>
      <w:r w:rsidR="00291AED" w:rsidRPr="00D3328F">
        <w:rPr>
          <w:sz w:val="28"/>
          <w:szCs w:val="28"/>
          <w:shd w:val="clear" w:color="auto" w:fill="FFFFFF"/>
          <w:lang w:val="uk-UA"/>
        </w:rPr>
        <w:t xml:space="preserve"> (далі – експериментальний </w:t>
      </w:r>
      <w:proofErr w:type="spellStart"/>
      <w:r w:rsidR="00291AED" w:rsidRPr="00D3328F"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291AED" w:rsidRPr="00D3328F">
        <w:rPr>
          <w:sz w:val="28"/>
          <w:szCs w:val="28"/>
          <w:shd w:val="clear" w:color="auto" w:fill="FFFFFF"/>
          <w:lang w:val="uk-UA"/>
        </w:rPr>
        <w:t xml:space="preserve">), відповідно до Постанови та Положення </w:t>
      </w:r>
      <w:r w:rsidRPr="00D3328F">
        <w:rPr>
          <w:sz w:val="28"/>
          <w:szCs w:val="28"/>
          <w:lang w:val="uk-UA"/>
        </w:rPr>
        <w:t xml:space="preserve">наказом Міністерства інфраструктури України від 14.04.2020 № 233 утворено </w:t>
      </w:r>
      <w:r w:rsidR="00267398">
        <w:rPr>
          <w:sz w:val="28"/>
          <w:szCs w:val="28"/>
          <w:shd w:val="clear" w:color="auto" w:fill="FFFFFF"/>
          <w:lang w:val="uk-UA"/>
        </w:rPr>
        <w:t>Комісі</w:t>
      </w:r>
      <w:bookmarkStart w:id="0" w:name="_GoBack"/>
      <w:bookmarkEnd w:id="0"/>
      <w:r w:rsidRPr="00D3328F">
        <w:rPr>
          <w:sz w:val="28"/>
          <w:szCs w:val="28"/>
          <w:shd w:val="clear" w:color="auto" w:fill="FFFFFF"/>
          <w:lang w:val="uk-UA"/>
        </w:rPr>
        <w:t xml:space="preserve">ю </w:t>
      </w:r>
      <w:r w:rsidRPr="00D3328F">
        <w:rPr>
          <w:sz w:val="28"/>
          <w:szCs w:val="28"/>
          <w:lang w:val="uk-UA"/>
        </w:rPr>
        <w:t>Міністерства інфраструктури України з відбору учасників експериментального проекту щодо допуску приватних локомотивів до роботи окремими маршрутами на залізничних коліях загального користування та дільниць залізничних колій загального користування для здійснення курсування приватних локомотивів, а також для моніторингу реалізації експериментального проекту (далі – Комісія).</w:t>
      </w:r>
      <w:r w:rsidRPr="00D3328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A2936" w:rsidRPr="00D3328F" w:rsidRDefault="008414AA" w:rsidP="008414A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328F">
        <w:rPr>
          <w:sz w:val="28"/>
          <w:szCs w:val="28"/>
          <w:shd w:val="clear" w:color="auto" w:fill="FFFFFF"/>
          <w:lang w:val="uk-UA"/>
        </w:rPr>
        <w:t>Протягом 2020 року Комісією</w:t>
      </w:r>
      <w:r w:rsidR="007C392F" w:rsidRPr="00D3328F">
        <w:rPr>
          <w:sz w:val="28"/>
          <w:szCs w:val="28"/>
          <w:lang w:val="uk-UA"/>
        </w:rPr>
        <w:t xml:space="preserve"> проведено 15 засідань, </w:t>
      </w:r>
      <w:r w:rsidR="00B80E49" w:rsidRPr="00D3328F">
        <w:rPr>
          <w:sz w:val="28"/>
          <w:szCs w:val="28"/>
          <w:lang w:val="uk-UA"/>
        </w:rPr>
        <w:t xml:space="preserve">на яких </w:t>
      </w:r>
      <w:r w:rsidR="00DF371E" w:rsidRPr="00D3328F">
        <w:rPr>
          <w:sz w:val="28"/>
          <w:szCs w:val="28"/>
          <w:lang w:val="uk-UA"/>
        </w:rPr>
        <w:t xml:space="preserve">відповідно до </w:t>
      </w:r>
      <w:r w:rsidR="00034AA1" w:rsidRPr="00D3328F">
        <w:rPr>
          <w:sz w:val="28"/>
          <w:szCs w:val="28"/>
          <w:lang w:val="uk-UA"/>
        </w:rPr>
        <w:t xml:space="preserve">вимог </w:t>
      </w:r>
      <w:r w:rsidR="00DF371E" w:rsidRPr="00D3328F">
        <w:rPr>
          <w:sz w:val="28"/>
          <w:szCs w:val="28"/>
          <w:lang w:val="uk-UA"/>
        </w:rPr>
        <w:t xml:space="preserve">пункту 2.4 </w:t>
      </w:r>
      <w:r w:rsidR="00034AA1" w:rsidRPr="00D3328F">
        <w:rPr>
          <w:sz w:val="28"/>
          <w:szCs w:val="28"/>
          <w:lang w:val="uk-UA"/>
        </w:rPr>
        <w:t>П</w:t>
      </w:r>
      <w:r w:rsidR="00DF371E" w:rsidRPr="00D3328F">
        <w:rPr>
          <w:sz w:val="28"/>
          <w:szCs w:val="28"/>
          <w:lang w:val="uk-UA"/>
        </w:rPr>
        <w:t xml:space="preserve">оложення </w:t>
      </w:r>
      <w:r w:rsidR="00B80E49" w:rsidRPr="00D3328F">
        <w:rPr>
          <w:sz w:val="28"/>
          <w:szCs w:val="28"/>
          <w:lang w:val="uk-UA"/>
        </w:rPr>
        <w:t xml:space="preserve">розглянуто 32 заяви від </w:t>
      </w:r>
      <w:r w:rsidR="0038154A" w:rsidRPr="00D3328F">
        <w:rPr>
          <w:sz w:val="28"/>
          <w:szCs w:val="28"/>
          <w:lang w:val="uk-UA"/>
        </w:rPr>
        <w:t xml:space="preserve">10 </w:t>
      </w:r>
      <w:r w:rsidR="00B80E49" w:rsidRPr="00D3328F">
        <w:rPr>
          <w:sz w:val="28"/>
          <w:szCs w:val="28"/>
          <w:lang w:val="uk-UA"/>
        </w:rPr>
        <w:t>суб’єктів господарювання</w:t>
      </w:r>
      <w:r w:rsidR="00E71030" w:rsidRPr="00D3328F">
        <w:rPr>
          <w:sz w:val="28"/>
          <w:szCs w:val="28"/>
          <w:lang w:val="uk-UA"/>
        </w:rPr>
        <w:t xml:space="preserve"> (</w:t>
      </w:r>
      <w:r w:rsidR="00E24DB1" w:rsidRPr="00D3328F">
        <w:rPr>
          <w:sz w:val="28"/>
          <w:szCs w:val="28"/>
          <w:lang w:val="uk-UA"/>
        </w:rPr>
        <w:t xml:space="preserve">далі - </w:t>
      </w:r>
      <w:r w:rsidR="00E71030" w:rsidRPr="00D3328F">
        <w:rPr>
          <w:sz w:val="28"/>
          <w:szCs w:val="28"/>
          <w:lang w:val="uk-UA"/>
        </w:rPr>
        <w:t xml:space="preserve">заявників), а також 14 пакетів документів від </w:t>
      </w:r>
      <w:r w:rsidR="00E24DB1" w:rsidRPr="00D3328F">
        <w:rPr>
          <w:sz w:val="28"/>
          <w:szCs w:val="28"/>
          <w:lang w:val="uk-UA"/>
        </w:rPr>
        <w:br/>
      </w:r>
      <w:r w:rsidR="00E71030" w:rsidRPr="00D3328F">
        <w:rPr>
          <w:sz w:val="28"/>
          <w:szCs w:val="28"/>
          <w:lang w:val="uk-UA"/>
        </w:rPr>
        <w:t>4</w:t>
      </w:r>
      <w:r w:rsidR="00E24DB1" w:rsidRPr="00D3328F">
        <w:rPr>
          <w:sz w:val="28"/>
          <w:szCs w:val="28"/>
          <w:lang w:val="uk-UA"/>
        </w:rPr>
        <w:t xml:space="preserve"> заявників</w:t>
      </w:r>
      <w:r w:rsidR="00E71030" w:rsidRPr="00D3328F">
        <w:rPr>
          <w:sz w:val="28"/>
          <w:szCs w:val="28"/>
          <w:lang w:val="uk-UA"/>
        </w:rPr>
        <w:t>, поданих відповідно до пункту 2.7 Положення</w:t>
      </w:r>
      <w:r w:rsidR="00EA2936" w:rsidRPr="00D3328F">
        <w:rPr>
          <w:sz w:val="28"/>
          <w:szCs w:val="28"/>
          <w:lang w:val="uk-UA"/>
        </w:rPr>
        <w:t>.</w:t>
      </w:r>
    </w:p>
    <w:p w:rsidR="0038154A" w:rsidRPr="00D3328F" w:rsidRDefault="0038154A" w:rsidP="00680FE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328F">
        <w:rPr>
          <w:sz w:val="28"/>
          <w:szCs w:val="28"/>
          <w:lang w:val="uk-UA"/>
        </w:rPr>
        <w:t xml:space="preserve">За результатами засідань Комісією </w:t>
      </w:r>
      <w:r w:rsidR="00680FE5" w:rsidRPr="00D3328F">
        <w:rPr>
          <w:sz w:val="28"/>
          <w:szCs w:val="28"/>
          <w:lang w:val="uk-UA"/>
        </w:rPr>
        <w:t>визначено</w:t>
      </w:r>
      <w:r w:rsidRPr="00D3328F">
        <w:rPr>
          <w:sz w:val="28"/>
          <w:szCs w:val="28"/>
          <w:lang w:val="uk-UA"/>
        </w:rPr>
        <w:t xml:space="preserve"> 7</w:t>
      </w:r>
      <w:r w:rsidR="00E24DB1" w:rsidRPr="00D3328F">
        <w:rPr>
          <w:sz w:val="28"/>
          <w:szCs w:val="28"/>
          <w:lang w:val="uk-UA"/>
        </w:rPr>
        <w:t xml:space="preserve"> заявників, що подали </w:t>
      </w:r>
      <w:r w:rsidR="00680FE5" w:rsidRPr="00D3328F">
        <w:rPr>
          <w:sz w:val="28"/>
          <w:szCs w:val="28"/>
          <w:lang w:val="uk-UA"/>
        </w:rPr>
        <w:t>19 заяв</w:t>
      </w:r>
      <w:r w:rsidR="00E24DB1" w:rsidRPr="00D3328F">
        <w:rPr>
          <w:sz w:val="28"/>
          <w:szCs w:val="28"/>
          <w:lang w:val="uk-UA"/>
        </w:rPr>
        <w:t>,</w:t>
      </w:r>
      <w:r w:rsidR="00680FE5" w:rsidRPr="00D3328F">
        <w:rPr>
          <w:sz w:val="28"/>
          <w:szCs w:val="28"/>
          <w:lang w:val="uk-UA"/>
        </w:rPr>
        <w:t xml:space="preserve"> </w:t>
      </w:r>
      <w:r w:rsidRPr="00D3328F">
        <w:rPr>
          <w:sz w:val="28"/>
          <w:szCs w:val="28"/>
          <w:lang w:val="uk-UA"/>
        </w:rPr>
        <w:t xml:space="preserve">підприємствами-учасниками </w:t>
      </w:r>
      <w:r w:rsidR="008414AA" w:rsidRPr="00D3328F">
        <w:rPr>
          <w:sz w:val="28"/>
          <w:szCs w:val="28"/>
          <w:lang w:val="uk-UA"/>
        </w:rPr>
        <w:t xml:space="preserve">експериментального </w:t>
      </w:r>
      <w:proofErr w:type="spellStart"/>
      <w:r w:rsidR="008414AA" w:rsidRPr="00D3328F">
        <w:rPr>
          <w:sz w:val="28"/>
          <w:szCs w:val="28"/>
          <w:lang w:val="uk-UA"/>
        </w:rPr>
        <w:t>проєкту</w:t>
      </w:r>
      <w:proofErr w:type="spellEnd"/>
      <w:r w:rsidR="008414AA" w:rsidRPr="00D3328F">
        <w:rPr>
          <w:sz w:val="28"/>
          <w:szCs w:val="28"/>
          <w:lang w:val="uk-UA"/>
        </w:rPr>
        <w:t xml:space="preserve">, а також </w:t>
      </w:r>
      <w:r w:rsidRPr="00D3328F">
        <w:rPr>
          <w:sz w:val="28"/>
          <w:szCs w:val="28"/>
          <w:lang w:val="uk-UA"/>
        </w:rPr>
        <w:t xml:space="preserve">прийнято рішення відмовити </w:t>
      </w:r>
      <w:r w:rsidR="00E24DB1" w:rsidRPr="00D3328F">
        <w:rPr>
          <w:sz w:val="28"/>
          <w:szCs w:val="28"/>
          <w:lang w:val="uk-UA"/>
        </w:rPr>
        <w:t>6 заявникам, що подали 13 заяв,</w:t>
      </w:r>
      <w:r w:rsidR="00680FE5" w:rsidRPr="00D3328F">
        <w:rPr>
          <w:sz w:val="28"/>
          <w:szCs w:val="28"/>
          <w:lang w:val="uk-UA"/>
        </w:rPr>
        <w:t xml:space="preserve"> </w:t>
      </w:r>
      <w:r w:rsidR="00F3119F" w:rsidRPr="00D3328F">
        <w:rPr>
          <w:sz w:val="28"/>
          <w:szCs w:val="28"/>
          <w:lang w:val="uk-UA"/>
        </w:rPr>
        <w:t>в участі у</w:t>
      </w:r>
      <w:r w:rsidRPr="00D3328F">
        <w:rPr>
          <w:sz w:val="28"/>
          <w:szCs w:val="28"/>
          <w:lang w:val="uk-UA"/>
        </w:rPr>
        <w:t xml:space="preserve"> експериментальному </w:t>
      </w:r>
      <w:proofErr w:type="spellStart"/>
      <w:r w:rsidRPr="00D3328F">
        <w:rPr>
          <w:sz w:val="28"/>
          <w:szCs w:val="28"/>
          <w:lang w:val="uk-UA"/>
        </w:rPr>
        <w:t>проєкті</w:t>
      </w:r>
      <w:proofErr w:type="spellEnd"/>
      <w:r w:rsidRPr="00D3328F">
        <w:rPr>
          <w:sz w:val="28"/>
          <w:szCs w:val="28"/>
          <w:lang w:val="uk-UA"/>
        </w:rPr>
        <w:t xml:space="preserve"> на зазначених у заявах</w:t>
      </w:r>
      <w:r w:rsidR="00680FE5" w:rsidRPr="00D3328F">
        <w:rPr>
          <w:sz w:val="28"/>
          <w:szCs w:val="28"/>
          <w:lang w:val="uk-UA"/>
        </w:rPr>
        <w:t xml:space="preserve"> дільницях.</w:t>
      </w:r>
      <w:r w:rsidRPr="00D3328F">
        <w:rPr>
          <w:sz w:val="28"/>
          <w:szCs w:val="28"/>
          <w:lang w:val="uk-UA"/>
        </w:rPr>
        <w:t xml:space="preserve"> </w:t>
      </w:r>
      <w:r w:rsidR="00680FE5" w:rsidRPr="00D3328F">
        <w:rPr>
          <w:sz w:val="28"/>
          <w:szCs w:val="28"/>
          <w:lang w:val="uk-UA"/>
        </w:rPr>
        <w:t xml:space="preserve">Серед </w:t>
      </w:r>
      <w:r w:rsidR="00F3119F" w:rsidRPr="00D3328F">
        <w:rPr>
          <w:sz w:val="28"/>
          <w:szCs w:val="28"/>
          <w:lang w:val="uk-UA"/>
        </w:rPr>
        <w:t>основних причин відмови заявникам</w:t>
      </w:r>
      <w:r w:rsidR="00680FE5" w:rsidRPr="00D3328F">
        <w:rPr>
          <w:sz w:val="28"/>
          <w:szCs w:val="28"/>
          <w:lang w:val="uk-UA"/>
        </w:rPr>
        <w:t xml:space="preserve"> </w:t>
      </w:r>
      <w:r w:rsidR="00F3119F" w:rsidRPr="00D3328F">
        <w:rPr>
          <w:sz w:val="28"/>
          <w:szCs w:val="28"/>
          <w:lang w:val="uk-UA"/>
        </w:rPr>
        <w:t>наявність на дільницях</w:t>
      </w:r>
      <w:r w:rsidRPr="00D3328F">
        <w:rPr>
          <w:sz w:val="28"/>
          <w:szCs w:val="28"/>
          <w:lang w:val="uk-UA"/>
        </w:rPr>
        <w:t xml:space="preserve"> руху </w:t>
      </w:r>
      <w:r w:rsidR="00A20D11" w:rsidRPr="00D3328F">
        <w:rPr>
          <w:sz w:val="28"/>
          <w:szCs w:val="28"/>
          <w:lang w:val="uk-UA"/>
        </w:rPr>
        <w:t xml:space="preserve">швидкісних пасажирських поїздів та </w:t>
      </w:r>
      <w:r w:rsidR="00890322" w:rsidRPr="00D3328F">
        <w:rPr>
          <w:sz w:val="28"/>
          <w:szCs w:val="28"/>
          <w:lang w:val="uk-UA"/>
        </w:rPr>
        <w:t>відсутність на дільниці пропускної спроможності</w:t>
      </w:r>
      <w:r w:rsidR="007D15B8" w:rsidRPr="00D3328F">
        <w:rPr>
          <w:sz w:val="28"/>
          <w:szCs w:val="28"/>
          <w:lang w:val="uk-UA"/>
        </w:rPr>
        <w:t>.</w:t>
      </w:r>
    </w:p>
    <w:p w:rsidR="00034AA1" w:rsidRPr="00D3328F" w:rsidRDefault="00EA2936" w:rsidP="0030262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328F">
        <w:rPr>
          <w:sz w:val="28"/>
          <w:szCs w:val="28"/>
          <w:lang w:val="uk-UA"/>
        </w:rPr>
        <w:lastRenderedPageBreak/>
        <w:t xml:space="preserve">На підставі </w:t>
      </w:r>
      <w:r w:rsidR="00A20D11" w:rsidRPr="00D3328F">
        <w:rPr>
          <w:sz w:val="28"/>
          <w:szCs w:val="28"/>
          <w:lang w:val="uk-UA"/>
        </w:rPr>
        <w:t xml:space="preserve">висновків </w:t>
      </w:r>
      <w:r w:rsidR="00FC076D" w:rsidRPr="00D3328F">
        <w:rPr>
          <w:sz w:val="28"/>
          <w:szCs w:val="28"/>
          <w:lang w:val="uk-UA"/>
        </w:rPr>
        <w:t>К</w:t>
      </w:r>
      <w:r w:rsidR="00A20D11" w:rsidRPr="00D3328F">
        <w:rPr>
          <w:sz w:val="28"/>
          <w:szCs w:val="28"/>
          <w:lang w:val="uk-UA"/>
        </w:rPr>
        <w:t>омісії</w:t>
      </w:r>
      <w:r w:rsidR="00FC076D" w:rsidRPr="00D3328F">
        <w:rPr>
          <w:sz w:val="28"/>
          <w:szCs w:val="28"/>
          <w:lang w:val="uk-UA"/>
        </w:rPr>
        <w:t xml:space="preserve"> </w:t>
      </w:r>
      <w:r w:rsidR="00A20D11" w:rsidRPr="00D3328F">
        <w:rPr>
          <w:rFonts w:eastAsia="Calibri"/>
          <w:bCs/>
          <w:sz w:val="28"/>
          <w:szCs w:val="28"/>
          <w:lang w:val="uk-UA"/>
        </w:rPr>
        <w:t>н</w:t>
      </w:r>
      <w:r w:rsidR="00383B73" w:rsidRPr="00D3328F">
        <w:rPr>
          <w:rFonts w:eastAsia="Calibri"/>
          <w:bCs/>
          <w:sz w:val="28"/>
          <w:szCs w:val="28"/>
          <w:lang w:val="uk-UA"/>
        </w:rPr>
        <w:t>аказом</w:t>
      </w:r>
      <w:r w:rsidR="00034AA1" w:rsidRPr="00D3328F">
        <w:rPr>
          <w:rFonts w:eastAsia="Calibri"/>
          <w:bCs/>
          <w:sz w:val="28"/>
          <w:szCs w:val="28"/>
          <w:lang w:val="uk-UA"/>
        </w:rPr>
        <w:t xml:space="preserve"> Мінінфраструктури від 26.08.2020 </w:t>
      </w:r>
      <w:r w:rsidR="00A20D11" w:rsidRPr="00D3328F">
        <w:rPr>
          <w:rFonts w:eastAsia="Calibri"/>
          <w:bCs/>
          <w:sz w:val="28"/>
          <w:szCs w:val="28"/>
          <w:lang w:val="uk-UA"/>
        </w:rPr>
        <w:br/>
      </w:r>
      <w:r w:rsidR="00034AA1" w:rsidRPr="00D3328F">
        <w:rPr>
          <w:rFonts w:eastAsia="Calibri"/>
          <w:bCs/>
          <w:sz w:val="28"/>
          <w:szCs w:val="28"/>
          <w:lang w:val="uk-UA"/>
        </w:rPr>
        <w:t xml:space="preserve">№ 540 </w:t>
      </w:r>
      <w:r w:rsidR="00034AA1" w:rsidRPr="00D3328F">
        <w:rPr>
          <w:bCs/>
          <w:sz w:val="28"/>
          <w:szCs w:val="28"/>
          <w:shd w:val="clear" w:color="auto" w:fill="FFFFFF"/>
          <w:lang w:val="uk-UA"/>
        </w:rPr>
        <w:t>«</w:t>
      </w:r>
      <w:r w:rsidR="00034AA1" w:rsidRPr="00D3328F">
        <w:rPr>
          <w:sz w:val="28"/>
          <w:szCs w:val="28"/>
          <w:lang w:val="uk-UA"/>
        </w:rPr>
        <w:t xml:space="preserve">Про визначення переліку учасників експериментального </w:t>
      </w:r>
      <w:proofErr w:type="spellStart"/>
      <w:r w:rsidR="00034AA1" w:rsidRPr="00D3328F">
        <w:rPr>
          <w:sz w:val="28"/>
          <w:szCs w:val="28"/>
          <w:lang w:val="uk-UA"/>
        </w:rPr>
        <w:t>проєкту</w:t>
      </w:r>
      <w:proofErr w:type="spellEnd"/>
      <w:r w:rsidR="00034AA1" w:rsidRPr="00D3328F">
        <w:rPr>
          <w:sz w:val="28"/>
          <w:szCs w:val="28"/>
          <w:lang w:val="uk-UA"/>
        </w:rPr>
        <w:t xml:space="preserve"> та дільниць залізничних колій загального користування для здійснення курс</w:t>
      </w:r>
      <w:r w:rsidR="00383B73" w:rsidRPr="00D3328F">
        <w:rPr>
          <w:sz w:val="28"/>
          <w:szCs w:val="28"/>
          <w:lang w:val="uk-UA"/>
        </w:rPr>
        <w:t>ування приватних локомотивів»</w:t>
      </w:r>
      <w:r w:rsidR="00034AA1" w:rsidRPr="00D3328F">
        <w:rPr>
          <w:sz w:val="28"/>
          <w:szCs w:val="28"/>
          <w:lang w:val="uk-UA"/>
        </w:rPr>
        <w:t xml:space="preserve"> </w:t>
      </w:r>
      <w:r w:rsidR="008414AA" w:rsidRPr="00D3328F">
        <w:rPr>
          <w:sz w:val="28"/>
          <w:szCs w:val="28"/>
          <w:lang w:val="uk-UA"/>
        </w:rPr>
        <w:t xml:space="preserve">(зі змінами) </w:t>
      </w:r>
      <w:r w:rsidR="00034AA1" w:rsidRPr="00D3328F">
        <w:rPr>
          <w:rFonts w:eastAsia="Calibri"/>
          <w:bCs/>
          <w:sz w:val="28"/>
          <w:szCs w:val="28"/>
          <w:lang w:val="uk-UA"/>
        </w:rPr>
        <w:t xml:space="preserve">визначено </w:t>
      </w:r>
      <w:r w:rsidR="00383B73" w:rsidRPr="00D3328F">
        <w:rPr>
          <w:rFonts w:eastAsia="Calibri"/>
          <w:bCs/>
          <w:sz w:val="28"/>
          <w:szCs w:val="28"/>
          <w:lang w:val="uk-UA"/>
        </w:rPr>
        <w:t>учасника</w:t>
      </w:r>
      <w:r w:rsidR="00034AA1" w:rsidRPr="00D3328F">
        <w:rPr>
          <w:rFonts w:eastAsia="Calibri"/>
          <w:bCs/>
          <w:sz w:val="28"/>
          <w:szCs w:val="28"/>
          <w:lang w:val="uk-UA"/>
        </w:rPr>
        <w:t xml:space="preserve"> експериментального </w:t>
      </w:r>
      <w:proofErr w:type="spellStart"/>
      <w:r w:rsidR="00034AA1" w:rsidRPr="00D3328F">
        <w:rPr>
          <w:rFonts w:eastAsia="Calibri"/>
          <w:bCs/>
          <w:sz w:val="28"/>
          <w:szCs w:val="28"/>
          <w:lang w:val="uk-UA"/>
        </w:rPr>
        <w:t>проєкту</w:t>
      </w:r>
      <w:proofErr w:type="spellEnd"/>
      <w:r w:rsidR="00034AA1" w:rsidRPr="00D3328F">
        <w:rPr>
          <w:rFonts w:eastAsia="Calibri"/>
          <w:bCs/>
          <w:sz w:val="28"/>
          <w:szCs w:val="28"/>
          <w:lang w:val="uk-UA"/>
        </w:rPr>
        <w:t xml:space="preserve"> на </w:t>
      </w:r>
      <w:r w:rsidR="00985040" w:rsidRPr="00D3328F">
        <w:rPr>
          <w:rFonts w:eastAsia="Calibri"/>
          <w:bCs/>
          <w:sz w:val="28"/>
          <w:szCs w:val="28"/>
          <w:lang w:val="uk-UA"/>
        </w:rPr>
        <w:t>17</w:t>
      </w:r>
      <w:r w:rsidR="00034AA1" w:rsidRPr="00D3328F">
        <w:rPr>
          <w:rFonts w:eastAsia="Calibri"/>
          <w:bCs/>
          <w:sz w:val="28"/>
          <w:szCs w:val="28"/>
          <w:lang w:val="uk-UA"/>
        </w:rPr>
        <w:t xml:space="preserve"> дільницях.</w:t>
      </w:r>
    </w:p>
    <w:p w:rsidR="00034AA1" w:rsidRPr="00D3328F" w:rsidRDefault="0032382F" w:rsidP="00383B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32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Слід зазначити, що </w:t>
      </w:r>
      <w:r w:rsidR="00034AA1" w:rsidRPr="00D332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16.12.2020 між АТ «Укрзалізниця» та</w:t>
      </w:r>
      <w:r w:rsidR="00763A87" w:rsidRPr="00D332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учасником експериментального </w:t>
      </w:r>
      <w:proofErr w:type="spellStart"/>
      <w:r w:rsidR="00763A87" w:rsidRPr="00D332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 w:rsidR="00E24DB1" w:rsidRPr="00D332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34AA1" w:rsidRPr="00D332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укладено договір про допуск приватних локомотивів до роботи на окремих маршрутах залізнични</w:t>
      </w:r>
      <w:r w:rsidR="00383B73" w:rsidRPr="00D332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 колій загального користування.</w:t>
      </w:r>
    </w:p>
    <w:p w:rsidR="007D15B8" w:rsidRPr="00D3328F" w:rsidRDefault="007D15B8" w:rsidP="00FA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Разом з цим за результатами першого року реалізації експериментального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виникла необхідн</w:t>
      </w:r>
      <w:r w:rsidR="00FA492B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ість внесення змін до Положення</w:t>
      </w:r>
      <w:r w:rsidR="00FA492B" w:rsidRPr="00D3328F">
        <w:rPr>
          <w:sz w:val="28"/>
          <w:szCs w:val="28"/>
        </w:rPr>
        <w:t xml:space="preserve"> </w:t>
      </w:r>
      <w:r w:rsidR="00FA492B" w:rsidRPr="00D3328F">
        <w:rPr>
          <w:rFonts w:ascii="Times New Roman" w:hAnsi="Times New Roman" w:cs="Times New Roman"/>
          <w:sz w:val="28"/>
          <w:szCs w:val="28"/>
        </w:rPr>
        <w:t xml:space="preserve">з метою удосконалення </w:t>
      </w:r>
      <w:r w:rsidR="00FA492B" w:rsidRPr="00D3328F">
        <w:rPr>
          <w:rFonts w:ascii="Times New Roman" w:hAnsi="Times New Roman" w:cs="Times New Roman"/>
          <w:bCs/>
          <w:noProof/>
          <w:sz w:val="28"/>
          <w:szCs w:val="28"/>
        </w:rPr>
        <w:t xml:space="preserve">порядку допуску приватних локомотивів </w:t>
      </w:r>
      <w:r w:rsidR="00FA492B" w:rsidRPr="00D3328F">
        <w:rPr>
          <w:rFonts w:ascii="Times New Roman" w:hAnsi="Times New Roman" w:cs="Times New Roman"/>
          <w:sz w:val="28"/>
          <w:szCs w:val="28"/>
        </w:rPr>
        <w:t xml:space="preserve">до роботи окремими маршрутами на залізничних коліях загального користування під час реалізації експериментального </w:t>
      </w:r>
      <w:proofErr w:type="spellStart"/>
      <w:r w:rsidR="00FA492B" w:rsidRPr="00D3328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A492B" w:rsidRPr="00D3328F">
        <w:rPr>
          <w:rFonts w:ascii="Times New Roman" w:hAnsi="Times New Roman" w:cs="Times New Roman"/>
          <w:sz w:val="28"/>
          <w:szCs w:val="28"/>
        </w:rPr>
        <w:t>.</w:t>
      </w:r>
    </w:p>
    <w:p w:rsidR="00221EB2" w:rsidRPr="00D3328F" w:rsidRDefault="00221EB2" w:rsidP="00FA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вимог пункту 2 розділу ІІ «Прикінцеві положення» Закону України «</w:t>
      </w:r>
      <w:r w:rsidRPr="00D332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деяких законів України щодо повноважень в галузі охорони навколишнього природного середовища»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Кабінет Міністрів України забезпечує прийняття рішень з питань, що потребують законодавчого врегулювання, крім випадків, визначених </w:t>
      </w:r>
      <w:hyperlink r:id="rId9" w:anchor="n4537" w:tgtFrame="_blank" w:history="1">
        <w:r w:rsidRPr="00D3328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статтею 92</w:t>
        </w:r>
      </w:hyperlink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 Конституції України, щодо проведення у сферах, відповідальність за які несе Кабінет Міністрів України, зокрема екології, державного управління, охорони здоров’я, експерименту, строк якого не перевищує двох років. Порядок проведення експерименту встановлюється Кабінетом Міністрів України.</w:t>
      </w:r>
    </w:p>
    <w:p w:rsidR="006F256E" w:rsidRPr="00D3328F" w:rsidRDefault="00221EB2" w:rsidP="0022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Згідно з </w:t>
      </w:r>
      <w:r w:rsidRPr="00D3328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частиною другою статті 18</w:t>
      </w:r>
      <w:r w:rsidRPr="00D332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 України «Про залізничний транспорт» д</w:t>
      </w:r>
      <w:r w:rsidR="006F256E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ля забезпечення зовнішньое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кономічних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зв’язків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АТ «Укрзалізниця»</w:t>
      </w:r>
      <w:r w:rsidR="006F256E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 міжнародні перевезення у прямому залізничному, прямому змішаному та непрямому міжнародному сполученнях.</w:t>
      </w:r>
      <w:r w:rsidR="00730321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Також слід зазначити, що Міністе</w:t>
      </w:r>
      <w:r w:rsidR="007C392F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рство інфраструктури України не наділене</w:t>
      </w:r>
      <w:r w:rsidR="00985040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92F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повноваженнями визначати </w:t>
      </w:r>
      <w:r w:rsidR="00730321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інфраструктуру залізничного транспорту інших держав для участі в експериментальному </w:t>
      </w:r>
      <w:proofErr w:type="spellStart"/>
      <w:r w:rsidR="00730321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="00C503D4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1EB2" w:rsidRPr="00D3328F" w:rsidRDefault="00221EB2" w:rsidP="0022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2171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пропонується уточнити</w:t>
      </w:r>
      <w:r w:rsidR="00EB6A48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, що Положення визначає порядок</w:t>
      </w:r>
      <w:r w:rsidR="00EB6A48" w:rsidRPr="00D3328F">
        <w:rPr>
          <w:rFonts w:ascii="Times New Roman" w:hAnsi="Times New Roman" w:cs="Times New Roman"/>
          <w:sz w:val="28"/>
          <w:szCs w:val="28"/>
        </w:rPr>
        <w:t xml:space="preserve"> доступу локомотивів, що належать суб’єктам господарювання, що не відносяться до сфери управління АТ «Укрзалізниця», до роботи окремими маршрутами на залізничних коліях загального користування України.</w:t>
      </w:r>
    </w:p>
    <w:p w:rsidR="00F419CA" w:rsidRPr="00D3328F" w:rsidRDefault="00F419CA" w:rsidP="00383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участі в </w:t>
      </w:r>
      <w:r w:rsidR="007E0FDE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реалізації експериментального </w:t>
      </w:r>
      <w:proofErr w:type="spellStart"/>
      <w:r w:rsidR="007E0FDE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7E0FDE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заявник </w:t>
      </w:r>
      <w:r w:rsidR="004F61F5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</w:t>
      </w:r>
      <w:r w:rsidR="00E24DB1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пункту 2.2. </w:t>
      </w:r>
      <w:r w:rsidR="004F61F5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Положення 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подає до Комісії заяву та документи до неї. У заяві зазначається дільниця</w:t>
      </w:r>
      <w:r w:rsidR="007C392F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якій заявник </w:t>
      </w:r>
      <w:r w:rsidR="002406B6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має бажання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курсувати</w:t>
      </w:r>
      <w:r w:rsidR="004F61F5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приватними локомотивами 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4F61F5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реалізації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експериментального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15B8" w:rsidRPr="00D3328F" w:rsidRDefault="007D15B8" w:rsidP="00383B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Чинними нормами Положення передбачені підстави для відмови заявнику в участ</w:t>
      </w:r>
      <w:r w:rsidR="00F419CA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у експериментальному </w:t>
      </w:r>
      <w:proofErr w:type="spellStart"/>
      <w:r w:rsidR="00F419CA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="002406B6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Однією з таких підстав </w:t>
      </w:r>
      <w:r w:rsidR="004F61F5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F419CA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наявність руху </w:t>
      </w:r>
      <w:r w:rsidR="00BF214C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швидкісних пасажирських поїздів </w:t>
      </w:r>
      <w:r w:rsidR="004F61F5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F214C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F61F5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запропонованій заявником дільниці).</w:t>
      </w:r>
    </w:p>
    <w:p w:rsidR="007D15B8" w:rsidRPr="00D3328F" w:rsidRDefault="007D15B8" w:rsidP="007D15B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3328F">
        <w:rPr>
          <w:sz w:val="28"/>
          <w:szCs w:val="28"/>
          <w:shd w:val="clear" w:color="auto" w:fill="FFFFFF"/>
          <w:lang w:val="uk-UA"/>
        </w:rPr>
        <w:t>Додатком 5 до Правил</w:t>
      </w:r>
      <w:r w:rsidRPr="00D3328F">
        <w:rPr>
          <w:bCs/>
          <w:sz w:val="28"/>
          <w:szCs w:val="28"/>
          <w:shd w:val="clear" w:color="auto" w:fill="FFFFFF"/>
          <w:lang w:val="uk-UA"/>
        </w:rPr>
        <w:t xml:space="preserve"> перевезення пасажирів, багажу, вантажобагажу та пошти залізничним транспортом України, затверджених наказом Міністерства транспорту та зв’язку України від </w:t>
      </w:r>
      <w:r w:rsidRPr="00D3328F">
        <w:rPr>
          <w:bCs/>
          <w:sz w:val="28"/>
          <w:szCs w:val="28"/>
          <w:lang w:val="uk-UA" w:eastAsia="uk-UA"/>
        </w:rPr>
        <w:t xml:space="preserve">27.12.2006  № 1196, </w:t>
      </w:r>
      <w:r w:rsidR="007C392F" w:rsidRPr="00D3328F">
        <w:rPr>
          <w:bCs/>
          <w:sz w:val="28"/>
          <w:szCs w:val="28"/>
          <w:shd w:val="clear" w:color="auto" w:fill="FFFFFF"/>
          <w:lang w:val="uk-UA"/>
        </w:rPr>
        <w:t>зареєстрованим</w:t>
      </w:r>
      <w:r w:rsidRPr="00D3328F">
        <w:rPr>
          <w:bCs/>
          <w:sz w:val="28"/>
          <w:szCs w:val="28"/>
          <w:shd w:val="clear" w:color="auto" w:fill="FFFFFF"/>
          <w:lang w:val="uk-UA"/>
        </w:rPr>
        <w:t xml:space="preserve"> в </w:t>
      </w:r>
      <w:r w:rsidRPr="00D3328F">
        <w:rPr>
          <w:bCs/>
          <w:sz w:val="28"/>
          <w:szCs w:val="28"/>
          <w:shd w:val="clear" w:color="auto" w:fill="FFFFFF"/>
          <w:lang w:val="uk-UA"/>
        </w:rPr>
        <w:lastRenderedPageBreak/>
        <w:t>Міністерстві юстиції Укра</w:t>
      </w:r>
      <w:r w:rsidR="00E24DB1" w:rsidRPr="00D3328F">
        <w:rPr>
          <w:bCs/>
          <w:sz w:val="28"/>
          <w:szCs w:val="28"/>
          <w:shd w:val="clear" w:color="auto" w:fill="FFFFFF"/>
          <w:lang w:val="uk-UA"/>
        </w:rPr>
        <w:t xml:space="preserve">їни 04.04.2007 за № 310/13577, </w:t>
      </w:r>
      <w:r w:rsidRPr="00D3328F">
        <w:rPr>
          <w:bCs/>
          <w:sz w:val="28"/>
          <w:szCs w:val="28"/>
          <w:shd w:val="clear" w:color="auto" w:fill="FFFFFF"/>
          <w:lang w:val="uk-UA"/>
        </w:rPr>
        <w:t xml:space="preserve">визначено </w:t>
      </w:r>
      <w:r w:rsidRPr="00D3328F">
        <w:rPr>
          <w:sz w:val="28"/>
          <w:szCs w:val="28"/>
          <w:shd w:val="clear" w:color="auto" w:fill="FFFFFF"/>
          <w:lang w:val="uk-UA"/>
        </w:rPr>
        <w:t>систему класифікації пасажирських поїздів</w:t>
      </w:r>
      <w:r w:rsidRPr="00D3328F">
        <w:rPr>
          <w:bCs/>
          <w:sz w:val="28"/>
          <w:szCs w:val="28"/>
          <w:shd w:val="clear" w:color="auto" w:fill="FFFFFF"/>
          <w:lang w:val="uk-UA"/>
        </w:rPr>
        <w:t>,</w:t>
      </w:r>
      <w:r w:rsidRPr="00D3328F">
        <w:rPr>
          <w:sz w:val="28"/>
          <w:szCs w:val="28"/>
          <w:shd w:val="clear" w:color="auto" w:fill="FFFFFF"/>
          <w:lang w:val="uk-UA"/>
        </w:rPr>
        <w:t xml:space="preserve"> яка налічує 9 категорій поїзда.</w:t>
      </w:r>
    </w:p>
    <w:p w:rsidR="00BF214C" w:rsidRPr="00D3328F" w:rsidRDefault="00464FF2" w:rsidP="00BF214C">
      <w:pPr>
        <w:pStyle w:val="a7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D3328F">
        <w:rPr>
          <w:sz w:val="28"/>
          <w:szCs w:val="28"/>
          <w:lang w:val="uk-UA"/>
        </w:rPr>
        <w:t>Проєктом</w:t>
      </w:r>
      <w:proofErr w:type="spellEnd"/>
      <w:r w:rsidRPr="00D3328F">
        <w:rPr>
          <w:sz w:val="28"/>
          <w:szCs w:val="28"/>
          <w:lang w:val="uk-UA"/>
        </w:rPr>
        <w:t xml:space="preserve"> </w:t>
      </w:r>
      <w:proofErr w:type="spellStart"/>
      <w:r w:rsidR="00CF2171" w:rsidRPr="00D3328F">
        <w:rPr>
          <w:sz w:val="28"/>
          <w:szCs w:val="28"/>
          <w:lang w:val="uk-UA"/>
        </w:rPr>
        <w:t>акта</w:t>
      </w:r>
      <w:proofErr w:type="spellEnd"/>
      <w:r w:rsidRPr="00D3328F">
        <w:rPr>
          <w:sz w:val="28"/>
          <w:szCs w:val="28"/>
          <w:lang w:val="uk-UA"/>
        </w:rPr>
        <w:t xml:space="preserve"> пропонується </w:t>
      </w:r>
      <w:r w:rsidR="00BF214C" w:rsidRPr="00D3328F">
        <w:rPr>
          <w:sz w:val="28"/>
          <w:szCs w:val="28"/>
          <w:lang w:val="uk-UA"/>
        </w:rPr>
        <w:t xml:space="preserve">уточнити </w:t>
      </w:r>
      <w:r w:rsidRPr="00D3328F">
        <w:rPr>
          <w:sz w:val="28"/>
          <w:szCs w:val="28"/>
          <w:lang w:val="uk-UA"/>
        </w:rPr>
        <w:t xml:space="preserve">категорії швидкісних пасажирських поїздів, а саме </w:t>
      </w:r>
      <w:r w:rsidRPr="00D3328F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Pr="00D3328F">
        <w:rPr>
          <w:sz w:val="28"/>
          <w:szCs w:val="28"/>
          <w:shd w:val="clear" w:color="auto" w:fill="FFFFFF"/>
          <w:lang w:val="uk-UA"/>
        </w:rPr>
        <w:t>Інтерсіті</w:t>
      </w:r>
      <w:proofErr w:type="spellEnd"/>
      <w:r w:rsidRPr="00D3328F">
        <w:rPr>
          <w:sz w:val="28"/>
          <w:szCs w:val="28"/>
          <w:shd w:val="clear" w:color="auto" w:fill="FFFFFF"/>
          <w:lang w:val="uk-UA"/>
        </w:rPr>
        <w:t>» та «</w:t>
      </w:r>
      <w:proofErr w:type="spellStart"/>
      <w:r w:rsidRPr="00D3328F">
        <w:rPr>
          <w:sz w:val="28"/>
          <w:szCs w:val="28"/>
          <w:shd w:val="clear" w:color="auto" w:fill="FFFFFF"/>
          <w:lang w:val="uk-UA"/>
        </w:rPr>
        <w:t>Інтерсіті</w:t>
      </w:r>
      <w:proofErr w:type="spellEnd"/>
      <w:r w:rsidRPr="00D3328F">
        <w:rPr>
          <w:sz w:val="28"/>
          <w:szCs w:val="28"/>
          <w:shd w:val="clear" w:color="auto" w:fill="FFFFFF"/>
          <w:lang w:val="uk-UA"/>
        </w:rPr>
        <w:t>+» через</w:t>
      </w:r>
      <w:r w:rsidRPr="00D3328F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D3328F">
        <w:rPr>
          <w:sz w:val="28"/>
          <w:szCs w:val="28"/>
          <w:lang w:val="uk-UA"/>
        </w:rPr>
        <w:t>підвищену швидкість їх руху та особливості формування графіку руху цих категорій поїздів.</w:t>
      </w:r>
    </w:p>
    <w:p w:rsidR="00FE0049" w:rsidRPr="00D3328F" w:rsidRDefault="00457857" w:rsidP="0045785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 станцій</w:t>
      </w:r>
      <w:r w:rsidR="007C392F"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яких перетинаються маршрути</w:t>
      </w:r>
      <w:r w:rsidRPr="00D33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швидкісних пасажирських поїздів «</w:t>
      </w:r>
      <w:proofErr w:type="spellStart"/>
      <w:r w:rsidRPr="00D33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Інтерсіті</w:t>
      </w:r>
      <w:proofErr w:type="spellEnd"/>
      <w:r w:rsidRPr="00D33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D33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Інтерсіті</w:t>
      </w:r>
      <w:proofErr w:type="spellEnd"/>
      <w:r w:rsidRPr="00D33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+» та приватних локомотивів</w:t>
      </w:r>
      <w:r w:rsidR="007C392F" w:rsidRPr="00D33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33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мають можливість забезпечити розведення маршрутів таких поїздів (по документах на станції є рух поїздів «</w:t>
      </w:r>
      <w:proofErr w:type="spellStart"/>
      <w:r w:rsidRPr="00D33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Інтерсіті</w:t>
      </w:r>
      <w:proofErr w:type="spellEnd"/>
      <w:r w:rsidRPr="00D33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D33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Інтерсіті</w:t>
      </w:r>
      <w:proofErr w:type="spellEnd"/>
      <w:r w:rsidRPr="00D33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+», однак відстань між вантажним парком та пасажирським парком може складати декілька кілометрів).</w:t>
      </w:r>
    </w:p>
    <w:p w:rsidR="007D15B8" w:rsidRPr="00D3328F" w:rsidRDefault="002406B6" w:rsidP="00D07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r w:rsidR="009D25A7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зниження 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ризиків безпеки перевезень під час реалізації експериментального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2171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328F">
        <w:rPr>
          <w:rFonts w:ascii="Times New Roman" w:hAnsi="Times New Roman" w:cs="Times New Roman"/>
          <w:sz w:val="28"/>
          <w:szCs w:val="28"/>
        </w:rPr>
        <w:t xml:space="preserve">пропонується </w:t>
      </w:r>
      <w:r w:rsidR="002274DB" w:rsidRPr="00D3328F">
        <w:rPr>
          <w:rFonts w:ascii="Times New Roman" w:hAnsi="Times New Roman" w:cs="Times New Roman"/>
          <w:sz w:val="28"/>
          <w:szCs w:val="28"/>
        </w:rPr>
        <w:t xml:space="preserve">визначити умови </w:t>
      </w:r>
      <w:r w:rsidR="002274DB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допуску руху приватних локомотивів на станціях</w:t>
      </w:r>
      <w:r w:rsidR="007C392F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74DB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яких курсують швидкісні пасажирські поїзди</w:t>
      </w:r>
      <w:r w:rsidR="00D07969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D07969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Інтерсіті</w:t>
      </w:r>
      <w:proofErr w:type="spellEnd"/>
      <w:r w:rsidR="00D07969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» та «</w:t>
      </w:r>
      <w:proofErr w:type="spellStart"/>
      <w:r w:rsidR="00D07969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Інтерсіті</w:t>
      </w:r>
      <w:proofErr w:type="spellEnd"/>
      <w:r w:rsidR="00D07969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+»</w:t>
      </w:r>
      <w:r w:rsidRPr="00D3328F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D07969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ввести норму, якою</w:t>
      </w:r>
      <w:r w:rsidR="00D07969" w:rsidRPr="00D3328F">
        <w:rPr>
          <w:rFonts w:ascii="Times New Roman" w:hAnsi="Times New Roman" w:cs="Times New Roman"/>
          <w:sz w:val="28"/>
          <w:szCs w:val="28"/>
        </w:rPr>
        <w:t xml:space="preserve"> </w:t>
      </w:r>
      <w:r w:rsidR="00D07969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допустити 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перетинання маршрутів слідування поїздів приватних локомотивів з швидкісними пасажи</w:t>
      </w:r>
      <w:r w:rsidR="00E24B73">
        <w:rPr>
          <w:rFonts w:ascii="Times New Roman" w:hAnsi="Times New Roman" w:cs="Times New Roman"/>
          <w:sz w:val="28"/>
          <w:szCs w:val="28"/>
          <w:shd w:val="clear" w:color="auto" w:fill="FFFFFF"/>
        </w:rPr>
        <w:t>рськими поїздами в одному рівні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на станціях, так і перегонах.</w:t>
      </w:r>
    </w:p>
    <w:p w:rsidR="00FE0049" w:rsidRPr="00D3328F" w:rsidRDefault="00FE0049" w:rsidP="00FE004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3328F">
        <w:rPr>
          <w:sz w:val="28"/>
          <w:szCs w:val="28"/>
          <w:shd w:val="clear" w:color="auto" w:fill="FFFFFF"/>
          <w:lang w:val="uk-UA"/>
        </w:rPr>
        <w:t xml:space="preserve">Крім того, нормами Положенням передбачено, що в разі визначення заявника підприємством-учасником експериментального </w:t>
      </w:r>
      <w:proofErr w:type="spellStart"/>
      <w:r w:rsidRPr="00D3328F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D3328F">
        <w:rPr>
          <w:sz w:val="28"/>
          <w:szCs w:val="28"/>
          <w:shd w:val="clear" w:color="auto" w:fill="FFFFFF"/>
          <w:lang w:val="uk-UA"/>
        </w:rPr>
        <w:t xml:space="preserve"> заявник надає Комісії протягом шести місяців з моменту прийняття позитивного рішення Комісії щодо участі заявника в експериментальному </w:t>
      </w:r>
      <w:proofErr w:type="spellStart"/>
      <w:r w:rsidRPr="00D3328F">
        <w:rPr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Pr="00D3328F">
        <w:rPr>
          <w:sz w:val="28"/>
          <w:szCs w:val="28"/>
          <w:shd w:val="clear" w:color="auto" w:fill="FFFFFF"/>
          <w:lang w:val="uk-UA"/>
        </w:rPr>
        <w:t xml:space="preserve"> завірених в установленому порядку суб’єктом господарювання копій документів, визначених в пункті 2.7 Положення.</w:t>
      </w:r>
    </w:p>
    <w:p w:rsidR="00FE0049" w:rsidRPr="00D3328F" w:rsidRDefault="00FE0049" w:rsidP="00FE0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 зазначити, що між датою прийняття рішення на засіданні Комісії та датою реєстрації листа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заявнику, якому направляється копія позитивного рішення Комісії щодо участі заявника в експериментальному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достатньо великий час (від одного до двох тижнів).</w:t>
      </w:r>
    </w:p>
    <w:p w:rsidR="00FE0049" w:rsidRPr="00D3328F" w:rsidRDefault="00FE0049" w:rsidP="00FE0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2171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пропонується також уточнити початок періоду</w:t>
      </w:r>
      <w:r w:rsidR="007C392F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якого заявник зобов’язаний подати до Комісії документи, визначені пунктом 2.7 Положення, а саме з дати реєстрації листа, яким заявнику направляється копія позитивного рішення Комісії щодо участі заявника в експериментальному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0049" w:rsidRPr="00D3328F" w:rsidRDefault="00FE0049" w:rsidP="00FE004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Зазначена норма дозволить заявникам не втрачати час</w:t>
      </w:r>
      <w:r w:rsidR="00FD51BB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необхідний для підготовки та надання до Комісії документів, визначених у пункті 2.7 Положення.</w:t>
      </w:r>
    </w:p>
    <w:p w:rsidR="00E05EFC" w:rsidRPr="00D3328F" w:rsidRDefault="001E7A69" w:rsidP="00D07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28F">
        <w:rPr>
          <w:rFonts w:ascii="Times New Roman" w:hAnsi="Times New Roman" w:cs="Times New Roman"/>
          <w:sz w:val="28"/>
          <w:szCs w:val="28"/>
          <w:lang w:eastAsia="uk-UA"/>
        </w:rPr>
        <w:t xml:space="preserve">Реалізація регуляторного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D3328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 w:rsidRPr="00D3328F">
        <w:rPr>
          <w:rFonts w:ascii="Times New Roman" w:hAnsi="Times New Roman" w:cs="Times New Roman"/>
          <w:sz w:val="28"/>
          <w:szCs w:val="28"/>
          <w:lang w:eastAsia="uk-UA"/>
        </w:rPr>
        <w:t xml:space="preserve"> можливість</w:t>
      </w:r>
      <w:r w:rsidRPr="00D3328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2B21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покращити умови підготовки документів учасниками експериментального</w:t>
      </w:r>
      <w:r w:rsidR="00062B21" w:rsidRPr="00D3328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062B21" w:rsidRPr="00D33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проєкту</w:t>
      </w:r>
      <w:proofErr w:type="spellEnd"/>
      <w:r w:rsidR="00E05EFC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50112" w:rsidRPr="00D332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A50112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знизити ризики</w:t>
      </w:r>
      <w:r w:rsidR="002066AF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50112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пов’язані з організацією перевізного</w:t>
      </w:r>
      <w:r w:rsidR="00A50112" w:rsidRPr="00D332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A50112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процесу, забезпеченням безпеки перевезень і наданням транспортних послуг необхідної якості </w:t>
      </w:r>
      <w:r w:rsidR="00E05EFC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при екс</w:t>
      </w:r>
      <w:r w:rsidR="009D25A7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плуатації приватних локомотивів під час реалізації експериментального </w:t>
      </w:r>
      <w:proofErr w:type="spellStart"/>
      <w:r w:rsidR="009D25A7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2066AF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D25A7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відпрацювати технічні та технологічні особливості реалізації доступу до залізничної інфраструктури</w:t>
      </w:r>
      <w:r w:rsidR="00A50112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328F" w:rsidRPr="00D3328F" w:rsidRDefault="00D3328F" w:rsidP="00D07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527" w:rsidRPr="00D3328F" w:rsidRDefault="00D72527" w:rsidP="00D7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Можна виділити такі основні групи (підгрупи), на які проблема справляє вплив: </w:t>
      </w:r>
    </w:p>
    <w:p w:rsidR="00D72527" w:rsidRPr="00D3328F" w:rsidRDefault="00D72527" w:rsidP="00D7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Ind w:w="-1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316"/>
        <w:gridCol w:w="3282"/>
      </w:tblGrid>
      <w:tr w:rsidR="00D72527" w:rsidRPr="00D3328F" w:rsidTr="003C4C74"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Групи (підгрупи)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D72527" w:rsidRPr="00D3328F" w:rsidTr="003C4C74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D72527" w:rsidRPr="00D3328F" w:rsidTr="003C4C74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527" w:rsidRPr="00D3328F" w:rsidTr="003C4C74">
        <w:tc>
          <w:tcPr>
            <w:tcW w:w="20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Суб’єкти господарювання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527" w:rsidRPr="00D3328F" w:rsidTr="003C4C74">
        <w:tc>
          <w:tcPr>
            <w:tcW w:w="20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тому числі суб’єкти малого підприємництва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27" w:rsidRPr="00D3328F" w:rsidRDefault="00D72527" w:rsidP="003C4C7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72527" w:rsidRPr="00D3328F" w:rsidRDefault="00D72527" w:rsidP="00D725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527" w:rsidRPr="00D3328F" w:rsidRDefault="00D72527" w:rsidP="00D93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28F">
        <w:rPr>
          <w:rFonts w:ascii="Times New Roman" w:eastAsia="Calibri" w:hAnsi="Times New Roman" w:cs="Times New Roman"/>
          <w:sz w:val="28"/>
          <w:szCs w:val="28"/>
        </w:rPr>
        <w:t>Вищезазначена проблема не може бути вирішена за допомогою ринкових механізмів, оскільки такі механізми відсутні.</w:t>
      </w:r>
    </w:p>
    <w:p w:rsidR="00AD7AAC" w:rsidRPr="00D3328F" w:rsidRDefault="00D72527" w:rsidP="00D9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28F">
        <w:rPr>
          <w:rFonts w:ascii="Times New Roman" w:eastAsia="Calibri" w:hAnsi="Times New Roman" w:cs="Times New Roman"/>
          <w:sz w:val="28"/>
          <w:szCs w:val="28"/>
        </w:rPr>
        <w:t xml:space="preserve">Проблема не може бути розв’язана за допомогою діючих регуляторних актів, оскільки </w:t>
      </w:r>
      <w:r w:rsidRPr="00D3328F">
        <w:rPr>
          <w:rFonts w:ascii="Times New Roman" w:hAnsi="Times New Roman" w:cs="Times New Roman"/>
          <w:sz w:val="28"/>
          <w:szCs w:val="28"/>
        </w:rPr>
        <w:t>законодавством України порушені питання не врегульовані.</w:t>
      </w:r>
    </w:p>
    <w:p w:rsidR="00D30BF7" w:rsidRPr="00D3328F" w:rsidRDefault="00D30BF7" w:rsidP="00D93DCF">
      <w:pPr>
        <w:widowControl w:val="0"/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328F">
        <w:rPr>
          <w:rFonts w:ascii="Times New Roman" w:hAnsi="Times New Roman" w:cs="Times New Roman"/>
          <w:sz w:val="28"/>
          <w:szCs w:val="28"/>
        </w:rPr>
        <w:t>Розв’язання описаних вище проблем можливе за допомогою внесення змін до Положення.</w:t>
      </w:r>
    </w:p>
    <w:p w:rsidR="00D72527" w:rsidRPr="00D3328F" w:rsidRDefault="00D72527" w:rsidP="00D93DCF">
      <w:pPr>
        <w:pStyle w:val="1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28F">
        <w:rPr>
          <w:rFonts w:ascii="Times New Roman" w:hAnsi="Times New Roman"/>
          <w:bCs/>
          <w:sz w:val="28"/>
          <w:szCs w:val="28"/>
        </w:rPr>
        <w:t xml:space="preserve">З метою реформування залізничного транспорту України та виконання зобов’язань України за Угодою про асоціацію необхідно </w:t>
      </w:r>
      <w:r w:rsidRPr="00D3328F">
        <w:rPr>
          <w:rFonts w:ascii="Times New Roman" w:hAnsi="Times New Roman"/>
          <w:sz w:val="28"/>
          <w:szCs w:val="28"/>
        </w:rPr>
        <w:t>прийняття нового закону про залізничний транспорт України.</w:t>
      </w:r>
    </w:p>
    <w:p w:rsidR="00D72527" w:rsidRPr="00D3328F" w:rsidRDefault="00D72527" w:rsidP="00D93DCF">
      <w:pPr>
        <w:pStyle w:val="1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28F">
        <w:rPr>
          <w:rFonts w:ascii="Times New Roman" w:hAnsi="Times New Roman"/>
          <w:sz w:val="28"/>
          <w:szCs w:val="28"/>
        </w:rPr>
        <w:t xml:space="preserve">Наразі народними депутатами України </w:t>
      </w:r>
      <w:proofErr w:type="spellStart"/>
      <w:r w:rsidRPr="00D3328F">
        <w:rPr>
          <w:rFonts w:ascii="Times New Roman" w:hAnsi="Times New Roman"/>
          <w:sz w:val="28"/>
          <w:szCs w:val="28"/>
        </w:rPr>
        <w:t>Кісєлєм</w:t>
      </w:r>
      <w:proofErr w:type="spellEnd"/>
      <w:r w:rsidRPr="00D3328F">
        <w:rPr>
          <w:rFonts w:ascii="Times New Roman" w:hAnsi="Times New Roman"/>
          <w:sz w:val="28"/>
          <w:szCs w:val="28"/>
        </w:rPr>
        <w:t xml:space="preserve"> Ю. Г., </w:t>
      </w:r>
      <w:proofErr w:type="spellStart"/>
      <w:r w:rsidRPr="00D3328F">
        <w:rPr>
          <w:rFonts w:ascii="Times New Roman" w:hAnsi="Times New Roman"/>
          <w:sz w:val="28"/>
          <w:szCs w:val="28"/>
        </w:rPr>
        <w:t>Скічком</w:t>
      </w:r>
      <w:proofErr w:type="spellEnd"/>
      <w:r w:rsidRPr="00D3328F">
        <w:rPr>
          <w:rFonts w:ascii="Times New Roman" w:hAnsi="Times New Roman"/>
          <w:sz w:val="28"/>
          <w:szCs w:val="28"/>
        </w:rPr>
        <w:t xml:space="preserve"> О. О. та іншими </w:t>
      </w:r>
      <w:proofErr w:type="spellStart"/>
      <w:r w:rsidRPr="00D3328F">
        <w:rPr>
          <w:rFonts w:ascii="Times New Roman" w:hAnsi="Times New Roman"/>
          <w:sz w:val="28"/>
          <w:szCs w:val="28"/>
        </w:rPr>
        <w:t>внесено</w:t>
      </w:r>
      <w:proofErr w:type="spellEnd"/>
      <w:r w:rsidRPr="00D3328F">
        <w:rPr>
          <w:rFonts w:ascii="Times New Roman" w:hAnsi="Times New Roman"/>
          <w:sz w:val="28"/>
          <w:szCs w:val="28"/>
        </w:rPr>
        <w:t xml:space="preserve"> до Верховної Ради України </w:t>
      </w:r>
      <w:proofErr w:type="spellStart"/>
      <w:r w:rsidRPr="00D3328F">
        <w:rPr>
          <w:rFonts w:ascii="Times New Roman" w:hAnsi="Times New Roman"/>
          <w:sz w:val="28"/>
          <w:szCs w:val="28"/>
        </w:rPr>
        <w:t>проєкт</w:t>
      </w:r>
      <w:proofErr w:type="spellEnd"/>
      <w:r w:rsidRPr="00D3328F">
        <w:rPr>
          <w:rFonts w:ascii="Times New Roman" w:hAnsi="Times New Roman"/>
          <w:sz w:val="28"/>
          <w:szCs w:val="28"/>
        </w:rPr>
        <w:t xml:space="preserve"> Закону України «Про залізничний транспорт України» (реєстр. № 1196-1 від 06.09.2019) (далі – </w:t>
      </w:r>
      <w:proofErr w:type="spellStart"/>
      <w:r w:rsidRPr="00D3328F">
        <w:rPr>
          <w:rFonts w:ascii="Times New Roman" w:hAnsi="Times New Roman"/>
          <w:sz w:val="28"/>
          <w:szCs w:val="28"/>
        </w:rPr>
        <w:t>законопроєкт</w:t>
      </w:r>
      <w:proofErr w:type="spellEnd"/>
      <w:r w:rsidRPr="00D3328F">
        <w:rPr>
          <w:rFonts w:ascii="Times New Roman" w:hAnsi="Times New Roman"/>
          <w:sz w:val="28"/>
          <w:szCs w:val="28"/>
        </w:rPr>
        <w:t xml:space="preserve">), який спрямований на створення умов для розвитку конкурентного середовища на ринку залізничних перевезень з урахуванням основних вимог законодавства Європейського Союзу. </w:t>
      </w:r>
    </w:p>
    <w:p w:rsidR="00D72527" w:rsidRPr="00D3328F" w:rsidRDefault="00D72527" w:rsidP="00D725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D3328F">
        <w:rPr>
          <w:sz w:val="28"/>
          <w:szCs w:val="28"/>
          <w:lang w:val="uk-UA"/>
        </w:rPr>
        <w:t>Законопроєкт</w:t>
      </w:r>
      <w:proofErr w:type="spellEnd"/>
      <w:r w:rsidRPr="00D3328F">
        <w:rPr>
          <w:sz w:val="28"/>
          <w:szCs w:val="28"/>
          <w:lang w:val="uk-UA"/>
        </w:rPr>
        <w:t xml:space="preserve"> презентує нову модель ринку залізничних перевезень, аналогічну євро</w:t>
      </w:r>
      <w:r w:rsidR="00E24B73">
        <w:rPr>
          <w:sz w:val="28"/>
          <w:szCs w:val="28"/>
          <w:lang w:val="uk-UA"/>
        </w:rPr>
        <w:t>пейським залізничним системам, в</w:t>
      </w:r>
      <w:r w:rsidRPr="00D3328F">
        <w:rPr>
          <w:sz w:val="28"/>
          <w:szCs w:val="28"/>
          <w:lang w:val="uk-UA"/>
        </w:rPr>
        <w:t xml:space="preserve">изначає основні вимоги, обов’язки та права оператора інфраструктури, перевізника, основні вимоги до залізничного рухомого складу та основи діяльності операторів залізничного рухомого складу. </w:t>
      </w:r>
    </w:p>
    <w:p w:rsidR="00BA4350" w:rsidRPr="00D3328F" w:rsidRDefault="00BA4350" w:rsidP="00D7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21" w:rsidRPr="00D3328F" w:rsidRDefault="00591452" w:rsidP="00062B2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 Цілі державного регулювання</w:t>
      </w:r>
    </w:p>
    <w:p w:rsidR="00062B21" w:rsidRPr="00D3328F" w:rsidRDefault="00062B21" w:rsidP="00062B2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AF" w:rsidRPr="00D3328F" w:rsidRDefault="00524CAD" w:rsidP="00062B2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28F">
        <w:rPr>
          <w:rFonts w:ascii="Times New Roman" w:hAnsi="Times New Roman" w:cs="Times New Roman"/>
          <w:sz w:val="28"/>
          <w:szCs w:val="28"/>
        </w:rPr>
        <w:t>Основними ц</w:t>
      </w:r>
      <w:r w:rsidR="00DA4ACB" w:rsidRPr="00D3328F">
        <w:rPr>
          <w:rFonts w:ascii="Times New Roman" w:hAnsi="Times New Roman" w:cs="Times New Roman"/>
          <w:sz w:val="28"/>
          <w:szCs w:val="28"/>
        </w:rPr>
        <w:t xml:space="preserve">ілями державного </w:t>
      </w:r>
      <w:r w:rsidRPr="00D3328F">
        <w:rPr>
          <w:rFonts w:ascii="Times New Roman" w:hAnsi="Times New Roman" w:cs="Times New Roman"/>
          <w:sz w:val="28"/>
          <w:szCs w:val="28"/>
        </w:rPr>
        <w:t xml:space="preserve">регулювання </w:t>
      </w:r>
      <w:r w:rsidR="00DA4ACB" w:rsidRPr="00D3328F">
        <w:rPr>
          <w:rFonts w:ascii="Times New Roman" w:hAnsi="Times New Roman" w:cs="Times New Roman"/>
          <w:sz w:val="28"/>
          <w:szCs w:val="28"/>
        </w:rPr>
        <w:t>є</w:t>
      </w:r>
      <w:r w:rsidR="00DA4ACB" w:rsidRPr="00D3328F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2066AF" w:rsidRPr="00D3328F" w:rsidRDefault="00F16DB8" w:rsidP="002066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покращення умов підготовки документів учасниками</w:t>
      </w:r>
      <w:r w:rsidR="002066AF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експериментального </w:t>
      </w:r>
      <w:proofErr w:type="spellStart"/>
      <w:r w:rsidR="002066AF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2066AF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2066AF" w:rsidRPr="00D332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2066AF" w:rsidRPr="00D3328F" w:rsidRDefault="002066AF" w:rsidP="0020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зниження ризиків, пов’язаних з організацією перевізного</w:t>
      </w:r>
      <w:r w:rsidRPr="00D332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процесу, забезпеченням безпеки перевезень і наданням транспортних послуг необхідної якості при експлуатації приватних локомотивів під час реалізації експериментального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66AF" w:rsidRPr="00D3328F" w:rsidRDefault="002066AF" w:rsidP="0020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відпрацювання технічних та технологічних особливостей реалізації доступу до залізничної інфраструктури.</w:t>
      </w:r>
    </w:p>
    <w:p w:rsidR="00D800CE" w:rsidRPr="00D3328F" w:rsidRDefault="00D800CE" w:rsidP="00524CAD">
      <w:pPr>
        <w:spacing w:after="0" w:line="240" w:lineRule="auto"/>
        <w:ind w:firstLine="567"/>
        <w:contextualSpacing/>
        <w:rPr>
          <w:rStyle w:val="apple-style-span"/>
          <w:sz w:val="28"/>
          <w:szCs w:val="28"/>
        </w:rPr>
      </w:pPr>
    </w:p>
    <w:p w:rsidR="00524CAD" w:rsidRPr="00D3328F" w:rsidRDefault="00524CAD" w:rsidP="00524CA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328F">
        <w:rPr>
          <w:rFonts w:ascii="Times New Roman" w:hAnsi="Times New Roman" w:cs="Times New Roman"/>
          <w:b/>
          <w:sz w:val="28"/>
          <w:szCs w:val="28"/>
        </w:rPr>
        <w:lastRenderedPageBreak/>
        <w:t>III. Визначення та оцінка альтернативних способів досягнення цілей</w:t>
      </w:r>
      <w:bookmarkStart w:id="1" w:name="n102"/>
      <w:bookmarkEnd w:id="1"/>
    </w:p>
    <w:p w:rsidR="00591452" w:rsidRPr="00D3328F" w:rsidRDefault="00591452" w:rsidP="00524CA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B65" w:rsidRPr="00D3328F" w:rsidRDefault="00524CAD" w:rsidP="00F30B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альтернативних способів</w:t>
      </w:r>
    </w:p>
    <w:p w:rsidR="000E1559" w:rsidRPr="00D3328F" w:rsidRDefault="000E1559" w:rsidP="000E1559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6"/>
        <w:gridCol w:w="6312"/>
      </w:tblGrid>
      <w:tr w:rsidR="00524CAD" w:rsidRPr="00D3328F" w:rsidTr="00E71030">
        <w:tc>
          <w:tcPr>
            <w:tcW w:w="172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4CAD" w:rsidRPr="00D3328F" w:rsidRDefault="00524CAD" w:rsidP="00524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eastAsia="Calibri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27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4CAD" w:rsidRPr="00D3328F" w:rsidRDefault="00524CAD" w:rsidP="00524CAD">
            <w:pPr>
              <w:spacing w:after="0" w:line="240" w:lineRule="auto"/>
              <w:ind w:right="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eastAsia="Calibri" w:hAnsi="Times New Roman" w:cs="Times New Roman"/>
                <w:sz w:val="28"/>
                <w:szCs w:val="28"/>
              </w:rPr>
              <w:t>Опис альтернативи</w:t>
            </w:r>
          </w:p>
        </w:tc>
      </w:tr>
      <w:tr w:rsidR="00524CAD" w:rsidRPr="00D3328F" w:rsidTr="00D93DCF">
        <w:trPr>
          <w:trHeight w:val="1136"/>
        </w:trPr>
        <w:tc>
          <w:tcPr>
            <w:tcW w:w="17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CAD" w:rsidRPr="00D3328F" w:rsidRDefault="00524CAD" w:rsidP="0052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Альтернатива 1.</w:t>
            </w:r>
          </w:p>
          <w:p w:rsidR="000E1559" w:rsidRPr="00D3328F" w:rsidRDefault="00524CAD" w:rsidP="0052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Збереження</w:t>
            </w:r>
            <w:r w:rsidR="00D93DCF" w:rsidRPr="00D332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ситуації, яка існує на цей час</w:t>
            </w:r>
          </w:p>
        </w:tc>
        <w:tc>
          <w:tcPr>
            <w:tcW w:w="327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449C" w:rsidRPr="00D3328F" w:rsidRDefault="0070449C" w:rsidP="001C400B">
            <w:pPr>
              <w:widowControl w:val="0"/>
              <w:spacing w:after="60" w:line="240" w:lineRule="auto"/>
              <w:ind w:right="66"/>
              <w:jc w:val="both"/>
              <w:rPr>
                <w:sz w:val="28"/>
                <w:szCs w:val="28"/>
              </w:rPr>
            </w:pPr>
            <w:r w:rsidRPr="00D3328F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Збереження чинного регулювання.</w:t>
            </w:r>
          </w:p>
          <w:p w:rsidR="00524CAD" w:rsidRPr="00D3328F" w:rsidRDefault="00524CAD" w:rsidP="00D93DCF">
            <w:pPr>
              <w:widowControl w:val="0"/>
              <w:spacing w:after="60" w:line="240" w:lineRule="auto"/>
              <w:ind w:right="6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62B21" w:rsidRPr="00D3328F" w:rsidTr="00D07969">
        <w:trPr>
          <w:trHeight w:val="870"/>
        </w:trPr>
        <w:tc>
          <w:tcPr>
            <w:tcW w:w="17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CAD" w:rsidRPr="00D3328F" w:rsidRDefault="00524CAD" w:rsidP="0052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Альтернатива </w:t>
            </w:r>
            <w:r w:rsidR="00AD3428" w:rsidRPr="00D332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24CAD" w:rsidRPr="00D3328F" w:rsidRDefault="00524CAD" w:rsidP="0052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Прийняття регуляторного </w:t>
            </w:r>
            <w:proofErr w:type="spellStart"/>
            <w:r w:rsidRPr="00D3328F">
              <w:rPr>
                <w:rFonts w:ascii="Times New Roman" w:eastAsia="Calibri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27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6DB8" w:rsidRPr="00D3328F" w:rsidRDefault="00852D60" w:rsidP="00CF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</w:t>
            </w:r>
            <w:r w:rsidR="0070449C"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наказу </w:t>
            </w: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Мінінфраструктури </w:t>
            </w:r>
            <w:r w:rsidR="0070449C"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r w:rsidR="00171EF0"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змін до </w:t>
            </w: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709C" w:rsidRPr="00D3328F">
              <w:rPr>
                <w:rFonts w:ascii="Times New Roman" w:hAnsi="Times New Roman" w:cs="Times New Roman"/>
                <w:sz w:val="28"/>
                <w:szCs w:val="28"/>
              </w:rPr>
              <w:t>имчасового п</w:t>
            </w:r>
            <w:r w:rsidR="0070449C"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оложення </w:t>
            </w:r>
            <w:r w:rsidR="0070449C" w:rsidRPr="00D3328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про порядок допуску приватних локомотивів </w:t>
            </w:r>
            <w:r w:rsidR="0070449C" w:rsidRPr="00D3328F">
              <w:rPr>
                <w:rFonts w:ascii="Times New Roman" w:hAnsi="Times New Roman" w:cs="Times New Roman"/>
                <w:sz w:val="28"/>
                <w:szCs w:val="28"/>
              </w:rPr>
              <w:t>до роботи окремими маршрутами на залізничних коліях загального користування»</w:t>
            </w:r>
            <w:r w:rsidR="00171EF0"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318" w:rsidRPr="00D3328F">
              <w:rPr>
                <w:rFonts w:ascii="Times New Roman" w:hAnsi="Times New Roman" w:cs="Times New Roman"/>
                <w:sz w:val="28"/>
                <w:szCs w:val="28"/>
              </w:rPr>
              <w:t>є обґрунтованим і ефективним способо</w:t>
            </w:r>
            <w:r w:rsidR="00777C70" w:rsidRPr="00D3328F">
              <w:rPr>
                <w:rFonts w:ascii="Times New Roman" w:hAnsi="Times New Roman" w:cs="Times New Roman"/>
                <w:sz w:val="28"/>
                <w:szCs w:val="28"/>
              </w:rPr>
              <w:t>м досягнення цілей:</w:t>
            </w:r>
            <w:r w:rsidR="00777C70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2B21" w:rsidRPr="00D3328F" w:rsidRDefault="00062B21" w:rsidP="0006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покращення умов підготовки документів учасниками експериментального </w:t>
            </w:r>
            <w:proofErr w:type="spellStart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D3328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</w:p>
          <w:p w:rsidR="00062B21" w:rsidRPr="00D3328F" w:rsidRDefault="00777C70" w:rsidP="00062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зниження ризиків, пов’язаних з організацією перевізного</w:t>
            </w:r>
            <w:r w:rsidRPr="00D3328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процесу, забезпеченням безпеки перевезень і наданням транспортних послуг необхідної якості при експлуатації приватних локомотивів під час реалізації експериментального </w:t>
            </w:r>
            <w:proofErr w:type="spellStart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171EF0" w:rsidRPr="00D3328F" w:rsidRDefault="00777C70" w:rsidP="00062B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відпрацювання технічних та технологічних особливостей реалізації доступу до залізничної інфраструктури.</w:t>
            </w:r>
          </w:p>
        </w:tc>
      </w:tr>
    </w:tbl>
    <w:p w:rsidR="00524CAD" w:rsidRPr="00D3328F" w:rsidRDefault="00FD19DF" w:rsidP="005914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Оцінка вибраних альтернативних способів досягнення цілей</w:t>
      </w:r>
    </w:p>
    <w:p w:rsidR="00524CAD" w:rsidRPr="00D3328F" w:rsidRDefault="00524CAD" w:rsidP="005914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F77" w:rsidRPr="00D3328F" w:rsidRDefault="00AB0F77" w:rsidP="00AB0F7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28F">
        <w:rPr>
          <w:rFonts w:ascii="Times New Roman" w:hAnsi="Times New Roman" w:cs="Times New Roman"/>
          <w:sz w:val="28"/>
          <w:szCs w:val="28"/>
        </w:rPr>
        <w:t>Оцінка впливу на сферу інтересів держави</w:t>
      </w:r>
    </w:p>
    <w:p w:rsidR="00AB0F77" w:rsidRPr="00D3328F" w:rsidRDefault="00AB0F77" w:rsidP="00AB0F7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827"/>
      </w:tblGrid>
      <w:tr w:rsidR="00AB0F77" w:rsidRPr="00D3328F" w:rsidTr="00D50001">
        <w:tc>
          <w:tcPr>
            <w:tcW w:w="2694" w:type="dxa"/>
          </w:tcPr>
          <w:p w:rsidR="00AB0F77" w:rsidRPr="00D3328F" w:rsidRDefault="00AB0F77" w:rsidP="00AB0F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альтернативи</w:t>
            </w:r>
          </w:p>
        </w:tc>
        <w:tc>
          <w:tcPr>
            <w:tcW w:w="3118" w:type="dxa"/>
          </w:tcPr>
          <w:p w:rsidR="00AB0F77" w:rsidRPr="00D3328F" w:rsidRDefault="00AB0F77" w:rsidP="00AB0F77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Вигоди</w:t>
            </w:r>
          </w:p>
        </w:tc>
        <w:tc>
          <w:tcPr>
            <w:tcW w:w="3827" w:type="dxa"/>
          </w:tcPr>
          <w:p w:rsidR="00AB0F77" w:rsidRPr="00D3328F" w:rsidRDefault="00AB0F77" w:rsidP="00AB0F77">
            <w:pPr>
              <w:tabs>
                <w:tab w:val="left" w:pos="0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Витрати</w:t>
            </w:r>
          </w:p>
        </w:tc>
      </w:tr>
      <w:tr w:rsidR="00062B21" w:rsidRPr="00D3328F" w:rsidTr="00FF2704">
        <w:trPr>
          <w:trHeight w:val="814"/>
        </w:trPr>
        <w:tc>
          <w:tcPr>
            <w:tcW w:w="2694" w:type="dxa"/>
          </w:tcPr>
          <w:p w:rsidR="00AB0F77" w:rsidRPr="00D3328F" w:rsidRDefault="00AB0F77" w:rsidP="00C942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Альтернатива 1.</w:t>
            </w:r>
          </w:p>
          <w:p w:rsidR="00745C18" w:rsidRPr="00D3328F" w:rsidRDefault="00745C18" w:rsidP="00C942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28F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Збереження ситуації, яка існує на цей час</w:t>
            </w:r>
          </w:p>
          <w:p w:rsidR="00AB0F77" w:rsidRPr="00D3328F" w:rsidRDefault="00AB0F77" w:rsidP="00891CD1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B0F77" w:rsidRPr="00D3328F" w:rsidRDefault="00684ACD" w:rsidP="00684ACD">
            <w:pPr>
              <w:tabs>
                <w:tab w:val="left" w:pos="567"/>
              </w:tabs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3827" w:type="dxa"/>
          </w:tcPr>
          <w:p w:rsidR="000B062E" w:rsidRPr="00D3328F" w:rsidRDefault="000B062E" w:rsidP="005E001A">
            <w:pPr>
              <w:tabs>
                <w:tab w:val="left" w:pos="567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разі збереження чинного регулювання без змін </w:t>
            </w:r>
            <w:r w:rsidR="000A3297" w:rsidRPr="00D33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залишиться </w:t>
            </w:r>
            <w:r w:rsidR="009649B2" w:rsidRPr="00D33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неврегульованим питання щодо допуску </w:t>
            </w:r>
            <w:r w:rsidR="009649B2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руху приватних локомотивів  </w:t>
            </w:r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станціях</w:t>
            </w:r>
            <w:r w:rsidR="007C392F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яких є</w:t>
            </w:r>
            <w:r w:rsidR="009649B2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</w:t>
            </w:r>
            <w:r w:rsidR="009649B2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швидкісних пасажирських поїздів «</w:t>
            </w:r>
            <w:proofErr w:type="spellStart"/>
            <w:r w:rsidR="009649B2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Інтерсіті</w:t>
            </w:r>
            <w:proofErr w:type="spellEnd"/>
            <w:r w:rsidR="009649B2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та «</w:t>
            </w:r>
            <w:proofErr w:type="spellStart"/>
            <w:r w:rsidR="009649B2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Інтерсіті</w:t>
            </w:r>
            <w:proofErr w:type="spellEnd"/>
            <w:r w:rsidR="009649B2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+».</w:t>
            </w:r>
          </w:p>
          <w:p w:rsidR="00684ACD" w:rsidRPr="00D3328F" w:rsidRDefault="00FD51BB" w:rsidP="00252EC6">
            <w:pPr>
              <w:tabs>
                <w:tab w:val="left" w:pos="567"/>
              </w:tabs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 може призвести до зменшення інтересу суб’єктів</w:t>
            </w:r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господарювання </w:t>
            </w: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щодо участі</w:t>
            </w:r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 експериментальному </w:t>
            </w:r>
            <w:proofErr w:type="spellStart"/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проєкті</w:t>
            </w:r>
            <w:proofErr w:type="spellEnd"/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що </w:t>
            </w:r>
            <w:r w:rsidR="000B062E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 свою чергу може зменшити кількість</w:t>
            </w:r>
            <w:r w:rsidR="007A7930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0A3297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закупівлі </w:t>
            </w:r>
            <w:r w:rsidR="000B062E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тягового </w:t>
            </w:r>
            <w:r w:rsidR="000A3297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рухомого складу.</w:t>
            </w:r>
          </w:p>
        </w:tc>
      </w:tr>
      <w:tr w:rsidR="00062B21" w:rsidRPr="00D3328F" w:rsidTr="00D50001">
        <w:tc>
          <w:tcPr>
            <w:tcW w:w="2694" w:type="dxa"/>
          </w:tcPr>
          <w:p w:rsidR="00BD46CD" w:rsidRPr="00D3328F" w:rsidRDefault="00BD46CD" w:rsidP="00BD46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Альтернатива 2.</w:t>
            </w:r>
          </w:p>
          <w:p w:rsidR="00BD46CD" w:rsidRPr="00D3328F" w:rsidRDefault="00BD46CD" w:rsidP="00BD46CD">
            <w:pPr>
              <w:tabs>
                <w:tab w:val="left" w:pos="42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регуляторного </w:t>
            </w:r>
            <w:proofErr w:type="spellStart"/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  <w:p w:rsidR="00BD46CD" w:rsidRPr="00D3328F" w:rsidRDefault="00BD46CD" w:rsidP="00BD46CD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46CD" w:rsidRPr="00D3328F" w:rsidRDefault="00BD46CD" w:rsidP="00BD46CD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5B120E" w:rsidRPr="00D3328F" w:rsidRDefault="005B120E" w:rsidP="005B12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Підвищення рівня безпеки залізничних перевезень.</w:t>
            </w:r>
          </w:p>
          <w:p w:rsidR="005B120E" w:rsidRPr="00D3328F" w:rsidRDefault="005B120E" w:rsidP="005B12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Уникнення Комісією спірних питань стосовно </w:t>
            </w: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наявності на станціях руху швидкісних пасажирських поїздів «</w:t>
            </w:r>
            <w:proofErr w:type="spellStart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Інтерсіті</w:t>
            </w:r>
            <w:proofErr w:type="spellEnd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«</w:t>
            </w:r>
            <w:proofErr w:type="spellStart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Інтерсіті</w:t>
            </w:r>
            <w:proofErr w:type="spellEnd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+» та руху приватних</w:t>
            </w:r>
          </w:p>
          <w:p w:rsidR="001D1135" w:rsidRPr="00D3328F" w:rsidRDefault="005B120E" w:rsidP="001D11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локомотивів.</w:t>
            </w:r>
          </w:p>
          <w:p w:rsidR="00A343D3" w:rsidRPr="00D3328F" w:rsidRDefault="00A37D34" w:rsidP="001E3385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firstLine="3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3328F">
              <w:t xml:space="preserve"> </w:t>
            </w:r>
          </w:p>
        </w:tc>
        <w:tc>
          <w:tcPr>
            <w:tcW w:w="3827" w:type="dxa"/>
          </w:tcPr>
          <w:p w:rsidR="00BD46CD" w:rsidRPr="00D3328F" w:rsidRDefault="00366E05" w:rsidP="00562546">
            <w:pPr>
              <w:tabs>
                <w:tab w:val="left" w:pos="567"/>
              </w:tabs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Адміністративні витрати</w:t>
            </w:r>
            <w:r w:rsidR="007C392F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пов’язані з роботою </w:t>
            </w:r>
            <w:r w:rsidRPr="00D33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Комісії з відбору учасників експериментального проекту та дільниць залізничних колій загального користування для здійснення курсування приватних локомотивів, а також для моніторингу реалізації експериментального проекту</w:t>
            </w:r>
            <w:r w:rsidR="00853014" w:rsidRPr="00D33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Адміністративні витрати складуть </w:t>
            </w:r>
            <w:r w:rsidR="000900D1" w:rsidRPr="00D33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38776,4</w:t>
            </w:r>
            <w:r w:rsidR="00853014" w:rsidRPr="00D33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гривень.</w:t>
            </w:r>
          </w:p>
        </w:tc>
      </w:tr>
    </w:tbl>
    <w:p w:rsidR="00D07969" w:rsidRPr="00D3328F" w:rsidRDefault="00D07969" w:rsidP="00062B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7969" w:rsidRPr="00D3328F" w:rsidRDefault="00D07969" w:rsidP="00062B2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91CD1" w:rsidRPr="00D3328F" w:rsidRDefault="00891CD1" w:rsidP="00891CD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28F">
        <w:rPr>
          <w:rFonts w:ascii="Times New Roman" w:hAnsi="Times New Roman" w:cs="Times New Roman"/>
          <w:sz w:val="28"/>
          <w:szCs w:val="28"/>
        </w:rPr>
        <w:t>Оцінка впливу на сферу інтересів громадян</w:t>
      </w:r>
    </w:p>
    <w:p w:rsidR="00F30B65" w:rsidRPr="00D3328F" w:rsidRDefault="00F30B65" w:rsidP="00891CD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93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1"/>
        <w:gridCol w:w="2120"/>
        <w:gridCol w:w="2134"/>
      </w:tblGrid>
      <w:tr w:rsidR="00891CD1" w:rsidRPr="00D3328F" w:rsidTr="00457857">
        <w:trPr>
          <w:cantSplit/>
        </w:trPr>
        <w:tc>
          <w:tcPr>
            <w:tcW w:w="5387" w:type="dxa"/>
            <w:hideMark/>
          </w:tcPr>
          <w:p w:rsidR="00891CD1" w:rsidRPr="00D3328F" w:rsidRDefault="00891CD1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2126" w:type="dxa"/>
            <w:hideMark/>
          </w:tcPr>
          <w:p w:rsidR="00891CD1" w:rsidRPr="00D3328F" w:rsidRDefault="00891CD1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2141" w:type="dxa"/>
            <w:hideMark/>
          </w:tcPr>
          <w:p w:rsidR="00891CD1" w:rsidRPr="00D3328F" w:rsidRDefault="00891CD1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891CD1" w:rsidRPr="00D3328F" w:rsidTr="00457857">
        <w:trPr>
          <w:cantSplit/>
          <w:trHeight w:val="746"/>
        </w:trPr>
        <w:tc>
          <w:tcPr>
            <w:tcW w:w="5387" w:type="dxa"/>
            <w:hideMark/>
          </w:tcPr>
          <w:p w:rsidR="00891CD1" w:rsidRPr="00D3328F" w:rsidRDefault="00891CD1" w:rsidP="00E71030">
            <w:pPr>
              <w:spacing w:after="0" w:line="240" w:lineRule="auto"/>
              <w:ind w:left="142" w:right="10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Альтернатива 1</w:t>
            </w:r>
          </w:p>
          <w:p w:rsidR="00891CD1" w:rsidRPr="00D3328F" w:rsidRDefault="00745C18" w:rsidP="005E001A">
            <w:pPr>
              <w:spacing w:after="0" w:line="240" w:lineRule="auto"/>
              <w:ind w:left="142" w:right="10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Збереження ситуації, яка існує на цей час</w:t>
            </w:r>
          </w:p>
        </w:tc>
        <w:tc>
          <w:tcPr>
            <w:tcW w:w="2126" w:type="dxa"/>
            <w:hideMark/>
          </w:tcPr>
          <w:p w:rsidR="00891CD1" w:rsidRPr="00D3328F" w:rsidRDefault="00891CD1" w:rsidP="00891CD1">
            <w:pPr>
              <w:spacing w:after="0" w:line="240" w:lineRule="auto"/>
              <w:ind w:left="143" w:right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2141" w:type="dxa"/>
            <w:hideMark/>
          </w:tcPr>
          <w:p w:rsidR="00891CD1" w:rsidRPr="00D3328F" w:rsidRDefault="00891CD1" w:rsidP="00891CD1">
            <w:pPr>
              <w:spacing w:after="0" w:line="240" w:lineRule="auto"/>
              <w:ind w:left="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891CD1" w:rsidRPr="00D3328F" w:rsidTr="00457857">
        <w:trPr>
          <w:cantSplit/>
          <w:trHeight w:val="660"/>
        </w:trPr>
        <w:tc>
          <w:tcPr>
            <w:tcW w:w="5387" w:type="dxa"/>
          </w:tcPr>
          <w:p w:rsidR="00891CD1" w:rsidRPr="00D3328F" w:rsidRDefault="00891CD1" w:rsidP="00E71030">
            <w:pPr>
              <w:spacing w:after="0" w:line="240" w:lineRule="auto"/>
              <w:ind w:left="142" w:right="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</w:p>
          <w:p w:rsidR="00891CD1" w:rsidRPr="00D3328F" w:rsidRDefault="00891CD1" w:rsidP="00E71030">
            <w:pPr>
              <w:spacing w:after="0" w:line="240" w:lineRule="auto"/>
              <w:ind w:left="142" w:right="10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регуляторного </w:t>
            </w:r>
            <w:proofErr w:type="spellStart"/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126" w:type="dxa"/>
          </w:tcPr>
          <w:p w:rsidR="00891CD1" w:rsidRPr="00D3328F" w:rsidRDefault="005E001A" w:rsidP="005E001A">
            <w:pPr>
              <w:spacing w:after="0" w:line="240" w:lineRule="auto"/>
              <w:ind w:left="51" w:right="9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2141" w:type="dxa"/>
          </w:tcPr>
          <w:p w:rsidR="00891CD1" w:rsidRPr="00D3328F" w:rsidRDefault="00891CD1" w:rsidP="00891CD1">
            <w:pPr>
              <w:spacing w:after="0" w:line="240" w:lineRule="auto"/>
              <w:ind w:left="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</w:tr>
    </w:tbl>
    <w:p w:rsidR="00D3328F" w:rsidRPr="00D3328F" w:rsidRDefault="00D3328F" w:rsidP="00583D2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83D2F" w:rsidRPr="00D3328F" w:rsidRDefault="00583D2F" w:rsidP="00583D2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28F">
        <w:rPr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</w:t>
      </w:r>
    </w:p>
    <w:p w:rsidR="00F30B65" w:rsidRPr="00D3328F" w:rsidRDefault="00F30B65" w:rsidP="00583D2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93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1544"/>
        <w:gridCol w:w="1404"/>
        <w:gridCol w:w="1261"/>
        <w:gridCol w:w="1261"/>
        <w:gridCol w:w="1475"/>
      </w:tblGrid>
      <w:tr w:rsidR="00583D2F" w:rsidRPr="00D3328F" w:rsidTr="00B33758">
        <w:trPr>
          <w:cantSplit/>
        </w:trPr>
        <w:tc>
          <w:tcPr>
            <w:tcW w:w="1388" w:type="pct"/>
            <w:hideMark/>
          </w:tcPr>
          <w:p w:rsidR="00583D2F" w:rsidRPr="00D3328F" w:rsidRDefault="00583D2F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  <w:p w:rsidR="00583D2F" w:rsidRPr="00D3328F" w:rsidRDefault="00583D2F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  <w:hideMark/>
          </w:tcPr>
          <w:p w:rsidR="00583D2F" w:rsidRPr="00D3328F" w:rsidRDefault="00583D2F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730" w:type="pct"/>
            <w:hideMark/>
          </w:tcPr>
          <w:p w:rsidR="00583D2F" w:rsidRPr="00D3328F" w:rsidRDefault="00583D2F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656" w:type="pct"/>
            <w:hideMark/>
          </w:tcPr>
          <w:p w:rsidR="00583D2F" w:rsidRPr="00D3328F" w:rsidRDefault="00583D2F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656" w:type="pct"/>
            <w:hideMark/>
          </w:tcPr>
          <w:p w:rsidR="00583D2F" w:rsidRPr="00D3328F" w:rsidRDefault="00583D2F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Мікро</w:t>
            </w:r>
          </w:p>
        </w:tc>
        <w:tc>
          <w:tcPr>
            <w:tcW w:w="767" w:type="pct"/>
            <w:hideMark/>
          </w:tcPr>
          <w:p w:rsidR="00583D2F" w:rsidRPr="00D3328F" w:rsidRDefault="00583D2F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583D2F" w:rsidRPr="00D3328F" w:rsidTr="00B33758">
        <w:trPr>
          <w:cantSplit/>
        </w:trPr>
        <w:tc>
          <w:tcPr>
            <w:tcW w:w="1388" w:type="pct"/>
            <w:hideMark/>
          </w:tcPr>
          <w:p w:rsidR="00583D2F" w:rsidRPr="00D3328F" w:rsidRDefault="00583D2F" w:rsidP="00E71030">
            <w:pPr>
              <w:spacing w:after="0" w:line="240" w:lineRule="auto"/>
              <w:ind w:left="142" w:right="2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803" w:type="pct"/>
          </w:tcPr>
          <w:p w:rsidR="00583D2F" w:rsidRPr="00D3328F" w:rsidRDefault="003E23DC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pct"/>
          </w:tcPr>
          <w:p w:rsidR="00583D2F" w:rsidRPr="00D3328F" w:rsidRDefault="003E23DC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" w:type="pct"/>
          </w:tcPr>
          <w:p w:rsidR="00583D2F" w:rsidRPr="00D3328F" w:rsidRDefault="008E21A2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pct"/>
          </w:tcPr>
          <w:p w:rsidR="00583D2F" w:rsidRPr="00D3328F" w:rsidRDefault="008E21A2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" w:type="pct"/>
          </w:tcPr>
          <w:p w:rsidR="00583D2F" w:rsidRPr="00D3328F" w:rsidRDefault="003E23DC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3D2F" w:rsidRPr="00D3328F" w:rsidTr="00B33758">
        <w:trPr>
          <w:cantSplit/>
        </w:trPr>
        <w:tc>
          <w:tcPr>
            <w:tcW w:w="1388" w:type="pct"/>
            <w:hideMark/>
          </w:tcPr>
          <w:p w:rsidR="00583D2F" w:rsidRPr="00D3328F" w:rsidRDefault="00583D2F" w:rsidP="00E71030">
            <w:pPr>
              <w:spacing w:after="0" w:line="240" w:lineRule="auto"/>
              <w:ind w:left="142" w:right="2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803" w:type="pct"/>
          </w:tcPr>
          <w:p w:rsidR="00583D2F" w:rsidRPr="00D3328F" w:rsidRDefault="003E23DC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2D60" w:rsidRPr="00D332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0" w:type="pct"/>
          </w:tcPr>
          <w:p w:rsidR="00583D2F" w:rsidRPr="00D3328F" w:rsidRDefault="003E23DC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52D60" w:rsidRPr="00D332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56" w:type="pct"/>
          </w:tcPr>
          <w:p w:rsidR="00583D2F" w:rsidRPr="00D3328F" w:rsidRDefault="00D50001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pct"/>
          </w:tcPr>
          <w:p w:rsidR="00583D2F" w:rsidRPr="00D3328F" w:rsidRDefault="00D50001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" w:type="pct"/>
          </w:tcPr>
          <w:p w:rsidR="00583D2F" w:rsidRPr="00D3328F" w:rsidRDefault="00D50001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52D60" w:rsidRPr="00D332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F011A" w:rsidRPr="00D3328F" w:rsidRDefault="004F011A" w:rsidP="00AB0F7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54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3502"/>
        <w:gridCol w:w="3977"/>
      </w:tblGrid>
      <w:tr w:rsidR="00720301" w:rsidRPr="00D3328F" w:rsidTr="00457857">
        <w:trPr>
          <w:cantSplit/>
          <w:trHeight w:val="314"/>
        </w:trPr>
        <w:tc>
          <w:tcPr>
            <w:tcW w:w="2263" w:type="dxa"/>
            <w:hideMark/>
          </w:tcPr>
          <w:p w:rsidR="00720301" w:rsidRPr="00D3328F" w:rsidRDefault="00720301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альтернативи</w:t>
            </w:r>
          </w:p>
        </w:tc>
        <w:tc>
          <w:tcPr>
            <w:tcW w:w="3516" w:type="dxa"/>
            <w:hideMark/>
          </w:tcPr>
          <w:p w:rsidR="00720301" w:rsidRPr="00D3328F" w:rsidRDefault="00720301" w:rsidP="00E71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993" w:type="dxa"/>
            <w:hideMark/>
          </w:tcPr>
          <w:p w:rsidR="00720301" w:rsidRPr="00D3328F" w:rsidRDefault="00720301" w:rsidP="00384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  <w:p w:rsidR="001E012A" w:rsidRPr="00D3328F" w:rsidRDefault="001E012A" w:rsidP="001E012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758" w:rsidRPr="00D3328F" w:rsidTr="00457857">
        <w:trPr>
          <w:cantSplit/>
          <w:trHeight w:val="1748"/>
        </w:trPr>
        <w:tc>
          <w:tcPr>
            <w:tcW w:w="2263" w:type="dxa"/>
          </w:tcPr>
          <w:p w:rsidR="00B33758" w:rsidRPr="00D3328F" w:rsidRDefault="00B33758" w:rsidP="001E012A">
            <w:pPr>
              <w:spacing w:after="0" w:line="240" w:lineRule="auto"/>
              <w:ind w:left="142" w:right="10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Альтернатива 1</w:t>
            </w:r>
          </w:p>
          <w:p w:rsidR="00B33758" w:rsidRPr="00D3328F" w:rsidRDefault="00B33758" w:rsidP="001E012A">
            <w:pPr>
              <w:spacing w:after="0" w:line="240" w:lineRule="auto"/>
              <w:ind w:left="142" w:right="10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Збереження ситуації, яка існує на цей час</w:t>
            </w:r>
          </w:p>
        </w:tc>
        <w:tc>
          <w:tcPr>
            <w:tcW w:w="3516" w:type="dxa"/>
          </w:tcPr>
          <w:p w:rsidR="00B33758" w:rsidRPr="00D3328F" w:rsidRDefault="00B33758" w:rsidP="00E71030">
            <w:pPr>
              <w:spacing w:after="0" w:line="240" w:lineRule="auto"/>
              <w:ind w:left="143" w:right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3993" w:type="dxa"/>
          </w:tcPr>
          <w:p w:rsidR="00B33758" w:rsidRPr="00D3328F" w:rsidRDefault="007A2AB7" w:rsidP="006C08D5">
            <w:pPr>
              <w:widowControl w:val="0"/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bCs/>
                <w:sz w:val="28"/>
                <w:szCs w:val="28"/>
              </w:rPr>
              <w:t>Зменшення фактичного часу на підготовку</w:t>
            </w:r>
            <w:r w:rsidR="00062B21" w:rsidRPr="00D33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надання</w:t>
            </w:r>
            <w:r w:rsidRPr="00D33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6671" w:rsidRPr="00D33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суб’єктами господарювання </w:t>
            </w:r>
            <w:r w:rsidRPr="00D3328F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документів, передбачених пунктом 2.7 Положення</w:t>
            </w:r>
            <w:r w:rsidR="00726671" w:rsidRPr="00D3328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57857" w:rsidRPr="00D3328F" w:rsidTr="00457857">
        <w:trPr>
          <w:cantSplit/>
          <w:trHeight w:val="1748"/>
        </w:trPr>
        <w:tc>
          <w:tcPr>
            <w:tcW w:w="2263" w:type="dxa"/>
          </w:tcPr>
          <w:p w:rsidR="00457857" w:rsidRPr="00D3328F" w:rsidRDefault="00457857" w:rsidP="00457857">
            <w:pPr>
              <w:spacing w:after="0" w:line="240" w:lineRule="auto"/>
              <w:ind w:left="142" w:right="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</w:p>
          <w:p w:rsidR="00457857" w:rsidRPr="00D3328F" w:rsidRDefault="00457857" w:rsidP="00457857">
            <w:pPr>
              <w:spacing w:after="0" w:line="240" w:lineRule="auto"/>
              <w:ind w:left="142" w:right="10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регуляторного </w:t>
            </w:r>
            <w:proofErr w:type="spellStart"/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516" w:type="dxa"/>
          </w:tcPr>
          <w:p w:rsidR="00457857" w:rsidRPr="00D3328F" w:rsidRDefault="00457857" w:rsidP="00730321">
            <w:pPr>
              <w:widowControl w:val="0"/>
              <w:spacing w:after="0" w:line="240" w:lineRule="auto"/>
              <w:ind w:left="143"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регуляторного </w:t>
            </w:r>
            <w:proofErr w:type="spellStart"/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 дозволить самим суб’єктам господарювання </w:t>
            </w: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відпрацювати технічні та технологічні особливості під час перевізного процесу </w:t>
            </w: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окремими маршрутами на залізничних коліях загального користування, розраховувати час для</w:t>
            </w:r>
            <w:r w:rsidR="00730321"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321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підготовки та надання до Комісії документів, визначених пунктом 2.7 Положення.</w:t>
            </w:r>
          </w:p>
        </w:tc>
        <w:tc>
          <w:tcPr>
            <w:tcW w:w="3993" w:type="dxa"/>
          </w:tcPr>
          <w:p w:rsidR="00457857" w:rsidRPr="00D3328F" w:rsidRDefault="00457857" w:rsidP="009F7DD8">
            <w:pPr>
              <w:widowControl w:val="0"/>
              <w:shd w:val="clear" w:color="auto" w:fill="FFFFFF"/>
              <w:spacing w:after="0" w:line="240" w:lineRule="atLeast"/>
              <w:ind w:left="19" w:right="11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Регуляторний акт не вимагає від суб’єктів господарювання обов’язкових додаткових витрат, пов’язаних з державним регулюванням. </w:t>
            </w:r>
          </w:p>
          <w:p w:rsidR="00730321" w:rsidRPr="00D3328F" w:rsidRDefault="00457857" w:rsidP="009F7DD8">
            <w:pPr>
              <w:widowControl w:val="0"/>
              <w:shd w:val="clear" w:color="auto" w:fill="FFFFFF"/>
              <w:spacing w:after="0" w:line="240" w:lineRule="atLeast"/>
              <w:ind w:left="19" w:right="11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Разом з тим, суб’єкти господарювання будуть нести адміністративні витрати на подання документів до Комісії для участі в експериментальному </w:t>
            </w:r>
            <w:proofErr w:type="spellStart"/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проєкті</w:t>
            </w:r>
            <w:proofErr w:type="spellEnd"/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що складатимуть (на одного</w:t>
            </w:r>
            <w:r w:rsidR="00730321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суб’єкта господарювання)  </w:t>
            </w:r>
            <w:r w:rsidR="00730321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730321" w:rsidRPr="00D33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4571,52 </w:t>
            </w:r>
            <w:r w:rsidR="00730321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гривень.</w:t>
            </w:r>
          </w:p>
          <w:p w:rsidR="00730321" w:rsidRPr="00D3328F" w:rsidRDefault="00730321" w:rsidP="009F7DD8">
            <w:pPr>
              <w:widowControl w:val="0"/>
              <w:tabs>
                <w:tab w:val="left" w:pos="3686"/>
              </w:tabs>
              <w:spacing w:after="0" w:line="240" w:lineRule="auto"/>
              <w:ind w:left="19" w:right="1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Інші витрати суб’єкта господарювання, пов’язані з реалізацією регуляторного </w:t>
            </w:r>
            <w:proofErr w:type="spellStart"/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неможливо розрахувати через значну кількість можливих варіантів участі суб’єктів господарювання у експериментальному </w:t>
            </w:r>
            <w:proofErr w:type="spellStart"/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проєкті</w:t>
            </w:r>
            <w:proofErr w:type="spellEnd"/>
            <w:r w:rsidRPr="00D33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(кількість ділянок, на які будуть подані заявки, кількість та тип локомотивів, шляхи придбання локомотивів (закупівля або оренда), кількість персоналу), які впливають на розрахунок витрат.</w:t>
            </w:r>
          </w:p>
          <w:p w:rsidR="00457857" w:rsidRPr="00D3328F" w:rsidRDefault="00457857" w:rsidP="006C08D5">
            <w:pPr>
              <w:widowControl w:val="0"/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7857" w:rsidRPr="00D3328F" w:rsidTr="00730321">
        <w:trPr>
          <w:cantSplit/>
          <w:trHeight w:val="2642"/>
        </w:trPr>
        <w:tc>
          <w:tcPr>
            <w:tcW w:w="2263" w:type="dxa"/>
          </w:tcPr>
          <w:p w:rsidR="00457857" w:rsidRPr="00D3328F" w:rsidRDefault="00457857" w:rsidP="00062B21">
            <w:pPr>
              <w:spacing w:after="0" w:line="240" w:lineRule="auto"/>
              <w:ind w:left="142" w:right="105"/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16" w:type="dxa"/>
          </w:tcPr>
          <w:p w:rsidR="00457857" w:rsidRPr="00D3328F" w:rsidRDefault="00457857" w:rsidP="0073032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457857" w:rsidRPr="00D3328F" w:rsidRDefault="00457857" w:rsidP="009F7DD8">
            <w:pPr>
              <w:widowControl w:val="0"/>
              <w:shd w:val="clear" w:color="auto" w:fill="FFFFFF"/>
              <w:spacing w:after="0" w:line="240" w:lineRule="atLeast"/>
              <w:ind w:left="19" w:right="117" w:hanging="1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Як приклад, надається розрахунок інших витрат суб’єкта господарювання, які виникають внаслідок дії регуляторного </w:t>
            </w:r>
            <w:proofErr w:type="spellStart"/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у разі участі в </w:t>
            </w:r>
            <w:proofErr w:type="spellStart"/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експериметальному</w:t>
            </w:r>
            <w:proofErr w:type="spellEnd"/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проєкті</w:t>
            </w:r>
            <w:proofErr w:type="spellEnd"/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(додаток 3 до аналізу регуляторного впливу).</w:t>
            </w:r>
          </w:p>
        </w:tc>
      </w:tr>
    </w:tbl>
    <w:p w:rsidR="00457857" w:rsidRPr="00D3328F" w:rsidRDefault="00457857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85"/>
        <w:gridCol w:w="3743"/>
      </w:tblGrid>
      <w:tr w:rsidR="00DB4A80" w:rsidRPr="00D3328F" w:rsidTr="00457857">
        <w:trPr>
          <w:trHeight w:val="734"/>
          <w:jc w:val="center"/>
        </w:trPr>
        <w:tc>
          <w:tcPr>
            <w:tcW w:w="6034" w:type="dxa"/>
          </w:tcPr>
          <w:p w:rsidR="00745C18" w:rsidRPr="00D3328F" w:rsidRDefault="00745C18" w:rsidP="00745C1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Сумарні витрати за альтернативами</w:t>
            </w:r>
          </w:p>
        </w:tc>
        <w:tc>
          <w:tcPr>
            <w:tcW w:w="3820" w:type="dxa"/>
          </w:tcPr>
          <w:p w:rsidR="00745C18" w:rsidRPr="00D3328F" w:rsidRDefault="00745C18" w:rsidP="00745C1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Сума витрат, гривень</w:t>
            </w:r>
          </w:p>
        </w:tc>
      </w:tr>
      <w:tr w:rsidR="00DB4A80" w:rsidRPr="00D3328F" w:rsidTr="00457857">
        <w:trPr>
          <w:trHeight w:val="1507"/>
          <w:jc w:val="center"/>
        </w:trPr>
        <w:tc>
          <w:tcPr>
            <w:tcW w:w="6034" w:type="dxa"/>
          </w:tcPr>
          <w:p w:rsidR="003C1C99" w:rsidRPr="00D3328F" w:rsidRDefault="003C1C99" w:rsidP="0045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Альтернатива 1. Сумарні витрати для суб’єктів господарювання великого і середнього підприємництва (</w:t>
            </w:r>
            <w:r w:rsidR="00B33758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Додаток 1</w:t>
            </w:r>
            <w:r w:rsidR="0045785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аналізу </w:t>
            </w:r>
            <w:r w:rsidR="00B33758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пливу регуляторного </w:t>
            </w:r>
            <w:proofErr w:type="spellStart"/>
            <w:r w:rsidR="00B33758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3820" w:type="dxa"/>
          </w:tcPr>
          <w:p w:rsidR="003C1C99" w:rsidRPr="00D3328F" w:rsidRDefault="008915D5" w:rsidP="008E1D5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</w:tr>
      <w:tr w:rsidR="00DB4A80" w:rsidRPr="00D3328F" w:rsidTr="00457857">
        <w:trPr>
          <w:trHeight w:val="1841"/>
          <w:jc w:val="center"/>
        </w:trPr>
        <w:tc>
          <w:tcPr>
            <w:tcW w:w="6034" w:type="dxa"/>
          </w:tcPr>
          <w:p w:rsidR="003C1C99" w:rsidRPr="00D3328F" w:rsidRDefault="003C1C99" w:rsidP="0045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Альтернатива 2. Сумарні витрати для суб’єктів господарювання великого і середнього підприємництва (</w:t>
            </w:r>
            <w:r w:rsidR="00B33758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Додаток 1</w:t>
            </w:r>
            <w:r w:rsidR="0045785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33758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аналізу впливу регуляторного </w:t>
            </w:r>
            <w:proofErr w:type="spellStart"/>
            <w:r w:rsidR="00B33758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 w:rsidR="00B33758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820" w:type="dxa"/>
          </w:tcPr>
          <w:p w:rsidR="00534145" w:rsidRPr="00D3328F" w:rsidRDefault="001D2ABA" w:rsidP="001A5273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Витрати суб’єкта господарювання </w:t>
            </w:r>
            <w:r w:rsidR="001A5273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великого та середнього підприємництва за рік становитиме </w:t>
            </w:r>
            <w:r w:rsidR="001C7013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915DAC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59429,76</w:t>
            </w:r>
            <w:r w:rsidR="00014E37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гривень</w:t>
            </w:r>
          </w:p>
          <w:p w:rsidR="00457857" w:rsidRPr="00D3328F" w:rsidRDefault="00457857" w:rsidP="001A5273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31C97" w:rsidRPr="00D3328F" w:rsidRDefault="00031C97" w:rsidP="001A527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14F7" w:rsidRPr="00D3328F" w:rsidRDefault="006514F7" w:rsidP="00031C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Вибір найбільш оптимального альтернативного способу досягнення цілей</w:t>
      </w:r>
    </w:p>
    <w:p w:rsidR="004F011A" w:rsidRPr="00D3328F" w:rsidRDefault="004F011A" w:rsidP="00031C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4252"/>
      </w:tblGrid>
      <w:tr w:rsidR="006514F7" w:rsidRPr="00D3328F" w:rsidTr="00E71030">
        <w:tc>
          <w:tcPr>
            <w:tcW w:w="2977" w:type="dxa"/>
            <w:shd w:val="clear" w:color="auto" w:fill="auto"/>
            <w:vAlign w:val="center"/>
          </w:tcPr>
          <w:p w:rsidR="006514F7" w:rsidRPr="00D3328F" w:rsidRDefault="006514F7" w:rsidP="006514F7">
            <w:pPr>
              <w:tabs>
                <w:tab w:val="left" w:pos="567"/>
              </w:tabs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Рейтинг результативності (досягнення цілей  під час вирішення проблеми)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4F7" w:rsidRPr="00D3328F" w:rsidRDefault="006514F7" w:rsidP="006514F7">
            <w:pPr>
              <w:tabs>
                <w:tab w:val="left" w:pos="567"/>
              </w:tabs>
              <w:spacing w:after="0" w:line="240" w:lineRule="auto"/>
              <w:ind w:left="-30" w:right="-30"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252" w:type="dxa"/>
            <w:shd w:val="clear" w:color="auto" w:fill="auto"/>
          </w:tcPr>
          <w:p w:rsidR="006514F7" w:rsidRPr="00D3328F" w:rsidRDefault="006514F7" w:rsidP="006514F7">
            <w:pPr>
              <w:tabs>
                <w:tab w:val="left" w:pos="567"/>
              </w:tabs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514F7" w:rsidRPr="00D3328F" w:rsidRDefault="006514F7" w:rsidP="006514F7">
            <w:pPr>
              <w:tabs>
                <w:tab w:val="left" w:pos="567"/>
              </w:tabs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514F7" w:rsidRPr="00D3328F" w:rsidRDefault="006514F7" w:rsidP="006514F7">
            <w:pPr>
              <w:tabs>
                <w:tab w:val="left" w:pos="567"/>
              </w:tabs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</w:t>
            </w:r>
            <w:proofErr w:type="spellEnd"/>
          </w:p>
        </w:tc>
      </w:tr>
      <w:tr w:rsidR="00DB4A80" w:rsidRPr="00D3328F" w:rsidTr="00E71030">
        <w:tc>
          <w:tcPr>
            <w:tcW w:w="2977" w:type="dxa"/>
            <w:shd w:val="clear" w:color="auto" w:fill="auto"/>
          </w:tcPr>
          <w:p w:rsidR="006514F7" w:rsidRPr="00D3328F" w:rsidRDefault="006514F7" w:rsidP="00A70746">
            <w:pPr>
              <w:tabs>
                <w:tab w:val="left" w:pos="56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1.</w:t>
            </w:r>
          </w:p>
          <w:p w:rsidR="006514F7" w:rsidRPr="00D3328F" w:rsidRDefault="006514F7" w:rsidP="00A70746">
            <w:pPr>
              <w:tabs>
                <w:tab w:val="left" w:pos="567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Збереження чинного регулювання</w:t>
            </w:r>
          </w:p>
        </w:tc>
        <w:tc>
          <w:tcPr>
            <w:tcW w:w="2410" w:type="dxa"/>
            <w:shd w:val="clear" w:color="auto" w:fill="auto"/>
          </w:tcPr>
          <w:p w:rsidR="006514F7" w:rsidRPr="00D3328F" w:rsidRDefault="006514F7" w:rsidP="006514F7">
            <w:pPr>
              <w:tabs>
                <w:tab w:val="left" w:pos="567"/>
              </w:tabs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514F7" w:rsidRPr="00D3328F" w:rsidRDefault="00C83222" w:rsidP="006C08D5">
            <w:pPr>
              <w:tabs>
                <w:tab w:val="left" w:pos="567"/>
              </w:tabs>
              <w:spacing w:after="0" w:line="240" w:lineRule="auto"/>
              <w:ind w:right="111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 випадку з</w:t>
            </w:r>
            <w:r w:rsidRPr="00D3328F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береження ситуації, яка існує на цей час</w:t>
            </w:r>
            <w:r w:rsidRPr="00D3328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, цілі прийняття регуляторного </w:t>
            </w:r>
            <w:proofErr w:type="spellStart"/>
            <w:r w:rsidRPr="00D3328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акта</w:t>
            </w:r>
            <w:proofErr w:type="spellEnd"/>
            <w:r w:rsidRPr="00D3328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не будуть досягнуті.</w:t>
            </w:r>
          </w:p>
        </w:tc>
      </w:tr>
      <w:tr w:rsidR="00DB4A80" w:rsidRPr="00D3328F" w:rsidTr="00E71030">
        <w:tc>
          <w:tcPr>
            <w:tcW w:w="2977" w:type="dxa"/>
            <w:shd w:val="clear" w:color="auto" w:fill="auto"/>
          </w:tcPr>
          <w:p w:rsidR="006514F7" w:rsidRPr="00D3328F" w:rsidRDefault="006514F7" w:rsidP="00C0257E">
            <w:pPr>
              <w:tabs>
                <w:tab w:val="left" w:pos="567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2.</w:t>
            </w:r>
          </w:p>
          <w:p w:rsidR="006514F7" w:rsidRPr="00D3328F" w:rsidRDefault="006514F7" w:rsidP="002E6F1B">
            <w:pPr>
              <w:tabs>
                <w:tab w:val="left" w:pos="567"/>
              </w:tabs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Прийняття </w:t>
            </w:r>
            <w:r w:rsidRPr="00D3328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регуляторного </w:t>
            </w:r>
            <w:proofErr w:type="spellStart"/>
            <w:r w:rsidRPr="00D3328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514F7" w:rsidRPr="00D3328F" w:rsidRDefault="001A5273" w:rsidP="006514F7">
            <w:pPr>
              <w:tabs>
                <w:tab w:val="left" w:pos="567"/>
              </w:tabs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B4A80" w:rsidRPr="00D3328F" w:rsidRDefault="006C08D5" w:rsidP="00DB4A80">
            <w:pPr>
              <w:tabs>
                <w:tab w:val="left" w:pos="567"/>
              </w:tabs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П</w:t>
            </w:r>
            <w:r w:rsidR="00D50001" w:rsidRPr="00D3328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рийняття </w:t>
            </w:r>
            <w:r w:rsidR="00D50001" w:rsidRPr="00D3328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регуляторного </w:t>
            </w:r>
            <w:proofErr w:type="spellStart"/>
            <w:r w:rsidR="00D50001" w:rsidRPr="00D3328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акта</w:t>
            </w:r>
            <w:proofErr w:type="spellEnd"/>
            <w:r w:rsidR="00D50001"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4D6" w:rsidRPr="00D3328F">
              <w:rPr>
                <w:rFonts w:ascii="Times New Roman" w:hAnsi="Times New Roman" w:cs="Times New Roman"/>
                <w:sz w:val="28"/>
                <w:szCs w:val="28"/>
              </w:rPr>
              <w:t>дозволить</w:t>
            </w:r>
            <w:r w:rsidR="00D50001" w:rsidRPr="00D332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4A80" w:rsidRPr="00D3328F" w:rsidRDefault="00DB4A80" w:rsidP="00DB4A80">
            <w:pPr>
              <w:tabs>
                <w:tab w:val="left" w:pos="567"/>
              </w:tabs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покращити умови підготовки документів учасниками експериментального </w:t>
            </w:r>
            <w:proofErr w:type="spellStart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D3328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</w:p>
          <w:p w:rsidR="002B68F7" w:rsidRPr="00D3328F" w:rsidRDefault="006C08D5" w:rsidP="006C08D5">
            <w:pPr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знизити</w:t>
            </w:r>
            <w:r w:rsidR="002B68F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ризики</w:t>
            </w:r>
            <w:r w:rsidR="002B68F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пов’язані</w:t>
            </w:r>
            <w:r w:rsidR="002B68F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організацією перевізного</w:t>
            </w:r>
            <w:r w:rsidR="002B68F7" w:rsidRPr="00D3328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="002B68F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процесу, забезпеченням безпеки перевезень </w:t>
            </w:r>
            <w:r w:rsidR="002B68F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і наданням транспортних послуг необхідної якості при експлуатації приватних локомотивів під час реалізації експериментального </w:t>
            </w:r>
            <w:proofErr w:type="spellStart"/>
            <w:r w:rsidR="002B68F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2B68F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B68F7" w:rsidRPr="00D3328F" w:rsidRDefault="006C08D5" w:rsidP="006C08D5">
            <w:pPr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відпрацювати технічні та технологічні особливості</w:t>
            </w:r>
            <w:r w:rsidR="002B68F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реалізації доступу до залізничної інфраструктури.</w:t>
            </w:r>
          </w:p>
          <w:p w:rsidR="003A423A" w:rsidRPr="00D3328F" w:rsidRDefault="003A423A" w:rsidP="00D50001">
            <w:pPr>
              <w:tabs>
                <w:tab w:val="left" w:pos="567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24CAD" w:rsidRPr="00D3328F" w:rsidRDefault="00524CAD" w:rsidP="005914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DCF" w:rsidRPr="00D3328F" w:rsidRDefault="00D93DCF" w:rsidP="005914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694"/>
        <w:gridCol w:w="2409"/>
      </w:tblGrid>
      <w:tr w:rsidR="008E1D54" w:rsidRPr="00D3328F" w:rsidTr="00852D60">
        <w:tc>
          <w:tcPr>
            <w:tcW w:w="2268" w:type="dxa"/>
            <w:shd w:val="clear" w:color="auto" w:fill="auto"/>
          </w:tcPr>
          <w:p w:rsidR="00394437" w:rsidRPr="00D3328F" w:rsidRDefault="00394437" w:rsidP="00394437">
            <w:pPr>
              <w:tabs>
                <w:tab w:val="left" w:pos="5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332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Рейтинг результативності</w:t>
            </w:r>
          </w:p>
        </w:tc>
        <w:tc>
          <w:tcPr>
            <w:tcW w:w="2268" w:type="dxa"/>
            <w:shd w:val="clear" w:color="auto" w:fill="auto"/>
          </w:tcPr>
          <w:p w:rsidR="00394437" w:rsidRPr="00D3328F" w:rsidRDefault="00394437" w:rsidP="0039443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332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Вигоди (підсумок)</w:t>
            </w:r>
          </w:p>
        </w:tc>
        <w:tc>
          <w:tcPr>
            <w:tcW w:w="2694" w:type="dxa"/>
            <w:shd w:val="clear" w:color="auto" w:fill="auto"/>
          </w:tcPr>
          <w:p w:rsidR="00394437" w:rsidRPr="00D3328F" w:rsidRDefault="00394437" w:rsidP="0039443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332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Витрати (підсумок)</w:t>
            </w:r>
          </w:p>
        </w:tc>
        <w:tc>
          <w:tcPr>
            <w:tcW w:w="2409" w:type="dxa"/>
            <w:shd w:val="clear" w:color="auto" w:fill="auto"/>
          </w:tcPr>
          <w:p w:rsidR="00394437" w:rsidRPr="00D3328F" w:rsidRDefault="00394437" w:rsidP="0039443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332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Обґрунтування відповідного місця альтернативи у рейтингу</w:t>
            </w:r>
          </w:p>
        </w:tc>
      </w:tr>
      <w:tr w:rsidR="00DB4A80" w:rsidRPr="00D3328F" w:rsidTr="00852D60">
        <w:tc>
          <w:tcPr>
            <w:tcW w:w="2268" w:type="dxa"/>
            <w:shd w:val="clear" w:color="auto" w:fill="auto"/>
          </w:tcPr>
          <w:p w:rsidR="00394437" w:rsidRPr="00D3328F" w:rsidRDefault="00394437" w:rsidP="007E6E79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Альтернатива 1.</w:t>
            </w:r>
          </w:p>
          <w:p w:rsidR="00394437" w:rsidRPr="00D3328F" w:rsidRDefault="00394437" w:rsidP="00394437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Збереження чинного регулювання.</w:t>
            </w:r>
          </w:p>
        </w:tc>
        <w:tc>
          <w:tcPr>
            <w:tcW w:w="2268" w:type="dxa"/>
            <w:shd w:val="clear" w:color="auto" w:fill="auto"/>
          </w:tcPr>
          <w:p w:rsidR="0016305C" w:rsidRPr="00D3328F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держави:</w:t>
            </w:r>
          </w:p>
          <w:p w:rsidR="0016305C" w:rsidRPr="00D3328F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  <w:p w:rsidR="0016305C" w:rsidRPr="00D3328F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05C" w:rsidRPr="00D3328F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05C" w:rsidRPr="00D3328F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Pr="00D3328F" w:rsidRDefault="0018509F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Pr="00D3328F" w:rsidRDefault="0018509F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Pr="00D3328F" w:rsidRDefault="0018509F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D60" w:rsidRPr="00D3328F" w:rsidRDefault="00852D60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D60" w:rsidRPr="00D3328F" w:rsidRDefault="00852D60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AB7" w:rsidRPr="00D3328F" w:rsidRDefault="007A2AB7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297" w:rsidRPr="00D3328F" w:rsidRDefault="000A3297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297" w:rsidRPr="00D3328F" w:rsidRDefault="000A3297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297" w:rsidRPr="00D3328F" w:rsidRDefault="000A3297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297" w:rsidRPr="00D3328F" w:rsidRDefault="000A3297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Pr="00D3328F" w:rsidRDefault="0016305C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громадян: відсутні</w:t>
            </w:r>
          </w:p>
          <w:p w:rsidR="00852D60" w:rsidRPr="00D3328F" w:rsidRDefault="00852D60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437" w:rsidRPr="00D3328F" w:rsidRDefault="0016305C" w:rsidP="0016305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суб’єктів господарювання: відсутні</w:t>
            </w: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16305C" w:rsidRPr="00D3328F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держави:</w:t>
            </w:r>
          </w:p>
          <w:p w:rsidR="00CF213A" w:rsidRPr="00D3328F" w:rsidRDefault="00DB4A80" w:rsidP="00CF213A">
            <w:pPr>
              <w:tabs>
                <w:tab w:val="left" w:pos="567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A3297" w:rsidRPr="00D3328F">
              <w:rPr>
                <w:rFonts w:ascii="Times New Roman" w:eastAsia="Times New Roman" w:hAnsi="Times New Roman" w:cs="Times New Roman"/>
                <w:sz w:val="28"/>
                <w:szCs w:val="28"/>
              </w:rPr>
              <w:t>еврегульован</w:t>
            </w:r>
            <w:r w:rsidR="00CF213A" w:rsidRPr="00D33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0A3297" w:rsidRPr="00D33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питання щодо допуску </w:t>
            </w:r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руху приватних локомотивів  на станціях</w:t>
            </w:r>
            <w:r w:rsidR="007C392F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яких є рух швидкісних пасажирських поїздів «</w:t>
            </w:r>
            <w:proofErr w:type="spellStart"/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Інтерсіті</w:t>
            </w:r>
            <w:proofErr w:type="spellEnd"/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та «</w:t>
            </w:r>
            <w:proofErr w:type="spellStart"/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Інтерсіті</w:t>
            </w:r>
            <w:proofErr w:type="spellEnd"/>
            <w:r w:rsidR="000A329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+»</w:t>
            </w:r>
            <w:r w:rsidR="00CF213A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2E6F1B" w:rsidRPr="00D3328F" w:rsidRDefault="00DB4A80" w:rsidP="00CF213A">
            <w:pPr>
              <w:tabs>
                <w:tab w:val="left" w:pos="567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зменшення кількості</w:t>
            </w:r>
            <w:r w:rsidR="000A3297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закупівлі тягового рухомого складу</w:t>
            </w: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CF213A" w:rsidRPr="00D3328F" w:rsidRDefault="00CF213A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05C" w:rsidRPr="00D3328F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громадян: відсутні</w:t>
            </w:r>
          </w:p>
          <w:p w:rsidR="0016305C" w:rsidRPr="00D3328F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3EB" w:rsidRPr="00D3328F" w:rsidRDefault="004743EB" w:rsidP="004743E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суб’єктів господарювання: </w:t>
            </w:r>
          </w:p>
          <w:p w:rsidR="00675E56" w:rsidRPr="00D3328F" w:rsidRDefault="00E24B73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75E56"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меншення можливості брати участь в експериментальному </w:t>
            </w:r>
            <w:proofErr w:type="spellStart"/>
            <w:r w:rsidR="00675E56"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</w:t>
            </w:r>
            <w:proofErr w:type="spellEnd"/>
            <w:r w:rsidR="004743EB"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4437" w:rsidRPr="00D3328F" w:rsidRDefault="002E6F1B" w:rsidP="00BF70E0">
            <w:pPr>
              <w:tabs>
                <w:tab w:val="left" w:pos="567"/>
              </w:tabs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зменшення фактичного часу на підготовку </w:t>
            </w:r>
            <w:r w:rsidRPr="00D332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суб’єкт</w:t>
            </w:r>
            <w:r w:rsidR="00BF70E0" w:rsidRPr="00D33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ами господарювання документів, визначених </w:t>
            </w:r>
            <w:r w:rsidRPr="00D3328F">
              <w:rPr>
                <w:rFonts w:ascii="Times New Roman" w:hAnsi="Times New Roman" w:cs="Times New Roman"/>
                <w:bCs/>
                <w:sz w:val="28"/>
                <w:szCs w:val="28"/>
              </w:rPr>
              <w:t>пунктом 2.7 Положення.</w:t>
            </w:r>
          </w:p>
        </w:tc>
        <w:tc>
          <w:tcPr>
            <w:tcW w:w="2409" w:type="dxa"/>
            <w:shd w:val="clear" w:color="auto" w:fill="auto"/>
          </w:tcPr>
          <w:p w:rsidR="00394437" w:rsidRPr="00D3328F" w:rsidRDefault="003A423A" w:rsidP="00394437">
            <w:pPr>
              <w:tabs>
                <w:tab w:val="left" w:pos="567"/>
              </w:tabs>
              <w:suppressAutoHyphens/>
              <w:spacing w:after="0" w:line="240" w:lineRule="auto"/>
              <w:ind w:firstLine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</w:t>
            </w:r>
            <w:r w:rsidR="00394437"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 дає змоги досягнути поставлених цілей державного регулювання. </w:t>
            </w:r>
          </w:p>
          <w:p w:rsidR="003A423A" w:rsidRPr="00D3328F" w:rsidRDefault="003A423A" w:rsidP="00DD768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E1D54" w:rsidRPr="00D3328F" w:rsidRDefault="008E1D54" w:rsidP="00DD768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1D54" w:rsidRPr="00D3328F" w:rsidTr="00CF213A">
        <w:trPr>
          <w:trHeight w:val="372"/>
        </w:trPr>
        <w:tc>
          <w:tcPr>
            <w:tcW w:w="2268" w:type="dxa"/>
            <w:shd w:val="clear" w:color="auto" w:fill="auto"/>
          </w:tcPr>
          <w:p w:rsidR="00394437" w:rsidRPr="00D3328F" w:rsidRDefault="00394437" w:rsidP="007E6E79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332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Альтернатива 2.</w:t>
            </w:r>
          </w:p>
          <w:p w:rsidR="007E6E79" w:rsidRPr="00D3328F" w:rsidRDefault="007E6E79" w:rsidP="007E6E79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</w:rPr>
              <w:t xml:space="preserve">Прийняття </w:t>
            </w:r>
            <w:r w:rsidRPr="00D3328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регуляторного </w:t>
            </w:r>
            <w:proofErr w:type="spellStart"/>
            <w:r w:rsidRPr="00D3328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акта</w:t>
            </w:r>
            <w:proofErr w:type="spellEnd"/>
          </w:p>
          <w:p w:rsidR="007E6E79" w:rsidRPr="00D3328F" w:rsidRDefault="007E6E79" w:rsidP="00394437">
            <w:pPr>
              <w:tabs>
                <w:tab w:val="left" w:pos="515"/>
              </w:tabs>
              <w:suppressAutoHyphens/>
              <w:spacing w:after="0" w:line="240" w:lineRule="auto"/>
              <w:ind w:right="112" w:firstLine="5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394437" w:rsidRPr="00D3328F" w:rsidRDefault="00394437" w:rsidP="00394437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E6F1B" w:rsidRPr="00D3328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держави:</w:t>
            </w:r>
            <w:r w:rsidR="0084208F"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6F1B" w:rsidRPr="00D3328F" w:rsidRDefault="00DB4A80" w:rsidP="002E6F1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F1B" w:rsidRPr="00D3328F">
              <w:rPr>
                <w:rFonts w:ascii="Times New Roman" w:hAnsi="Times New Roman" w:cs="Times New Roman"/>
                <w:sz w:val="28"/>
                <w:szCs w:val="28"/>
              </w:rPr>
              <w:t>ідвищення рівня</w:t>
            </w: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 безпеки залізничних перевезень,</w:t>
            </w:r>
          </w:p>
          <w:p w:rsidR="002E6F1B" w:rsidRPr="00D3328F" w:rsidRDefault="00DB4A80" w:rsidP="002E6F1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6F1B"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никнення Комісією спірних питань стосовно </w:t>
            </w:r>
            <w:r w:rsidR="002E6F1B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наявності на станціях руху швидкісних пасажирських поїздів «</w:t>
            </w:r>
            <w:proofErr w:type="spellStart"/>
            <w:r w:rsidR="002E6F1B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Інтерсіті</w:t>
            </w:r>
            <w:proofErr w:type="spellEnd"/>
            <w:r w:rsidR="002E6F1B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E24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2E6F1B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2E6F1B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Інтерсіті</w:t>
            </w:r>
            <w:proofErr w:type="spellEnd"/>
            <w:r w:rsidR="002E6F1B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+» </w:t>
            </w:r>
            <w:r w:rsidR="002F59F9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 </w:t>
            </w:r>
            <w:r w:rsidR="002E6F1B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руху приватних</w:t>
            </w:r>
          </w:p>
          <w:p w:rsidR="00FF2704" w:rsidRPr="00D3328F" w:rsidRDefault="00FF2704" w:rsidP="002E6F1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локомотивів</w:t>
            </w:r>
            <w:r w:rsidR="00730321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94437" w:rsidRPr="00D3328F" w:rsidRDefault="00394437" w:rsidP="00C72167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8509F" w:rsidRPr="00D3328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держави:</w:t>
            </w:r>
          </w:p>
          <w:p w:rsidR="001E42C0" w:rsidRPr="00D3328F" w:rsidRDefault="00DB4A80" w:rsidP="00CF213A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CF213A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дміністративні витрати</w:t>
            </w:r>
            <w:r w:rsidR="00E24B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CF213A"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пов’язані з роботою </w:t>
            </w:r>
            <w:r w:rsidR="00CF213A" w:rsidRPr="00D33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Комісії з відбору учасників експериментального проекту та дільниць залізничних колій загального користування для здійснення курсування приватних локомотивів, а також для моніторингу реалізації експериментального проекту.</w:t>
            </w:r>
          </w:p>
        </w:tc>
        <w:tc>
          <w:tcPr>
            <w:tcW w:w="2409" w:type="dxa"/>
            <w:shd w:val="clear" w:color="auto" w:fill="auto"/>
          </w:tcPr>
          <w:p w:rsidR="002E6F1B" w:rsidRPr="00D3328F" w:rsidRDefault="00DD768F" w:rsidP="009F7DD8">
            <w:pPr>
              <w:tabs>
                <w:tab w:val="left" w:pos="567"/>
              </w:tabs>
              <w:suppressAutoHyphens/>
              <w:spacing w:after="0" w:line="240" w:lineRule="auto"/>
              <w:ind w:right="111" w:hanging="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Досягнення</w:t>
            </w:r>
            <w:r w:rsidR="00394437" w:rsidRPr="00D332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поставлених цілей </w:t>
            </w:r>
            <w:r w:rsidRPr="00D332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державного регулювання, а саме</w:t>
            </w:r>
            <w:r w:rsidR="00C11680" w:rsidRPr="00D332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:</w:t>
            </w:r>
            <w:r w:rsidRPr="00D332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DB4A80" w:rsidRPr="00D3328F" w:rsidRDefault="00DB4A80" w:rsidP="009F7DD8">
            <w:pPr>
              <w:spacing w:after="0" w:line="240" w:lineRule="auto"/>
              <w:ind w:right="111" w:hanging="3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покращення умов підготовки документів учасник</w:t>
            </w:r>
            <w:r w:rsidR="0045785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ами </w:t>
            </w:r>
            <w:proofErr w:type="spellStart"/>
            <w:r w:rsidR="0045785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експерименталь</w:t>
            </w:r>
            <w:proofErr w:type="spellEnd"/>
            <w:r w:rsidR="009F7DD8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45785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ного </w:t>
            </w:r>
            <w:proofErr w:type="spellStart"/>
            <w:r w:rsidR="0045785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="00457857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D3328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</w:p>
          <w:p w:rsidR="00E24B73" w:rsidRDefault="00DB4A80" w:rsidP="009F7DD8">
            <w:pPr>
              <w:spacing w:after="0" w:line="240" w:lineRule="auto"/>
              <w:ind w:right="111" w:hanging="3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зниження ризиків, пов’язаних з організацією перевізного</w:t>
            </w:r>
            <w:r w:rsidRPr="00D3328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</w:p>
          <w:p w:rsidR="00DB4A80" w:rsidRPr="00D3328F" w:rsidRDefault="00DB4A80" w:rsidP="009F7DD8">
            <w:pPr>
              <w:spacing w:after="0" w:line="240" w:lineRule="auto"/>
              <w:ind w:right="111" w:hanging="3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процесу, забезпеченням безпеки перевезень і наданням транспортних послуг необхідної якості при експлуатації приватних локомотивів під час реалізації </w:t>
            </w:r>
            <w:proofErr w:type="spellStart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експерименталь</w:t>
            </w:r>
            <w:proofErr w:type="spellEnd"/>
            <w:r w:rsidR="009F7DD8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ного </w:t>
            </w:r>
            <w:proofErr w:type="spellStart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DB4A80" w:rsidRPr="00D3328F" w:rsidRDefault="00DB4A80" w:rsidP="009F7DD8">
            <w:pPr>
              <w:spacing w:after="0" w:line="240" w:lineRule="auto"/>
              <w:ind w:right="111" w:hanging="3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відпрацювання технічних та технологічних особливостей реалізації доступу до залізничної інфраструктури.</w:t>
            </w:r>
          </w:p>
          <w:p w:rsidR="00394437" w:rsidRPr="00D3328F" w:rsidRDefault="00394437" w:rsidP="009F7DD8">
            <w:pPr>
              <w:widowControl w:val="0"/>
              <w:tabs>
                <w:tab w:val="left" w:pos="1134"/>
              </w:tabs>
              <w:spacing w:after="0" w:line="240" w:lineRule="auto"/>
              <w:ind w:right="111" w:hanging="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B4A80" w:rsidRPr="00D3328F" w:rsidTr="00852D60">
        <w:trPr>
          <w:trHeight w:val="1776"/>
        </w:trPr>
        <w:tc>
          <w:tcPr>
            <w:tcW w:w="2268" w:type="dxa"/>
            <w:shd w:val="clear" w:color="auto" w:fill="auto"/>
          </w:tcPr>
          <w:p w:rsidR="00CF213A" w:rsidRPr="00D3328F" w:rsidRDefault="00CF213A" w:rsidP="007E6E79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F213A" w:rsidRPr="00D3328F" w:rsidRDefault="00CF213A" w:rsidP="00CF213A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громадян: відсутні</w:t>
            </w:r>
          </w:p>
          <w:p w:rsidR="00CF213A" w:rsidRPr="00D3328F" w:rsidRDefault="00CF213A" w:rsidP="00CF213A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13A" w:rsidRPr="00D3328F" w:rsidRDefault="00292765" w:rsidP="00CF213A">
            <w:pPr>
              <w:tabs>
                <w:tab w:val="left" w:pos="567"/>
              </w:tabs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13A"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суб’єктів господарювання: </w:t>
            </w:r>
          </w:p>
          <w:p w:rsidR="00292765" w:rsidRPr="00D3328F" w:rsidRDefault="00292765" w:rsidP="00DB4A80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відпрацювання технічних та технологічних особливостей під</w:t>
            </w:r>
            <w:r w:rsidR="00E24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перевізного процесу </w:t>
            </w: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окремими маршрутами на залізничних коліях загального користування,</w:t>
            </w:r>
          </w:p>
          <w:p w:rsidR="00CF213A" w:rsidRDefault="00292765" w:rsidP="00BF70E0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4A80"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озраховувати </w:t>
            </w: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час для </w:t>
            </w: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підготовки та надання до Комісії документів, </w:t>
            </w:r>
            <w:r w:rsidR="00BF70E0"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визначених </w:t>
            </w:r>
            <w:r w:rsidRPr="00D33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пунктом 2.7 Положення.</w:t>
            </w:r>
          </w:p>
          <w:p w:rsidR="00E24B73" w:rsidRPr="00D3328F" w:rsidRDefault="00E24B73" w:rsidP="00BF70E0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F213A" w:rsidRPr="00D3328F" w:rsidRDefault="00CF213A" w:rsidP="00CF213A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громадян: відсутні</w:t>
            </w:r>
          </w:p>
          <w:p w:rsidR="00CF213A" w:rsidRPr="00D3328F" w:rsidRDefault="00CF213A" w:rsidP="00CF213A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13A" w:rsidRPr="00D3328F" w:rsidRDefault="00CF213A" w:rsidP="00CF213A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суб’єктів господарювання: </w:t>
            </w:r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адміністративні витрати на подання документів до Комісії для участі в експериментальному </w:t>
            </w:r>
            <w:proofErr w:type="spellStart"/>
            <w:r w:rsidRPr="00D33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проєкті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213A" w:rsidRPr="00D3328F" w:rsidRDefault="00CF213A" w:rsidP="002E6F1B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3328F" w:rsidRPr="00D3328F" w:rsidRDefault="00D3328F" w:rsidP="00453C2E">
      <w:pPr>
        <w:tabs>
          <w:tab w:val="left" w:pos="-368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2E" w:rsidRPr="00D3328F" w:rsidRDefault="00394437" w:rsidP="00453C2E">
      <w:pPr>
        <w:tabs>
          <w:tab w:val="left" w:pos="-368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Механізм та заходи, які забезпечать розв’язання визначеної проблеми</w:t>
      </w:r>
    </w:p>
    <w:p w:rsidR="004F011A" w:rsidRPr="00D3328F" w:rsidRDefault="004F011A" w:rsidP="00453C2E">
      <w:pPr>
        <w:tabs>
          <w:tab w:val="left" w:pos="-368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70" w:rsidRPr="00D3328F" w:rsidRDefault="00394437" w:rsidP="0052417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3328F">
        <w:rPr>
          <w:sz w:val="28"/>
          <w:szCs w:val="28"/>
          <w:lang w:val="uk-UA"/>
        </w:rPr>
        <w:t>Механізмом, який забезпечить розв’язання проблематики,</w:t>
      </w:r>
      <w:r w:rsidR="00C11680" w:rsidRPr="00D3328F">
        <w:rPr>
          <w:sz w:val="28"/>
          <w:szCs w:val="28"/>
          <w:lang w:val="uk-UA"/>
        </w:rPr>
        <w:t xml:space="preserve"> є </w:t>
      </w:r>
      <w:r w:rsidR="00524170" w:rsidRPr="00D3328F">
        <w:rPr>
          <w:sz w:val="28"/>
          <w:szCs w:val="28"/>
          <w:lang w:val="uk-UA"/>
        </w:rPr>
        <w:t xml:space="preserve">прийняття наказу Міністерства інфраструктури України </w:t>
      </w:r>
      <w:r w:rsidR="00524170" w:rsidRPr="00D3328F">
        <w:rPr>
          <w:bCs/>
          <w:color w:val="000000"/>
          <w:sz w:val="28"/>
          <w:szCs w:val="28"/>
          <w:lang w:val="uk-UA"/>
        </w:rPr>
        <w:t xml:space="preserve">«Про </w:t>
      </w:r>
      <w:r w:rsidR="00524170" w:rsidRPr="00D3328F">
        <w:rPr>
          <w:rFonts w:eastAsia="Arial Unicode MS"/>
          <w:sz w:val="28"/>
          <w:szCs w:val="28"/>
          <w:lang w:val="uk-UA" w:eastAsia="uk-UA" w:bidi="uk-UA"/>
        </w:rPr>
        <w:t xml:space="preserve">внесення змін до </w:t>
      </w:r>
      <w:r w:rsidR="00524170" w:rsidRPr="00D3328F">
        <w:rPr>
          <w:bCs/>
          <w:sz w:val="28"/>
          <w:szCs w:val="28"/>
          <w:shd w:val="clear" w:color="auto" w:fill="FFFFFF"/>
          <w:lang w:val="uk-UA"/>
        </w:rPr>
        <w:t>Тимчасового положення про порядок допуску приватних локомотивів до роботи окремими маршрутами на залізничних коліях загального користування».</w:t>
      </w:r>
    </w:p>
    <w:p w:rsidR="00E24B73" w:rsidRPr="00D3328F" w:rsidRDefault="007C392F" w:rsidP="004B5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прийняттям регуляторного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="008A2A32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5D24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r w:rsidR="00585008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5008" w:rsidRPr="00D3328F">
        <w:rPr>
          <w:rFonts w:ascii="Times New Roman" w:hAnsi="Times New Roman" w:cs="Times New Roman"/>
          <w:sz w:val="28"/>
          <w:szCs w:val="28"/>
        </w:rPr>
        <w:t>Міністерства інфраструктури України з відбору учасників експериментального проекту щодо допуску приватних локомотивів до роботи окремими маршрутами на залізничних коліях загального користування та дільниць залізничних колій загального користування для здійснення курсування приватних локомотивів, а також для моніторингу реалізації експеримент</w:t>
      </w:r>
      <w:r w:rsidR="001143DA" w:rsidRPr="00D3328F">
        <w:rPr>
          <w:rFonts w:ascii="Times New Roman" w:hAnsi="Times New Roman" w:cs="Times New Roman"/>
          <w:sz w:val="28"/>
          <w:szCs w:val="28"/>
        </w:rPr>
        <w:t>ального проекту, утворен</w:t>
      </w:r>
      <w:r w:rsidRPr="00D3328F">
        <w:rPr>
          <w:rFonts w:ascii="Times New Roman" w:hAnsi="Times New Roman" w:cs="Times New Roman"/>
          <w:sz w:val="28"/>
          <w:szCs w:val="28"/>
        </w:rPr>
        <w:t>а</w:t>
      </w:r>
      <w:r w:rsidR="00585008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5008" w:rsidRPr="00D3328F">
        <w:rPr>
          <w:rFonts w:ascii="Times New Roman" w:hAnsi="Times New Roman" w:cs="Times New Roman"/>
          <w:sz w:val="28"/>
          <w:szCs w:val="28"/>
        </w:rPr>
        <w:t xml:space="preserve">наказом Міністерства інфраструктури України від 14.04.2020 № 233, </w:t>
      </w:r>
      <w:r w:rsidR="00364988" w:rsidRPr="00D3328F">
        <w:rPr>
          <w:rFonts w:ascii="Times New Roman" w:hAnsi="Times New Roman" w:cs="Times New Roman"/>
          <w:sz w:val="28"/>
          <w:szCs w:val="28"/>
        </w:rPr>
        <w:t>буде</w:t>
      </w:r>
      <w:r w:rsidR="00985040" w:rsidRPr="00D3328F">
        <w:rPr>
          <w:rFonts w:ascii="Times New Roman" w:hAnsi="Times New Roman" w:cs="Times New Roman"/>
          <w:sz w:val="28"/>
          <w:szCs w:val="28"/>
        </w:rPr>
        <w:t xml:space="preserve"> проводити</w:t>
      </w:r>
      <w:r w:rsidR="00364988" w:rsidRPr="00D3328F">
        <w:rPr>
          <w:rFonts w:ascii="Times New Roman" w:hAnsi="Times New Roman" w:cs="Times New Roman"/>
          <w:sz w:val="28"/>
          <w:szCs w:val="28"/>
        </w:rPr>
        <w:t xml:space="preserve"> </w:t>
      </w:r>
      <w:r w:rsidR="00364988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аналіз поданих заявником документів та робити висновки щодо участі заявника в експериментальному </w:t>
      </w:r>
      <w:proofErr w:type="spellStart"/>
      <w:r w:rsidR="00364988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="00364988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4988" w:rsidRPr="00D3328F">
        <w:rPr>
          <w:rFonts w:ascii="Times New Roman" w:hAnsi="Times New Roman" w:cs="Times New Roman"/>
          <w:sz w:val="28"/>
          <w:szCs w:val="28"/>
        </w:rPr>
        <w:t xml:space="preserve">з урахуванням нових норм </w:t>
      </w:r>
      <w:r w:rsidR="002B1732" w:rsidRPr="00D3328F">
        <w:rPr>
          <w:rFonts w:ascii="Times New Roman" w:hAnsi="Times New Roman" w:cs="Times New Roman"/>
          <w:sz w:val="28"/>
          <w:szCs w:val="28"/>
        </w:rPr>
        <w:t>Положення.</w:t>
      </w:r>
    </w:p>
    <w:p w:rsidR="002B1732" w:rsidRPr="00D3328F" w:rsidRDefault="002B1732" w:rsidP="002B1732">
      <w:pPr>
        <w:widowControl w:val="0"/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28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Реалізація регуляторного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D3328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3328F">
        <w:rPr>
          <w:rFonts w:ascii="Times New Roman" w:hAnsi="Times New Roman" w:cs="Times New Roman"/>
          <w:sz w:val="28"/>
          <w:szCs w:val="28"/>
        </w:rPr>
        <w:t>дасть змогу:</w:t>
      </w:r>
    </w:p>
    <w:p w:rsidR="002B1732" w:rsidRPr="00D3328F" w:rsidRDefault="002B1732" w:rsidP="002B1732">
      <w:pPr>
        <w:widowControl w:val="0"/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покращити умови підготовки документів учасник</w:t>
      </w:r>
      <w:r w:rsidR="00F42E90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експериментального </w:t>
      </w:r>
      <w:proofErr w:type="spellStart"/>
      <w:r w:rsidR="00F42E90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F42E90"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1732" w:rsidRPr="00D3328F" w:rsidRDefault="002B1732" w:rsidP="00741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знизити ризики, пов’язані з організацією перевізного</w:t>
      </w:r>
      <w:r w:rsidRPr="00D332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процесу, забезпеченням безпеки перевезень і наданням транспортних послуг необхідної якості при експлуатації приватних локомотивів під час реалізації експериментального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1732" w:rsidRPr="00D3328F" w:rsidRDefault="002B1732" w:rsidP="00741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28F">
        <w:rPr>
          <w:rFonts w:ascii="Times New Roman" w:hAnsi="Times New Roman" w:cs="Times New Roman"/>
          <w:sz w:val="28"/>
          <w:szCs w:val="28"/>
          <w:shd w:val="clear" w:color="auto" w:fill="FFFFFF"/>
        </w:rPr>
        <w:t>відпрацювати технічні та технологічні особливості реалізації доступу до залізничної інфраструктури.</w:t>
      </w:r>
    </w:p>
    <w:p w:rsidR="002B1732" w:rsidRPr="00D3328F" w:rsidRDefault="006979AB" w:rsidP="00741DC8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D3328F">
        <w:rPr>
          <w:sz w:val="28"/>
          <w:szCs w:val="28"/>
          <w:lang w:val="uk-UA"/>
        </w:rPr>
        <w:t xml:space="preserve">Для впровадження цього регуляторного </w:t>
      </w:r>
      <w:proofErr w:type="spellStart"/>
      <w:r w:rsidRPr="00D3328F">
        <w:rPr>
          <w:sz w:val="28"/>
          <w:szCs w:val="28"/>
          <w:lang w:val="uk-UA"/>
        </w:rPr>
        <w:t>акта</w:t>
      </w:r>
      <w:proofErr w:type="spellEnd"/>
      <w:r w:rsidRPr="00D3328F">
        <w:rPr>
          <w:sz w:val="28"/>
          <w:szCs w:val="28"/>
          <w:lang w:val="uk-UA"/>
        </w:rPr>
        <w:t xml:space="preserve"> необхідно забезпечити інформування громадськості про вимоги регуляторного </w:t>
      </w:r>
      <w:proofErr w:type="spellStart"/>
      <w:r w:rsidRPr="00D3328F">
        <w:rPr>
          <w:sz w:val="28"/>
          <w:szCs w:val="28"/>
          <w:lang w:val="uk-UA"/>
        </w:rPr>
        <w:t>акта</w:t>
      </w:r>
      <w:proofErr w:type="spellEnd"/>
      <w:r w:rsidRPr="00D3328F">
        <w:rPr>
          <w:sz w:val="28"/>
          <w:szCs w:val="28"/>
          <w:lang w:val="uk-UA"/>
        </w:rPr>
        <w:t xml:space="preserve"> шляхом його оприлюднення на офіційному </w:t>
      </w:r>
      <w:proofErr w:type="spellStart"/>
      <w:r w:rsidRPr="00D3328F">
        <w:rPr>
          <w:sz w:val="28"/>
          <w:szCs w:val="28"/>
          <w:lang w:val="uk-UA"/>
        </w:rPr>
        <w:t>вебсайті</w:t>
      </w:r>
      <w:proofErr w:type="spellEnd"/>
      <w:r w:rsidRPr="00D3328F">
        <w:rPr>
          <w:sz w:val="28"/>
          <w:szCs w:val="28"/>
          <w:lang w:val="uk-UA"/>
        </w:rPr>
        <w:t xml:space="preserve"> Мінінфраструктури.</w:t>
      </w:r>
      <w:r w:rsidR="002B1732" w:rsidRPr="00D3328F">
        <w:rPr>
          <w:sz w:val="28"/>
          <w:szCs w:val="28"/>
          <w:lang w:val="uk-UA"/>
        </w:rPr>
        <w:t xml:space="preserve"> </w:t>
      </w:r>
    </w:p>
    <w:p w:rsidR="00741DC8" w:rsidRPr="00D3328F" w:rsidRDefault="00741DC8" w:rsidP="00741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3328F">
        <w:rPr>
          <w:rFonts w:ascii="Times New Roman" w:hAnsi="Times New Roman" w:cs="Times New Roman"/>
          <w:sz w:val="28"/>
          <w:szCs w:val="28"/>
          <w:lang w:eastAsia="uk-UA"/>
        </w:rPr>
        <w:t xml:space="preserve">Ризиків впливу зовнішніх факторів на дію регуляторного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D3328F">
        <w:rPr>
          <w:rFonts w:ascii="Times New Roman" w:hAnsi="Times New Roman" w:cs="Times New Roman"/>
          <w:sz w:val="28"/>
          <w:szCs w:val="28"/>
          <w:lang w:eastAsia="uk-UA"/>
        </w:rPr>
        <w:t xml:space="preserve"> немає.</w:t>
      </w:r>
    </w:p>
    <w:p w:rsidR="00D93DCF" w:rsidRPr="00D3328F" w:rsidRDefault="00741DC8" w:rsidP="00917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28F">
        <w:rPr>
          <w:rFonts w:ascii="Times New Roman" w:hAnsi="Times New Roman" w:cs="Times New Roman"/>
          <w:sz w:val="28"/>
          <w:szCs w:val="28"/>
          <w:lang w:eastAsia="uk-UA"/>
        </w:rPr>
        <w:t xml:space="preserve">Можлива шкода в разі очікуваних наслідків дії регуляторного </w:t>
      </w:r>
      <w:proofErr w:type="spellStart"/>
      <w:r w:rsidRPr="00D3328F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D3328F">
        <w:rPr>
          <w:rFonts w:ascii="Times New Roman" w:hAnsi="Times New Roman" w:cs="Times New Roman"/>
          <w:sz w:val="28"/>
          <w:szCs w:val="28"/>
          <w:lang w:eastAsia="uk-UA"/>
        </w:rPr>
        <w:t xml:space="preserve"> не прогнозується</w:t>
      </w:r>
      <w:r w:rsidRPr="00D3328F">
        <w:rPr>
          <w:rFonts w:ascii="Times New Roman" w:hAnsi="Times New Roman" w:cs="Times New Roman"/>
          <w:sz w:val="28"/>
          <w:szCs w:val="28"/>
        </w:rPr>
        <w:t>.</w:t>
      </w:r>
    </w:p>
    <w:p w:rsidR="0091760A" w:rsidRPr="00D3328F" w:rsidRDefault="0091760A" w:rsidP="00917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437" w:rsidRPr="00D3328F" w:rsidRDefault="00394437" w:rsidP="007C2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Оцінка виконання вимог регуляторного </w:t>
      </w:r>
      <w:proofErr w:type="spellStart"/>
      <w:r w:rsidRPr="00D3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D3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C28D6" w:rsidRPr="00D3328F" w:rsidRDefault="007C28D6" w:rsidP="007C28D6">
      <w:pPr>
        <w:spacing w:after="0" w:line="240" w:lineRule="auto"/>
        <w:ind w:firstLine="567"/>
        <w:jc w:val="both"/>
        <w:rPr>
          <w:color w:val="000000"/>
          <w:sz w:val="16"/>
          <w:szCs w:val="16"/>
          <w:shd w:val="clear" w:color="auto" w:fill="FFFFFF"/>
        </w:rPr>
      </w:pPr>
    </w:p>
    <w:p w:rsidR="00605EFE" w:rsidRPr="00D3328F" w:rsidRDefault="00605EFE" w:rsidP="00605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регуляторного </w:t>
      </w:r>
      <w:proofErr w:type="spellStart"/>
      <w:r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605EFE" w:rsidRPr="00D3328F" w:rsidRDefault="00605EFE" w:rsidP="00605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605EFE" w:rsidRPr="00D3328F" w:rsidRDefault="00971A5A" w:rsidP="00605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05EFE"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озрахунок витрат на виконання вимог регуляторного </w:t>
      </w:r>
      <w:proofErr w:type="spellStart"/>
      <w:r w:rsidR="00605EFE"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605EFE"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органів виконавчої влади чи органів місцевого самоврядування</w:t>
      </w:r>
      <w:r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05EFE"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додатком 3 до Методики проведення аналізу впливу регуляторного</w:t>
      </w:r>
      <w:r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додається</w:t>
      </w:r>
      <w:r w:rsidR="00B33758"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2</w:t>
      </w:r>
      <w:r w:rsidR="00155F2B"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аналізу регуляторного впливу</w:t>
      </w:r>
      <w:r w:rsidR="00B33758"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05EFE" w:rsidRPr="00D332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C28D6" w:rsidRPr="00D3328F" w:rsidRDefault="00852D60" w:rsidP="008E1D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28F">
        <w:rPr>
          <w:rFonts w:ascii="Times New Roman" w:eastAsia="Times New Roman" w:hAnsi="Times New Roman" w:cs="Times New Roman"/>
          <w:sz w:val="28"/>
          <w:szCs w:val="28"/>
        </w:rPr>
        <w:t xml:space="preserve">Оскільки на </w:t>
      </w:r>
      <w:r w:rsidR="00394437" w:rsidRPr="00D3328F">
        <w:rPr>
          <w:rFonts w:ascii="Times New Roman" w:eastAsia="Times New Roman" w:hAnsi="Times New Roman" w:cs="Times New Roman"/>
          <w:sz w:val="28"/>
          <w:szCs w:val="28"/>
        </w:rPr>
        <w:t xml:space="preserve">суб’єктів малого підприємництва </w:t>
      </w:r>
      <w:r w:rsidRPr="00D3328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94437" w:rsidRPr="00D3328F">
        <w:rPr>
          <w:rFonts w:ascii="Times New Roman" w:eastAsia="Times New Roman" w:hAnsi="Times New Roman" w:cs="Times New Roman"/>
          <w:sz w:val="28"/>
          <w:szCs w:val="28"/>
        </w:rPr>
        <w:t>поширюється регулювання,  тому тест малого підприємництва не здійснювався.</w:t>
      </w:r>
    </w:p>
    <w:p w:rsidR="0082188A" w:rsidRPr="00D3328F" w:rsidRDefault="0082188A" w:rsidP="00971A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437" w:rsidRPr="00D3328F" w:rsidRDefault="00394437" w:rsidP="0039443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Обґрунтування запропонованого строку дії регуляторного </w:t>
      </w:r>
      <w:proofErr w:type="spellStart"/>
      <w:r w:rsidRPr="00D3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394437" w:rsidRPr="00D3328F" w:rsidRDefault="00394437" w:rsidP="0039443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E25" w:rsidRPr="00D3328F" w:rsidRDefault="00394437" w:rsidP="007C28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2" w:name="n167"/>
      <w:bookmarkEnd w:id="2"/>
      <w:r w:rsidRPr="00D332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Строк дії регуляторного </w:t>
      </w:r>
      <w:proofErr w:type="spellStart"/>
      <w:r w:rsidRPr="00D3328F">
        <w:rPr>
          <w:rFonts w:ascii="Times New Roman" w:eastAsia="Times New Roman" w:hAnsi="Times New Roman" w:cs="Times New Roman"/>
          <w:spacing w:val="-3"/>
          <w:sz w:val="28"/>
          <w:szCs w:val="28"/>
        </w:rPr>
        <w:t>акта</w:t>
      </w:r>
      <w:proofErr w:type="spellEnd"/>
      <w:r w:rsidRPr="00D332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26E9E" w:rsidRPr="00D3328F">
        <w:rPr>
          <w:rFonts w:ascii="Times New Roman" w:eastAsia="Times New Roman" w:hAnsi="Times New Roman" w:cs="Times New Roman"/>
          <w:spacing w:val="-3"/>
          <w:sz w:val="28"/>
          <w:szCs w:val="28"/>
        </w:rPr>
        <w:t>до 4 грудня 2021 року.</w:t>
      </w:r>
    </w:p>
    <w:p w:rsidR="00126E9E" w:rsidRPr="00D3328F" w:rsidRDefault="00126E9E" w:rsidP="00126E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3328F">
        <w:rPr>
          <w:rFonts w:ascii="Times New Roman" w:hAnsi="Times New Roman" w:cs="Times New Roman"/>
          <w:sz w:val="28"/>
          <w:szCs w:val="28"/>
        </w:rPr>
        <w:t xml:space="preserve">Відповідно до пункту 1 постанови Кабінету Міністрів України </w:t>
      </w:r>
      <w:r w:rsidRPr="00D3328F">
        <w:rPr>
          <w:rFonts w:ascii="Times New Roman" w:hAnsi="Times New Roman" w:cs="Times New Roman"/>
          <w:sz w:val="28"/>
          <w:szCs w:val="28"/>
        </w:rPr>
        <w:br/>
      </w:r>
      <w:r w:rsidR="00971A5A" w:rsidRPr="00D3328F">
        <w:rPr>
          <w:rFonts w:ascii="Times New Roman" w:hAnsi="Times New Roman" w:cs="Times New Roman"/>
          <w:sz w:val="28"/>
          <w:szCs w:val="28"/>
        </w:rPr>
        <w:t>від</w:t>
      </w:r>
      <w:r w:rsidRPr="00D3328F">
        <w:rPr>
          <w:rFonts w:ascii="Times New Roman" w:hAnsi="Times New Roman" w:cs="Times New Roman"/>
          <w:sz w:val="28"/>
          <w:szCs w:val="28"/>
        </w:rPr>
        <w:t xml:space="preserve"> 04.12.2019 № 1043 «</w:t>
      </w:r>
      <w:r w:rsidRPr="00D3328F">
        <w:rPr>
          <w:rFonts w:ascii="Times New Roman" w:hAnsi="Times New Roman" w:cs="Times New Roman"/>
          <w:bCs/>
          <w:sz w:val="28"/>
          <w:szCs w:val="28"/>
          <w:lang w:eastAsia="uk-UA"/>
        </w:rPr>
        <w:t>Про реалізацію</w:t>
      </w:r>
      <w:r w:rsidRPr="00D3328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3328F">
        <w:rPr>
          <w:rFonts w:ascii="Times New Roman" w:hAnsi="Times New Roman" w:cs="Times New Roman"/>
          <w:sz w:val="28"/>
          <w:szCs w:val="28"/>
        </w:rPr>
        <w:t>експериментального проекту щодо допуску приватних локомотивів</w:t>
      </w:r>
      <w:r w:rsidRPr="00D3328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3328F">
        <w:rPr>
          <w:rFonts w:ascii="Times New Roman" w:hAnsi="Times New Roman" w:cs="Times New Roman"/>
          <w:sz w:val="28"/>
          <w:szCs w:val="28"/>
        </w:rPr>
        <w:t xml:space="preserve">до роботи окремими маршрутами на залізничних коліях загального користування» </w:t>
      </w:r>
      <w:r w:rsidR="00FC1CE7" w:rsidRPr="00D3328F">
        <w:rPr>
          <w:rFonts w:ascii="Times New Roman" w:hAnsi="Times New Roman" w:cs="Times New Roman"/>
          <w:sz w:val="28"/>
          <w:szCs w:val="28"/>
        </w:rPr>
        <w:t xml:space="preserve">встановлено </w:t>
      </w:r>
      <w:r w:rsidRPr="00D3328F">
        <w:rPr>
          <w:rFonts w:ascii="Times New Roman" w:hAnsi="Times New Roman" w:cs="Times New Roman"/>
          <w:sz w:val="28"/>
          <w:szCs w:val="28"/>
        </w:rPr>
        <w:t>строк реалізації експериментального проекту щодо допуску приватних локомотивів</w:t>
      </w:r>
      <w:r w:rsidRPr="00D3328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3328F">
        <w:rPr>
          <w:rFonts w:ascii="Times New Roman" w:hAnsi="Times New Roman" w:cs="Times New Roman"/>
          <w:sz w:val="28"/>
          <w:szCs w:val="28"/>
        </w:rPr>
        <w:t xml:space="preserve">до роботи окремими маршрутами на залізничних коліях загального користування – </w:t>
      </w:r>
      <w:r w:rsidR="003D08FD" w:rsidRPr="00D3328F">
        <w:rPr>
          <w:rFonts w:ascii="Times New Roman" w:hAnsi="Times New Roman" w:cs="Times New Roman"/>
          <w:sz w:val="28"/>
          <w:szCs w:val="28"/>
        </w:rPr>
        <w:br/>
      </w:r>
      <w:r w:rsidRPr="00D3328F">
        <w:rPr>
          <w:rFonts w:ascii="Times New Roman" w:hAnsi="Times New Roman" w:cs="Times New Roman"/>
          <w:sz w:val="28"/>
          <w:szCs w:val="28"/>
        </w:rPr>
        <w:t xml:space="preserve">до </w:t>
      </w:r>
      <w:r w:rsidRPr="00D3328F">
        <w:rPr>
          <w:rFonts w:ascii="Times New Roman" w:eastAsia="Times New Roman" w:hAnsi="Times New Roman" w:cs="Times New Roman"/>
          <w:spacing w:val="-3"/>
          <w:sz w:val="28"/>
          <w:szCs w:val="28"/>
        </w:rPr>
        <w:t>4 грудня 2021 року.</w:t>
      </w:r>
    </w:p>
    <w:p w:rsidR="003C4150" w:rsidRPr="00D3328F" w:rsidRDefault="003C4150" w:rsidP="00320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048" w:rsidRPr="00D3328F" w:rsidRDefault="00E90048" w:rsidP="00320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B80" w:rsidRPr="00D3328F" w:rsidRDefault="00320B80" w:rsidP="00320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VIII. Визначення показників результативності дії регуляторного </w:t>
      </w:r>
      <w:proofErr w:type="spellStart"/>
      <w:r w:rsidRPr="00D3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320B80" w:rsidRPr="00D3328F" w:rsidRDefault="00320B80" w:rsidP="00320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B80" w:rsidRPr="00D3328F" w:rsidRDefault="00320B80" w:rsidP="00FC1CE7">
      <w:pPr>
        <w:shd w:val="clear" w:color="auto" w:fill="FFFFFF"/>
        <w:tabs>
          <w:tab w:val="left" w:pos="567"/>
        </w:tabs>
        <w:spacing w:after="0" w:line="240" w:lineRule="auto"/>
        <w:ind w:left="82" w:right="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n169"/>
      <w:bookmarkEnd w:id="3"/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Основними показниками результативності регуляторного </w:t>
      </w:r>
      <w:proofErr w:type="spellStart"/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є:</w:t>
      </w:r>
    </w:p>
    <w:p w:rsidR="004A6133" w:rsidRPr="00D3328F" w:rsidRDefault="00320B80" w:rsidP="00FC1CE7">
      <w:pPr>
        <w:shd w:val="clear" w:color="auto" w:fill="FFFFFF"/>
        <w:tabs>
          <w:tab w:val="left" w:pos="567"/>
        </w:tabs>
        <w:spacing w:after="0" w:line="240" w:lineRule="auto"/>
        <w:ind w:left="82"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к</w:t>
      </w:r>
      <w:r w:rsidR="000E1559" w:rsidRPr="00D3328F">
        <w:rPr>
          <w:rFonts w:ascii="Times New Roman" w:eastAsia="Times New Roman" w:hAnsi="Times New Roman" w:cs="Times New Roman"/>
          <w:sz w:val="28"/>
          <w:szCs w:val="28"/>
        </w:rPr>
        <w:t>ількість суб’</w:t>
      </w:r>
      <w:r w:rsidRPr="00D3328F">
        <w:rPr>
          <w:rFonts w:ascii="Times New Roman" w:eastAsia="Times New Roman" w:hAnsi="Times New Roman" w:cs="Times New Roman"/>
          <w:sz w:val="28"/>
          <w:szCs w:val="28"/>
        </w:rPr>
        <w:t xml:space="preserve">єктів господарювання на які поширюватиметься дія регуляторного </w:t>
      </w:r>
      <w:proofErr w:type="spellStart"/>
      <w:r w:rsidRPr="00D3328F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53383F" w:rsidRPr="00D33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6E0" w:rsidRPr="00D332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53383F" w:rsidRPr="00D3328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A66E0" w:rsidRPr="00D3328F">
        <w:rPr>
          <w:rFonts w:ascii="Times New Roman" w:eastAsia="Times New Roman" w:hAnsi="Times New Roman" w:cs="Times New Roman"/>
          <w:sz w:val="28"/>
          <w:szCs w:val="28"/>
        </w:rPr>
        <w:t xml:space="preserve"> суб’єкті господарювання)</w:t>
      </w:r>
      <w:r w:rsidRPr="00D3328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A95" w:rsidRPr="00D3328F" w:rsidRDefault="00FC1CE7" w:rsidP="00FC1CE7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D3328F">
        <w:rPr>
          <w:sz w:val="28"/>
          <w:szCs w:val="28"/>
          <w:lang w:val="uk-UA"/>
        </w:rPr>
        <w:t xml:space="preserve">- кількість тягового рухомого складу, що буде задіяний суб’єктами господарювання у зв’язку із виконанням вимог </w:t>
      </w:r>
      <w:proofErr w:type="spellStart"/>
      <w:r w:rsidRPr="00D3328F">
        <w:rPr>
          <w:sz w:val="28"/>
          <w:szCs w:val="28"/>
          <w:lang w:val="uk-UA"/>
        </w:rPr>
        <w:t>акта</w:t>
      </w:r>
      <w:proofErr w:type="spellEnd"/>
      <w:r w:rsidR="00852D60" w:rsidRPr="00D3328F">
        <w:rPr>
          <w:sz w:val="28"/>
          <w:szCs w:val="28"/>
          <w:lang w:val="uk-UA"/>
        </w:rPr>
        <w:t>;</w:t>
      </w:r>
    </w:p>
    <w:p w:rsidR="00FC1CE7" w:rsidRPr="00D3328F" w:rsidRDefault="00215A95" w:rsidP="00FC1CE7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D3328F">
        <w:rPr>
          <w:sz w:val="28"/>
          <w:szCs w:val="28"/>
          <w:lang w:val="uk-UA"/>
        </w:rPr>
        <w:t xml:space="preserve">- обсяг вантажоперевезень (вантажообіг, </w:t>
      </w:r>
      <w:proofErr w:type="spellStart"/>
      <w:r w:rsidRPr="00D3328F">
        <w:rPr>
          <w:sz w:val="28"/>
          <w:szCs w:val="28"/>
          <w:lang w:val="uk-UA"/>
        </w:rPr>
        <w:t>ткм</w:t>
      </w:r>
      <w:proofErr w:type="spellEnd"/>
      <w:r w:rsidRPr="00D3328F">
        <w:rPr>
          <w:sz w:val="28"/>
          <w:szCs w:val="28"/>
          <w:lang w:val="uk-UA"/>
        </w:rPr>
        <w:t xml:space="preserve">), що здійснюється суб’єктами господарювання в рамках експериментального </w:t>
      </w:r>
      <w:proofErr w:type="spellStart"/>
      <w:r w:rsidRPr="00D3328F">
        <w:rPr>
          <w:sz w:val="28"/>
          <w:szCs w:val="28"/>
          <w:lang w:val="uk-UA"/>
        </w:rPr>
        <w:t>проєкту</w:t>
      </w:r>
      <w:proofErr w:type="spellEnd"/>
      <w:r w:rsidR="002234DC" w:rsidRPr="00D3328F">
        <w:rPr>
          <w:sz w:val="28"/>
          <w:szCs w:val="28"/>
          <w:lang w:val="uk-UA"/>
        </w:rPr>
        <w:t>;</w:t>
      </w:r>
    </w:p>
    <w:p w:rsidR="002A66E0" w:rsidRPr="00D3328F" w:rsidRDefault="002A66E0" w:rsidP="00FC1CE7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D3328F">
        <w:rPr>
          <w:sz w:val="28"/>
          <w:szCs w:val="28"/>
          <w:lang w:val="uk-UA"/>
        </w:rPr>
        <w:t xml:space="preserve">- кількість транспортних подій та </w:t>
      </w:r>
      <w:r w:rsidR="003F509F" w:rsidRPr="00D3328F">
        <w:rPr>
          <w:sz w:val="28"/>
          <w:szCs w:val="28"/>
          <w:lang w:val="uk-UA"/>
        </w:rPr>
        <w:t>інцидентів</w:t>
      </w:r>
      <w:r w:rsidRPr="00D3328F">
        <w:rPr>
          <w:sz w:val="28"/>
          <w:szCs w:val="28"/>
          <w:lang w:val="uk-UA"/>
        </w:rPr>
        <w:t xml:space="preserve"> за участі приватних локомотивів;</w:t>
      </w:r>
    </w:p>
    <w:p w:rsidR="002234DC" w:rsidRPr="00D3328F" w:rsidRDefault="002234DC" w:rsidP="00FC1CE7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D3328F">
        <w:rPr>
          <w:sz w:val="28"/>
          <w:szCs w:val="28"/>
          <w:lang w:val="uk-UA"/>
        </w:rPr>
        <w:t>- розмір надходжень до державного та місцевих бюджетів;</w:t>
      </w:r>
    </w:p>
    <w:p w:rsidR="002234DC" w:rsidRPr="00D3328F" w:rsidRDefault="002234DC" w:rsidP="00FC1CE7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D3328F">
        <w:rPr>
          <w:sz w:val="28"/>
          <w:szCs w:val="28"/>
          <w:lang w:val="uk-UA"/>
        </w:rPr>
        <w:t xml:space="preserve">- розмір коштів і час, що витрачатимуть суб’єкти господарювання, пов’язані з виконанням вимог регуляторного </w:t>
      </w:r>
      <w:proofErr w:type="spellStart"/>
      <w:r w:rsidRPr="00D3328F">
        <w:rPr>
          <w:sz w:val="28"/>
          <w:szCs w:val="28"/>
          <w:lang w:val="uk-UA"/>
        </w:rPr>
        <w:t>акта</w:t>
      </w:r>
      <w:proofErr w:type="spellEnd"/>
      <w:r w:rsidR="00014E37" w:rsidRPr="00D3328F">
        <w:rPr>
          <w:sz w:val="28"/>
          <w:szCs w:val="28"/>
          <w:lang w:val="uk-UA"/>
        </w:rPr>
        <w:t xml:space="preserve"> (</w:t>
      </w:r>
      <w:r w:rsidR="009B7C58" w:rsidRPr="00D3328F">
        <w:rPr>
          <w:sz w:val="28"/>
          <w:szCs w:val="28"/>
          <w:lang w:val="uk-UA"/>
        </w:rPr>
        <w:t>59429,76</w:t>
      </w:r>
      <w:r w:rsidR="00014E37" w:rsidRPr="00D3328F">
        <w:rPr>
          <w:sz w:val="28"/>
          <w:szCs w:val="28"/>
          <w:lang w:val="uk-UA"/>
        </w:rPr>
        <w:t xml:space="preserve"> гривень)</w:t>
      </w:r>
      <w:r w:rsidRPr="00D3328F">
        <w:rPr>
          <w:sz w:val="28"/>
          <w:szCs w:val="28"/>
          <w:lang w:val="uk-UA"/>
        </w:rPr>
        <w:t>.</w:t>
      </w:r>
    </w:p>
    <w:p w:rsidR="00FC1CE7" w:rsidRPr="00D3328F" w:rsidRDefault="00FC1CE7" w:rsidP="003C4150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D3328F">
        <w:rPr>
          <w:sz w:val="28"/>
          <w:szCs w:val="28"/>
          <w:shd w:val="clear" w:color="auto" w:fill="FFFFFF"/>
          <w:lang w:val="uk-UA"/>
        </w:rPr>
        <w:t>Рі</w:t>
      </w:r>
      <w:r w:rsidR="000E1559" w:rsidRPr="00D3328F">
        <w:rPr>
          <w:sz w:val="28"/>
          <w:szCs w:val="28"/>
          <w:shd w:val="clear" w:color="auto" w:fill="FFFFFF"/>
          <w:lang w:val="uk-UA"/>
        </w:rPr>
        <w:t>вень поінформованості суб’</w:t>
      </w:r>
      <w:r w:rsidRPr="00D3328F">
        <w:rPr>
          <w:sz w:val="28"/>
          <w:szCs w:val="28"/>
          <w:shd w:val="clear" w:color="auto" w:fill="FFFFFF"/>
          <w:lang w:val="uk-UA"/>
        </w:rPr>
        <w:t>єктів господарювання та/або фізичних осіб з о</w:t>
      </w:r>
      <w:r w:rsidR="002A66E0" w:rsidRPr="00D3328F">
        <w:rPr>
          <w:sz w:val="28"/>
          <w:szCs w:val="28"/>
          <w:shd w:val="clear" w:color="auto" w:fill="FFFFFF"/>
          <w:lang w:val="uk-UA"/>
        </w:rPr>
        <w:t xml:space="preserve">сновних положень </w:t>
      </w:r>
      <w:proofErr w:type="spellStart"/>
      <w:r w:rsidR="002A66E0" w:rsidRPr="00D3328F">
        <w:rPr>
          <w:sz w:val="28"/>
          <w:szCs w:val="28"/>
          <w:shd w:val="clear" w:color="auto" w:fill="FFFFFF"/>
          <w:lang w:val="uk-UA"/>
        </w:rPr>
        <w:t>акта</w:t>
      </w:r>
      <w:proofErr w:type="spellEnd"/>
      <w:r w:rsidR="002A66E0" w:rsidRPr="00D3328F">
        <w:rPr>
          <w:sz w:val="28"/>
          <w:szCs w:val="28"/>
          <w:shd w:val="clear" w:color="auto" w:fill="FFFFFF"/>
          <w:lang w:val="uk-UA"/>
        </w:rPr>
        <w:t xml:space="preserve"> – високий</w:t>
      </w:r>
      <w:r w:rsidRPr="00D3328F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FC1CE7" w:rsidRPr="00D3328F" w:rsidRDefault="00EC561D" w:rsidP="00FC1CE7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bookmarkStart w:id="4" w:name="n36"/>
      <w:bookmarkStart w:id="5" w:name="n37"/>
      <w:bookmarkEnd w:id="4"/>
      <w:bookmarkEnd w:id="5"/>
      <w:proofErr w:type="spellStart"/>
      <w:r w:rsidRPr="00D3328F">
        <w:rPr>
          <w:color w:val="000000" w:themeColor="text1"/>
          <w:spacing w:val="-5"/>
          <w:sz w:val="28"/>
          <w:szCs w:val="28"/>
          <w:lang w:val="uk-UA"/>
        </w:rPr>
        <w:t>Проєкт</w:t>
      </w:r>
      <w:proofErr w:type="spellEnd"/>
      <w:r w:rsidRPr="00D3328F">
        <w:rPr>
          <w:color w:val="000000" w:themeColor="text1"/>
          <w:spacing w:val="-5"/>
          <w:sz w:val="28"/>
          <w:szCs w:val="28"/>
          <w:lang w:val="uk-UA"/>
        </w:rPr>
        <w:t xml:space="preserve"> регуляторного </w:t>
      </w:r>
      <w:proofErr w:type="spellStart"/>
      <w:r w:rsidRPr="00D3328F">
        <w:rPr>
          <w:color w:val="000000" w:themeColor="text1"/>
          <w:spacing w:val="-5"/>
          <w:sz w:val="28"/>
          <w:szCs w:val="28"/>
          <w:lang w:val="uk-UA"/>
        </w:rPr>
        <w:t>акта</w:t>
      </w:r>
      <w:proofErr w:type="spellEnd"/>
      <w:r w:rsidRPr="00D3328F"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r w:rsidR="00FC1CE7" w:rsidRPr="00D3328F">
        <w:rPr>
          <w:bCs/>
          <w:sz w:val="28"/>
          <w:szCs w:val="28"/>
          <w:lang w:val="uk-UA"/>
        </w:rPr>
        <w:t>та аналіз регуляторного впливу</w:t>
      </w:r>
      <w:r w:rsidR="003D08FD" w:rsidRPr="00D3328F">
        <w:rPr>
          <w:bCs/>
          <w:sz w:val="28"/>
          <w:szCs w:val="28"/>
          <w:lang w:val="uk-UA"/>
        </w:rPr>
        <w:t xml:space="preserve"> оприлюднено на офіційному </w:t>
      </w:r>
      <w:proofErr w:type="spellStart"/>
      <w:r w:rsidR="003D08FD" w:rsidRPr="00D3328F">
        <w:rPr>
          <w:bCs/>
          <w:sz w:val="28"/>
          <w:szCs w:val="28"/>
          <w:lang w:val="uk-UA"/>
        </w:rPr>
        <w:t>веб</w:t>
      </w:r>
      <w:r w:rsidR="00FC1CE7" w:rsidRPr="00D3328F">
        <w:rPr>
          <w:bCs/>
          <w:sz w:val="28"/>
          <w:szCs w:val="28"/>
          <w:lang w:val="uk-UA"/>
        </w:rPr>
        <w:t>сайті</w:t>
      </w:r>
      <w:proofErr w:type="spellEnd"/>
      <w:r w:rsidR="00FC1CE7" w:rsidRPr="00D3328F">
        <w:rPr>
          <w:bCs/>
          <w:sz w:val="28"/>
          <w:szCs w:val="28"/>
          <w:lang w:val="uk-UA"/>
        </w:rPr>
        <w:t xml:space="preserve"> </w:t>
      </w:r>
      <w:r w:rsidR="00FC1CE7" w:rsidRPr="00D3328F">
        <w:rPr>
          <w:sz w:val="28"/>
          <w:szCs w:val="28"/>
          <w:lang w:val="uk-UA"/>
        </w:rPr>
        <w:t>Міністерства інфраструктури України в розділі «Діяльність/Регуляторна діяльність».</w:t>
      </w:r>
    </w:p>
    <w:p w:rsidR="00394437" w:rsidRPr="00D3328F" w:rsidRDefault="00394437" w:rsidP="003C4150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C4150" w:rsidRPr="00D3328F" w:rsidRDefault="004A6133" w:rsidP="003C4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D3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3C4150" w:rsidRPr="00D3328F" w:rsidRDefault="003C4150" w:rsidP="003C4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6D0" w:rsidRPr="00D3328F" w:rsidRDefault="009346D0" w:rsidP="009346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Базове відстеження результативності регуляторного </w:t>
      </w:r>
      <w:proofErr w:type="spellStart"/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здійснюватиметься не пізніше 4 грудня 2021 року.</w:t>
      </w:r>
    </w:p>
    <w:p w:rsidR="009346D0" w:rsidRPr="00D3328F" w:rsidRDefault="009346D0" w:rsidP="009346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Оскільки строк дії регуляторного </w:t>
      </w:r>
      <w:proofErr w:type="spellStart"/>
      <w:r w:rsidRPr="00D3328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акта</w:t>
      </w:r>
      <w:proofErr w:type="spellEnd"/>
      <w:r w:rsidRPr="00D3328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до 4 грудня 2021 року</w:t>
      </w:r>
      <w:r w:rsidR="00E24B7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r w:rsidRPr="00D3328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повторне та </w:t>
      </w:r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періодичне відстеження результативності регуляторного </w:t>
      </w:r>
      <w:proofErr w:type="spellStart"/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здійснюватися не буде.</w:t>
      </w:r>
    </w:p>
    <w:p w:rsidR="009346D0" w:rsidRPr="00D3328F" w:rsidRDefault="009346D0" w:rsidP="0082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відстеження результативності дії регуляторного </w:t>
      </w:r>
      <w:proofErr w:type="spellStart"/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застосуватиметься статистичний метод проведення відстеження результативності з використанням статистичних даних та відомостей,</w:t>
      </w:r>
      <w:r w:rsidRPr="00D33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3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що надаються суб’єктами підприємництва у галузі транспорту Мінінфраструктури в межах їх компетенції. </w:t>
      </w:r>
    </w:p>
    <w:p w:rsidR="009346D0" w:rsidRPr="00D3328F" w:rsidRDefault="009346D0" w:rsidP="009346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Відстеження результативності регуляторного </w:t>
      </w:r>
      <w:proofErr w:type="spellStart"/>
      <w:r w:rsidRPr="00D33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акта</w:t>
      </w:r>
      <w:proofErr w:type="spellEnd"/>
      <w:r w:rsidRPr="00D33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здійснюватиметься Міністерством інфраструктури України.</w:t>
      </w:r>
    </w:p>
    <w:p w:rsidR="009346D0" w:rsidRPr="00D3328F" w:rsidRDefault="009346D0" w:rsidP="009346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0" w:rsidRPr="00D3328F" w:rsidRDefault="009346D0" w:rsidP="003C4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6D0" w:rsidRPr="00D3328F" w:rsidRDefault="009346D0" w:rsidP="009346D0">
      <w:pPr>
        <w:tabs>
          <w:tab w:val="left" w:pos="56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28F">
        <w:rPr>
          <w:rFonts w:ascii="Times New Roman" w:eastAsia="Times New Roman" w:hAnsi="Times New Roman" w:cs="Times New Roman"/>
          <w:sz w:val="28"/>
          <w:szCs w:val="28"/>
        </w:rPr>
        <w:t xml:space="preserve">Міністр інфраструктури України </w:t>
      </w:r>
      <w:r w:rsidRPr="00D3328F">
        <w:rPr>
          <w:rFonts w:ascii="Times New Roman" w:eastAsia="Times New Roman" w:hAnsi="Times New Roman" w:cs="Times New Roman"/>
          <w:sz w:val="28"/>
          <w:szCs w:val="28"/>
        </w:rPr>
        <w:tab/>
        <w:t>Владислав КРИКЛІЙ</w:t>
      </w:r>
    </w:p>
    <w:p w:rsidR="009346D0" w:rsidRPr="00D3328F" w:rsidRDefault="009346D0" w:rsidP="009346D0">
      <w:pPr>
        <w:tabs>
          <w:tab w:val="left" w:pos="56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6D0" w:rsidRPr="00D3328F" w:rsidRDefault="00D93DCF" w:rsidP="009346D0">
      <w:pPr>
        <w:tabs>
          <w:tab w:val="left" w:pos="56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sz w:val="28"/>
          <w:szCs w:val="28"/>
        </w:rPr>
        <w:t>«____»_________________2021</w:t>
      </w:r>
      <w:r w:rsidR="009346D0" w:rsidRPr="00D3328F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9346D0" w:rsidRPr="00D3328F" w:rsidRDefault="009346D0" w:rsidP="009346D0">
      <w:pPr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0" w:rsidRPr="00D3328F" w:rsidRDefault="009346D0" w:rsidP="009346D0">
      <w:pPr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CF" w:rsidRPr="00D3328F" w:rsidRDefault="00D93DCF" w:rsidP="003C4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DCF" w:rsidRPr="00D3328F" w:rsidRDefault="00D93DCF" w:rsidP="003C4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93DCF" w:rsidRPr="00D3328F" w:rsidSect="00E24DB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B7" w:rsidRDefault="00BE75B7" w:rsidP="00C94293">
      <w:pPr>
        <w:spacing w:after="0" w:line="240" w:lineRule="auto"/>
      </w:pPr>
      <w:r>
        <w:separator/>
      </w:r>
    </w:p>
  </w:endnote>
  <w:endnote w:type="continuationSeparator" w:id="0">
    <w:p w:rsidR="00BE75B7" w:rsidRDefault="00BE75B7" w:rsidP="00C9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B7" w:rsidRDefault="00BE75B7" w:rsidP="00C94293">
      <w:pPr>
        <w:spacing w:after="0" w:line="240" w:lineRule="auto"/>
      </w:pPr>
      <w:r>
        <w:separator/>
      </w:r>
    </w:p>
  </w:footnote>
  <w:footnote w:type="continuationSeparator" w:id="0">
    <w:p w:rsidR="00BE75B7" w:rsidRDefault="00BE75B7" w:rsidP="00C9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42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7969" w:rsidRDefault="00D07969">
        <w:pPr>
          <w:pStyle w:val="a9"/>
          <w:jc w:val="center"/>
        </w:pPr>
        <w:r w:rsidRPr="00C942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42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42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398" w:rsidRPr="0026739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13</w:t>
        </w:r>
        <w:r w:rsidRPr="00C942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7969" w:rsidRDefault="00D079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83B"/>
    <w:multiLevelType w:val="hybridMultilevel"/>
    <w:tmpl w:val="E1980590"/>
    <w:lvl w:ilvl="0" w:tplc="2CA65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7E5529"/>
    <w:multiLevelType w:val="hybridMultilevel"/>
    <w:tmpl w:val="5AE45300"/>
    <w:lvl w:ilvl="0" w:tplc="BF0824C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C4ED3"/>
    <w:multiLevelType w:val="hybridMultilevel"/>
    <w:tmpl w:val="0B68153E"/>
    <w:lvl w:ilvl="0" w:tplc="AE5EC7D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94120F1"/>
    <w:multiLevelType w:val="hybridMultilevel"/>
    <w:tmpl w:val="23B89B1A"/>
    <w:lvl w:ilvl="0" w:tplc="7042F8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AD58AD"/>
    <w:multiLevelType w:val="hybridMultilevel"/>
    <w:tmpl w:val="7CC63FA4"/>
    <w:lvl w:ilvl="0" w:tplc="1D5EF284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8"/>
    <w:rsid w:val="000024A3"/>
    <w:rsid w:val="000030F0"/>
    <w:rsid w:val="00004F52"/>
    <w:rsid w:val="00005481"/>
    <w:rsid w:val="000128A2"/>
    <w:rsid w:val="00014E37"/>
    <w:rsid w:val="000219CE"/>
    <w:rsid w:val="00031972"/>
    <w:rsid w:val="00031C97"/>
    <w:rsid w:val="00034AA1"/>
    <w:rsid w:val="00037640"/>
    <w:rsid w:val="000421AD"/>
    <w:rsid w:val="00052D4A"/>
    <w:rsid w:val="000564CD"/>
    <w:rsid w:val="00061C0F"/>
    <w:rsid w:val="00062B21"/>
    <w:rsid w:val="00072AD9"/>
    <w:rsid w:val="00082AF6"/>
    <w:rsid w:val="00085275"/>
    <w:rsid w:val="00085F66"/>
    <w:rsid w:val="00087709"/>
    <w:rsid w:val="000900D1"/>
    <w:rsid w:val="00090148"/>
    <w:rsid w:val="00091415"/>
    <w:rsid w:val="000A3297"/>
    <w:rsid w:val="000A7CAE"/>
    <w:rsid w:val="000B062E"/>
    <w:rsid w:val="000B714A"/>
    <w:rsid w:val="000C60E8"/>
    <w:rsid w:val="000D03F6"/>
    <w:rsid w:val="000E1559"/>
    <w:rsid w:val="000F7327"/>
    <w:rsid w:val="00112A2D"/>
    <w:rsid w:val="001133E6"/>
    <w:rsid w:val="00113DA8"/>
    <w:rsid w:val="001143DA"/>
    <w:rsid w:val="00126E9E"/>
    <w:rsid w:val="00133950"/>
    <w:rsid w:val="00140335"/>
    <w:rsid w:val="0014175D"/>
    <w:rsid w:val="00151FE0"/>
    <w:rsid w:val="00155F2B"/>
    <w:rsid w:val="00157CD2"/>
    <w:rsid w:val="0016004B"/>
    <w:rsid w:val="0016305C"/>
    <w:rsid w:val="001710AB"/>
    <w:rsid w:val="00171EF0"/>
    <w:rsid w:val="00177C34"/>
    <w:rsid w:val="00177D1B"/>
    <w:rsid w:val="0018191E"/>
    <w:rsid w:val="001823AD"/>
    <w:rsid w:val="0018509F"/>
    <w:rsid w:val="001878F5"/>
    <w:rsid w:val="00190B17"/>
    <w:rsid w:val="0019321D"/>
    <w:rsid w:val="00195611"/>
    <w:rsid w:val="001A1E25"/>
    <w:rsid w:val="001A2FB1"/>
    <w:rsid w:val="001A5273"/>
    <w:rsid w:val="001C400B"/>
    <w:rsid w:val="001C7013"/>
    <w:rsid w:val="001D1135"/>
    <w:rsid w:val="001D2ABA"/>
    <w:rsid w:val="001E012A"/>
    <w:rsid w:val="001E3385"/>
    <w:rsid w:val="001E42C0"/>
    <w:rsid w:val="001E7A69"/>
    <w:rsid w:val="00203EA9"/>
    <w:rsid w:val="002066AF"/>
    <w:rsid w:val="00215A95"/>
    <w:rsid w:val="00220C8A"/>
    <w:rsid w:val="00221EB2"/>
    <w:rsid w:val="002234DC"/>
    <w:rsid w:val="002236B3"/>
    <w:rsid w:val="002274DB"/>
    <w:rsid w:val="002406B6"/>
    <w:rsid w:val="00252EC6"/>
    <w:rsid w:val="0025465E"/>
    <w:rsid w:val="00267398"/>
    <w:rsid w:val="00270532"/>
    <w:rsid w:val="00287CF4"/>
    <w:rsid w:val="00291AED"/>
    <w:rsid w:val="00292765"/>
    <w:rsid w:val="00294874"/>
    <w:rsid w:val="00297811"/>
    <w:rsid w:val="00297FA4"/>
    <w:rsid w:val="002A382E"/>
    <w:rsid w:val="002A66E0"/>
    <w:rsid w:val="002A6726"/>
    <w:rsid w:val="002B1732"/>
    <w:rsid w:val="002B4229"/>
    <w:rsid w:val="002B50C8"/>
    <w:rsid w:val="002B68F7"/>
    <w:rsid w:val="002C29C9"/>
    <w:rsid w:val="002D02F5"/>
    <w:rsid w:val="002E6F1B"/>
    <w:rsid w:val="002F59F9"/>
    <w:rsid w:val="0030262A"/>
    <w:rsid w:val="003113E8"/>
    <w:rsid w:val="00320B80"/>
    <w:rsid w:val="00321A3C"/>
    <w:rsid w:val="00321D1B"/>
    <w:rsid w:val="0032382F"/>
    <w:rsid w:val="00335CF3"/>
    <w:rsid w:val="00347908"/>
    <w:rsid w:val="00351728"/>
    <w:rsid w:val="00356611"/>
    <w:rsid w:val="0035687D"/>
    <w:rsid w:val="00364988"/>
    <w:rsid w:val="00366E05"/>
    <w:rsid w:val="0038154A"/>
    <w:rsid w:val="00383B73"/>
    <w:rsid w:val="00384547"/>
    <w:rsid w:val="00387485"/>
    <w:rsid w:val="003900F5"/>
    <w:rsid w:val="00394437"/>
    <w:rsid w:val="003A3CF1"/>
    <w:rsid w:val="003A423A"/>
    <w:rsid w:val="003A621D"/>
    <w:rsid w:val="003A658D"/>
    <w:rsid w:val="003B2A5A"/>
    <w:rsid w:val="003B45FE"/>
    <w:rsid w:val="003C1C99"/>
    <w:rsid w:val="003C4150"/>
    <w:rsid w:val="003C4C74"/>
    <w:rsid w:val="003D08FD"/>
    <w:rsid w:val="003D20BA"/>
    <w:rsid w:val="003E23DC"/>
    <w:rsid w:val="003E6E1C"/>
    <w:rsid w:val="003F509F"/>
    <w:rsid w:val="003F5D55"/>
    <w:rsid w:val="00402814"/>
    <w:rsid w:val="0040509F"/>
    <w:rsid w:val="004063CD"/>
    <w:rsid w:val="0041588F"/>
    <w:rsid w:val="004339E9"/>
    <w:rsid w:val="00441909"/>
    <w:rsid w:val="00453C2E"/>
    <w:rsid w:val="00454432"/>
    <w:rsid w:val="00457857"/>
    <w:rsid w:val="00464FF2"/>
    <w:rsid w:val="0047248B"/>
    <w:rsid w:val="004743EB"/>
    <w:rsid w:val="00475D24"/>
    <w:rsid w:val="00476599"/>
    <w:rsid w:val="0047771E"/>
    <w:rsid w:val="00486BFD"/>
    <w:rsid w:val="004A499C"/>
    <w:rsid w:val="004A57D7"/>
    <w:rsid w:val="004A6133"/>
    <w:rsid w:val="004B52E8"/>
    <w:rsid w:val="004C1CF2"/>
    <w:rsid w:val="004C3395"/>
    <w:rsid w:val="004C3BEA"/>
    <w:rsid w:val="004C4039"/>
    <w:rsid w:val="004D6937"/>
    <w:rsid w:val="004D77BD"/>
    <w:rsid w:val="004E529C"/>
    <w:rsid w:val="004E5390"/>
    <w:rsid w:val="004F011A"/>
    <w:rsid w:val="004F61F5"/>
    <w:rsid w:val="004F775E"/>
    <w:rsid w:val="00500F37"/>
    <w:rsid w:val="00522C32"/>
    <w:rsid w:val="00524170"/>
    <w:rsid w:val="00524CAD"/>
    <w:rsid w:val="005251E3"/>
    <w:rsid w:val="005307DD"/>
    <w:rsid w:val="0053383F"/>
    <w:rsid w:val="00534145"/>
    <w:rsid w:val="00537758"/>
    <w:rsid w:val="0054371E"/>
    <w:rsid w:val="00546950"/>
    <w:rsid w:val="00547926"/>
    <w:rsid w:val="00562546"/>
    <w:rsid w:val="005661D4"/>
    <w:rsid w:val="00577DD6"/>
    <w:rsid w:val="00583D2F"/>
    <w:rsid w:val="00585008"/>
    <w:rsid w:val="00591452"/>
    <w:rsid w:val="005B120E"/>
    <w:rsid w:val="005D2302"/>
    <w:rsid w:val="005E001A"/>
    <w:rsid w:val="005E6BD4"/>
    <w:rsid w:val="005F0A9C"/>
    <w:rsid w:val="005F129E"/>
    <w:rsid w:val="00605EFE"/>
    <w:rsid w:val="00624792"/>
    <w:rsid w:val="006308D0"/>
    <w:rsid w:val="00634CEA"/>
    <w:rsid w:val="00635DCB"/>
    <w:rsid w:val="00644912"/>
    <w:rsid w:val="00644BC9"/>
    <w:rsid w:val="0064709C"/>
    <w:rsid w:val="006514F7"/>
    <w:rsid w:val="006602EF"/>
    <w:rsid w:val="006633E6"/>
    <w:rsid w:val="00675E56"/>
    <w:rsid w:val="00680FE5"/>
    <w:rsid w:val="00684ACD"/>
    <w:rsid w:val="006979AB"/>
    <w:rsid w:val="006A2569"/>
    <w:rsid w:val="006C08D5"/>
    <w:rsid w:val="006C3993"/>
    <w:rsid w:val="006D04FA"/>
    <w:rsid w:val="006D0CBD"/>
    <w:rsid w:val="006D23BC"/>
    <w:rsid w:val="006D5447"/>
    <w:rsid w:val="006D71BE"/>
    <w:rsid w:val="006F256E"/>
    <w:rsid w:val="006F380B"/>
    <w:rsid w:val="006F7099"/>
    <w:rsid w:val="006F71BD"/>
    <w:rsid w:val="0070399E"/>
    <w:rsid w:val="0070449C"/>
    <w:rsid w:val="00714E06"/>
    <w:rsid w:val="007171CA"/>
    <w:rsid w:val="00720301"/>
    <w:rsid w:val="00722254"/>
    <w:rsid w:val="007222FE"/>
    <w:rsid w:val="00723D76"/>
    <w:rsid w:val="00726667"/>
    <w:rsid w:val="00726671"/>
    <w:rsid w:val="00730321"/>
    <w:rsid w:val="00735125"/>
    <w:rsid w:val="00741DC8"/>
    <w:rsid w:val="00745C18"/>
    <w:rsid w:val="00750FE8"/>
    <w:rsid w:val="00763A87"/>
    <w:rsid w:val="00772AF9"/>
    <w:rsid w:val="00777C70"/>
    <w:rsid w:val="00781960"/>
    <w:rsid w:val="00797FE3"/>
    <w:rsid w:val="007A2AB7"/>
    <w:rsid w:val="007A666E"/>
    <w:rsid w:val="007A7930"/>
    <w:rsid w:val="007B7FBF"/>
    <w:rsid w:val="007C28D6"/>
    <w:rsid w:val="007C3923"/>
    <w:rsid w:val="007C392F"/>
    <w:rsid w:val="007D15B8"/>
    <w:rsid w:val="007E08C7"/>
    <w:rsid w:val="007E0FDE"/>
    <w:rsid w:val="007E1AB2"/>
    <w:rsid w:val="007E6E79"/>
    <w:rsid w:val="007F1F6A"/>
    <w:rsid w:val="007F21D0"/>
    <w:rsid w:val="007F4D3D"/>
    <w:rsid w:val="00807220"/>
    <w:rsid w:val="00815398"/>
    <w:rsid w:val="0081655A"/>
    <w:rsid w:val="00820054"/>
    <w:rsid w:val="0082188A"/>
    <w:rsid w:val="00821D20"/>
    <w:rsid w:val="008306D5"/>
    <w:rsid w:val="00837B2B"/>
    <w:rsid w:val="00840552"/>
    <w:rsid w:val="008414AA"/>
    <w:rsid w:val="0084208F"/>
    <w:rsid w:val="008448B8"/>
    <w:rsid w:val="00852D60"/>
    <w:rsid w:val="00853014"/>
    <w:rsid w:val="00861E92"/>
    <w:rsid w:val="00864D1A"/>
    <w:rsid w:val="00864FAA"/>
    <w:rsid w:val="00867043"/>
    <w:rsid w:val="00874B72"/>
    <w:rsid w:val="0087723D"/>
    <w:rsid w:val="00880F87"/>
    <w:rsid w:val="00890322"/>
    <w:rsid w:val="00891330"/>
    <w:rsid w:val="008915D5"/>
    <w:rsid w:val="00891CD1"/>
    <w:rsid w:val="008A2A32"/>
    <w:rsid w:val="008A7A73"/>
    <w:rsid w:val="008B0906"/>
    <w:rsid w:val="008C297D"/>
    <w:rsid w:val="008E1D54"/>
    <w:rsid w:val="008E21A2"/>
    <w:rsid w:val="008F3E52"/>
    <w:rsid w:val="00915DAC"/>
    <w:rsid w:val="0091760A"/>
    <w:rsid w:val="0093250A"/>
    <w:rsid w:val="009346D0"/>
    <w:rsid w:val="00935156"/>
    <w:rsid w:val="009422A9"/>
    <w:rsid w:val="00950589"/>
    <w:rsid w:val="00952F74"/>
    <w:rsid w:val="0095477C"/>
    <w:rsid w:val="009649B2"/>
    <w:rsid w:val="00971A5A"/>
    <w:rsid w:val="00977FDD"/>
    <w:rsid w:val="00985040"/>
    <w:rsid w:val="009A33AC"/>
    <w:rsid w:val="009A42E8"/>
    <w:rsid w:val="009A4E2B"/>
    <w:rsid w:val="009B7C58"/>
    <w:rsid w:val="009C787E"/>
    <w:rsid w:val="009D1296"/>
    <w:rsid w:val="009D25A7"/>
    <w:rsid w:val="009E14D6"/>
    <w:rsid w:val="009F23C5"/>
    <w:rsid w:val="009F7DD8"/>
    <w:rsid w:val="00A00CFC"/>
    <w:rsid w:val="00A10D7D"/>
    <w:rsid w:val="00A134EE"/>
    <w:rsid w:val="00A17797"/>
    <w:rsid w:val="00A20D11"/>
    <w:rsid w:val="00A32065"/>
    <w:rsid w:val="00A343D3"/>
    <w:rsid w:val="00A37D34"/>
    <w:rsid w:val="00A4049D"/>
    <w:rsid w:val="00A43A6E"/>
    <w:rsid w:val="00A46DE2"/>
    <w:rsid w:val="00A50112"/>
    <w:rsid w:val="00A66CFA"/>
    <w:rsid w:val="00A70746"/>
    <w:rsid w:val="00A83DB9"/>
    <w:rsid w:val="00A911E6"/>
    <w:rsid w:val="00A97C60"/>
    <w:rsid w:val="00AA08C4"/>
    <w:rsid w:val="00AA0F9F"/>
    <w:rsid w:val="00AA5AE5"/>
    <w:rsid w:val="00AB0F77"/>
    <w:rsid w:val="00AB2AAB"/>
    <w:rsid w:val="00AB53A9"/>
    <w:rsid w:val="00AD3428"/>
    <w:rsid w:val="00AD7AAC"/>
    <w:rsid w:val="00AE2588"/>
    <w:rsid w:val="00AE5F23"/>
    <w:rsid w:val="00AF4E9C"/>
    <w:rsid w:val="00B251BC"/>
    <w:rsid w:val="00B277BA"/>
    <w:rsid w:val="00B302C5"/>
    <w:rsid w:val="00B33758"/>
    <w:rsid w:val="00B757E7"/>
    <w:rsid w:val="00B80E49"/>
    <w:rsid w:val="00B87240"/>
    <w:rsid w:val="00B940A0"/>
    <w:rsid w:val="00BA4350"/>
    <w:rsid w:val="00BB4AB2"/>
    <w:rsid w:val="00BC1967"/>
    <w:rsid w:val="00BC2A15"/>
    <w:rsid w:val="00BC3A75"/>
    <w:rsid w:val="00BD40BC"/>
    <w:rsid w:val="00BD46CD"/>
    <w:rsid w:val="00BE75B7"/>
    <w:rsid w:val="00BF214C"/>
    <w:rsid w:val="00BF70E0"/>
    <w:rsid w:val="00C0257E"/>
    <w:rsid w:val="00C10F74"/>
    <w:rsid w:val="00C11680"/>
    <w:rsid w:val="00C14465"/>
    <w:rsid w:val="00C16A47"/>
    <w:rsid w:val="00C212D4"/>
    <w:rsid w:val="00C4367F"/>
    <w:rsid w:val="00C444E2"/>
    <w:rsid w:val="00C503D4"/>
    <w:rsid w:val="00C52641"/>
    <w:rsid w:val="00C72167"/>
    <w:rsid w:val="00C76EDE"/>
    <w:rsid w:val="00C83222"/>
    <w:rsid w:val="00C93FEF"/>
    <w:rsid w:val="00C94293"/>
    <w:rsid w:val="00C970C4"/>
    <w:rsid w:val="00CB7C45"/>
    <w:rsid w:val="00CC08A0"/>
    <w:rsid w:val="00CC23A5"/>
    <w:rsid w:val="00CC460D"/>
    <w:rsid w:val="00CC7FFE"/>
    <w:rsid w:val="00CE3598"/>
    <w:rsid w:val="00CE56EB"/>
    <w:rsid w:val="00CF213A"/>
    <w:rsid w:val="00CF2171"/>
    <w:rsid w:val="00CF21C3"/>
    <w:rsid w:val="00CF4673"/>
    <w:rsid w:val="00D07969"/>
    <w:rsid w:val="00D30096"/>
    <w:rsid w:val="00D30BF7"/>
    <w:rsid w:val="00D3328F"/>
    <w:rsid w:val="00D47582"/>
    <w:rsid w:val="00D50001"/>
    <w:rsid w:val="00D70132"/>
    <w:rsid w:val="00D72527"/>
    <w:rsid w:val="00D74259"/>
    <w:rsid w:val="00D77B06"/>
    <w:rsid w:val="00D800CE"/>
    <w:rsid w:val="00D82E89"/>
    <w:rsid w:val="00D872C8"/>
    <w:rsid w:val="00D93DCF"/>
    <w:rsid w:val="00DA4ACB"/>
    <w:rsid w:val="00DA7388"/>
    <w:rsid w:val="00DB15BC"/>
    <w:rsid w:val="00DB4A80"/>
    <w:rsid w:val="00DC30C2"/>
    <w:rsid w:val="00DC52E4"/>
    <w:rsid w:val="00DC6BBE"/>
    <w:rsid w:val="00DD768F"/>
    <w:rsid w:val="00DE0356"/>
    <w:rsid w:val="00DF371E"/>
    <w:rsid w:val="00DF3F54"/>
    <w:rsid w:val="00E01A69"/>
    <w:rsid w:val="00E04ABF"/>
    <w:rsid w:val="00E05EFC"/>
    <w:rsid w:val="00E12A85"/>
    <w:rsid w:val="00E15835"/>
    <w:rsid w:val="00E15855"/>
    <w:rsid w:val="00E20601"/>
    <w:rsid w:val="00E24B73"/>
    <w:rsid w:val="00E24DB1"/>
    <w:rsid w:val="00E322E7"/>
    <w:rsid w:val="00E3677E"/>
    <w:rsid w:val="00E37283"/>
    <w:rsid w:val="00E53E03"/>
    <w:rsid w:val="00E64EB4"/>
    <w:rsid w:val="00E71030"/>
    <w:rsid w:val="00E90048"/>
    <w:rsid w:val="00EA0A1B"/>
    <w:rsid w:val="00EA0F12"/>
    <w:rsid w:val="00EA2936"/>
    <w:rsid w:val="00EB6A48"/>
    <w:rsid w:val="00EC561D"/>
    <w:rsid w:val="00ED3B77"/>
    <w:rsid w:val="00EF1318"/>
    <w:rsid w:val="00F046DB"/>
    <w:rsid w:val="00F1113D"/>
    <w:rsid w:val="00F14BAB"/>
    <w:rsid w:val="00F16DB8"/>
    <w:rsid w:val="00F21C4D"/>
    <w:rsid w:val="00F30B65"/>
    <w:rsid w:val="00F3119F"/>
    <w:rsid w:val="00F35828"/>
    <w:rsid w:val="00F37385"/>
    <w:rsid w:val="00F419CA"/>
    <w:rsid w:val="00F42E90"/>
    <w:rsid w:val="00F43013"/>
    <w:rsid w:val="00F4509E"/>
    <w:rsid w:val="00F62DC3"/>
    <w:rsid w:val="00F91726"/>
    <w:rsid w:val="00F951AA"/>
    <w:rsid w:val="00FA129C"/>
    <w:rsid w:val="00FA1454"/>
    <w:rsid w:val="00FA492B"/>
    <w:rsid w:val="00FC076D"/>
    <w:rsid w:val="00FC1CE7"/>
    <w:rsid w:val="00FC71DB"/>
    <w:rsid w:val="00FD19DF"/>
    <w:rsid w:val="00FD51BB"/>
    <w:rsid w:val="00FD6CCC"/>
    <w:rsid w:val="00FE0049"/>
    <w:rsid w:val="00FE1A4F"/>
    <w:rsid w:val="00FE70BE"/>
    <w:rsid w:val="00FF2704"/>
    <w:rsid w:val="00FF3346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AC18"/>
  <w15:docId w15:val="{11429225-8039-45F7-81E0-29A75E45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7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5377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537758"/>
  </w:style>
  <w:style w:type="character" w:customStyle="1" w:styleId="rvts0">
    <w:name w:val="rvts0"/>
    <w:rsid w:val="00537758"/>
  </w:style>
  <w:style w:type="paragraph" w:styleId="a5">
    <w:name w:val="List Paragraph"/>
    <w:basedOn w:val="a"/>
    <w:uiPriority w:val="34"/>
    <w:qFormat/>
    <w:rsid w:val="00537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4">
    <w:name w:val="rvps14"/>
    <w:basedOn w:val="a"/>
    <w:rsid w:val="0065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5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65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C444E2"/>
    <w:rPr>
      <w:b/>
      <w:bCs/>
    </w:rPr>
  </w:style>
  <w:style w:type="paragraph" w:styleId="a9">
    <w:name w:val="header"/>
    <w:basedOn w:val="a"/>
    <w:link w:val="aa"/>
    <w:uiPriority w:val="99"/>
    <w:unhideWhenUsed/>
    <w:rsid w:val="00C942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4293"/>
  </w:style>
  <w:style w:type="paragraph" w:styleId="ab">
    <w:name w:val="footer"/>
    <w:basedOn w:val="a"/>
    <w:link w:val="ac"/>
    <w:uiPriority w:val="99"/>
    <w:unhideWhenUsed/>
    <w:rsid w:val="00C942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4293"/>
  </w:style>
  <w:style w:type="character" w:styleId="ad">
    <w:name w:val="Hyperlink"/>
    <w:basedOn w:val="a0"/>
    <w:uiPriority w:val="99"/>
    <w:semiHidden/>
    <w:unhideWhenUsed/>
    <w:rsid w:val="00031C9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0F8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564C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Без интервала1"/>
    <w:rsid w:val="0093515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0">
    <w:name w:val="Без интервала Знак"/>
    <w:link w:val="af1"/>
    <w:uiPriority w:val="99"/>
    <w:locked/>
    <w:rsid w:val="00BC3A75"/>
    <w:rPr>
      <w:sz w:val="28"/>
      <w:lang w:val="ru-RU" w:eastAsia="ru-RU"/>
    </w:rPr>
  </w:style>
  <w:style w:type="paragraph" w:styleId="af1">
    <w:name w:val="No Spacing"/>
    <w:link w:val="af0"/>
    <w:uiPriority w:val="99"/>
    <w:qFormat/>
    <w:rsid w:val="00BC3A75"/>
    <w:pPr>
      <w:spacing w:after="0" w:line="240" w:lineRule="auto"/>
      <w:ind w:firstLine="709"/>
      <w:jc w:val="both"/>
    </w:pPr>
    <w:rPr>
      <w:sz w:val="28"/>
      <w:lang w:val="ru-RU" w:eastAsia="ru-RU"/>
    </w:rPr>
  </w:style>
  <w:style w:type="character" w:customStyle="1" w:styleId="apple-style-span">
    <w:name w:val="apple-style-span"/>
    <w:basedOn w:val="a0"/>
    <w:rsid w:val="00D800CE"/>
  </w:style>
  <w:style w:type="paragraph" w:customStyle="1" w:styleId="rvps2">
    <w:name w:val="rvps2"/>
    <w:basedOn w:val="a"/>
    <w:rsid w:val="0062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ubtle Emphasis"/>
    <w:basedOn w:val="a0"/>
    <w:uiPriority w:val="19"/>
    <w:qFormat/>
    <w:rsid w:val="00FE00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43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8F34-8CEB-4A37-838D-3B8B6BAB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Деньщікова Ганна</dc:creator>
  <cp:lastModifiedBy>Деньщікова Ганна</cp:lastModifiedBy>
  <cp:revision>3</cp:revision>
  <cp:lastPrinted>2019-12-28T11:37:00Z</cp:lastPrinted>
  <dcterms:created xsi:type="dcterms:W3CDTF">2021-03-17T07:03:00Z</dcterms:created>
  <dcterms:modified xsi:type="dcterms:W3CDTF">2021-03-17T09:00:00Z</dcterms:modified>
</cp:coreProperties>
</file>