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DFD" w:rsidRPr="00EE0559" w:rsidRDefault="00990DFD" w:rsidP="008E230D">
      <w:pPr>
        <w:widowControl w:val="0"/>
        <w:pBdr>
          <w:top w:val="nil"/>
          <w:left w:val="nil"/>
          <w:bottom w:val="nil"/>
          <w:right w:val="nil"/>
          <w:between w:val="nil"/>
        </w:pBdr>
        <w:shd w:val="clear" w:color="auto" w:fill="FFFFFF"/>
        <w:spacing w:after="0" w:line="240" w:lineRule="auto"/>
        <w:jc w:val="center"/>
        <w:rPr>
          <w:rFonts w:ascii="Times New Roman" w:hAnsi="Times New Roman" w:cs="Times New Roman"/>
          <w:b/>
          <w:sz w:val="28"/>
          <w:szCs w:val="28"/>
          <w:lang w:eastAsia="en-US"/>
        </w:rPr>
      </w:pPr>
    </w:p>
    <w:p w:rsidR="00764561" w:rsidRPr="00EE0559" w:rsidRDefault="00764561" w:rsidP="00B34F20">
      <w:pPr>
        <w:spacing w:after="0" w:line="240" w:lineRule="auto"/>
        <w:contextualSpacing/>
        <w:jc w:val="center"/>
        <w:rPr>
          <w:rFonts w:ascii="Times New Roman" w:hAnsi="Times New Roman" w:cs="Times New Roman"/>
          <w:b/>
          <w:sz w:val="28"/>
          <w:szCs w:val="28"/>
          <w:lang w:eastAsia="en-US"/>
        </w:rPr>
      </w:pPr>
    </w:p>
    <w:p w:rsidR="00A54958" w:rsidRDefault="00A54958" w:rsidP="00B34F20">
      <w:pPr>
        <w:spacing w:after="0" w:line="240" w:lineRule="auto"/>
        <w:contextualSpacing/>
        <w:jc w:val="center"/>
        <w:rPr>
          <w:rFonts w:ascii="Times New Roman" w:hAnsi="Times New Roman" w:cs="Times New Roman"/>
          <w:b/>
          <w:sz w:val="28"/>
          <w:szCs w:val="28"/>
          <w:lang w:eastAsia="en-US"/>
        </w:rPr>
      </w:pPr>
    </w:p>
    <w:p w:rsidR="00D35279" w:rsidRPr="00EE0559" w:rsidRDefault="00D35279" w:rsidP="00B34F20">
      <w:pPr>
        <w:spacing w:after="0" w:line="240" w:lineRule="auto"/>
        <w:contextualSpacing/>
        <w:jc w:val="center"/>
        <w:rPr>
          <w:rFonts w:ascii="Times New Roman" w:hAnsi="Times New Roman" w:cs="Times New Roman"/>
          <w:b/>
          <w:sz w:val="28"/>
          <w:szCs w:val="28"/>
          <w:lang w:eastAsia="en-US"/>
        </w:rPr>
      </w:pPr>
      <w:r w:rsidRPr="00EE0559">
        <w:rPr>
          <w:rFonts w:ascii="Times New Roman" w:hAnsi="Times New Roman" w:cs="Times New Roman"/>
          <w:b/>
          <w:sz w:val="28"/>
          <w:szCs w:val="28"/>
          <w:lang w:eastAsia="en-US"/>
        </w:rPr>
        <w:t>АНАЛІЗ РЕГУЛЯТОРНОГО ВПЛИВУ</w:t>
      </w:r>
      <w:r w:rsidRPr="00EE0559">
        <w:rPr>
          <w:rFonts w:ascii="Times New Roman" w:hAnsi="Times New Roman" w:cs="Times New Roman"/>
          <w:b/>
          <w:sz w:val="28"/>
          <w:szCs w:val="28"/>
          <w:lang w:eastAsia="en-US"/>
        </w:rPr>
        <w:br/>
        <w:t xml:space="preserve">до проекту постанови Кабінету Міністрів України </w:t>
      </w:r>
    </w:p>
    <w:p w:rsidR="00F30795" w:rsidRPr="00EE0559" w:rsidRDefault="00B34F20" w:rsidP="00B34F20">
      <w:pPr>
        <w:spacing w:after="0" w:line="240" w:lineRule="auto"/>
        <w:contextualSpacing/>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w:t>
      </w:r>
      <w:r w:rsidRPr="00B34F20">
        <w:rPr>
          <w:rFonts w:ascii="Times New Roman" w:hAnsi="Times New Roman" w:cs="Times New Roman"/>
          <w:b/>
          <w:sz w:val="28"/>
          <w:szCs w:val="28"/>
          <w:lang w:eastAsia="en-US"/>
        </w:rPr>
        <w:t>Про внесення зміни до переліку будівельних робіт, які не потребують документів, що дають право на їх виконання, та після закінчення яких об’єкт не підлягає прийняттю в експлуатацію</w:t>
      </w:r>
      <w:r>
        <w:rPr>
          <w:rFonts w:ascii="Times New Roman" w:hAnsi="Times New Roman" w:cs="Times New Roman"/>
          <w:b/>
          <w:sz w:val="28"/>
          <w:szCs w:val="28"/>
          <w:lang w:eastAsia="en-US"/>
        </w:rPr>
        <w:t>»</w:t>
      </w:r>
    </w:p>
    <w:p w:rsidR="00B34F20" w:rsidRDefault="00B34F20" w:rsidP="00957CEC">
      <w:pPr>
        <w:spacing w:after="0" w:line="240" w:lineRule="auto"/>
        <w:contextualSpacing/>
        <w:jc w:val="center"/>
        <w:rPr>
          <w:rFonts w:ascii="Times New Roman" w:hAnsi="Times New Roman" w:cs="Times New Roman"/>
          <w:b/>
          <w:sz w:val="28"/>
          <w:szCs w:val="28"/>
          <w:lang w:eastAsia="en-US"/>
        </w:rPr>
      </w:pPr>
    </w:p>
    <w:p w:rsidR="00833904" w:rsidRDefault="00833904" w:rsidP="00957CEC">
      <w:pPr>
        <w:spacing w:after="0" w:line="240" w:lineRule="auto"/>
        <w:contextualSpacing/>
        <w:jc w:val="center"/>
        <w:rPr>
          <w:rFonts w:ascii="Times New Roman" w:hAnsi="Times New Roman" w:cs="Times New Roman"/>
          <w:b/>
          <w:sz w:val="28"/>
          <w:szCs w:val="28"/>
          <w:lang w:eastAsia="en-US"/>
        </w:rPr>
      </w:pPr>
      <w:r w:rsidRPr="00EE0559">
        <w:rPr>
          <w:rFonts w:ascii="Times New Roman" w:hAnsi="Times New Roman" w:cs="Times New Roman"/>
          <w:b/>
          <w:sz w:val="28"/>
          <w:szCs w:val="28"/>
          <w:lang w:eastAsia="en-US"/>
        </w:rPr>
        <w:t>I. Визначення проблеми</w:t>
      </w:r>
    </w:p>
    <w:p w:rsidR="0026329E" w:rsidRPr="00EE0559" w:rsidRDefault="0026329E" w:rsidP="00957CEC">
      <w:pPr>
        <w:spacing w:after="0" w:line="240" w:lineRule="auto"/>
        <w:contextualSpacing/>
        <w:jc w:val="center"/>
        <w:rPr>
          <w:rFonts w:ascii="Times New Roman" w:hAnsi="Times New Roman" w:cs="Times New Roman"/>
          <w:b/>
          <w:sz w:val="28"/>
          <w:szCs w:val="28"/>
          <w:lang w:eastAsia="en-US"/>
        </w:rPr>
      </w:pPr>
    </w:p>
    <w:p w:rsidR="0026329E" w:rsidRDefault="0026329E" w:rsidP="00DE797B">
      <w:pPr>
        <w:pStyle w:val="ac"/>
        <w:spacing w:before="0" w:beforeAutospacing="0" w:after="0" w:afterAutospacing="0"/>
        <w:ind w:firstLine="720"/>
        <w:jc w:val="both"/>
        <w:rPr>
          <w:sz w:val="28"/>
          <w:szCs w:val="28"/>
        </w:rPr>
      </w:pPr>
      <w:r w:rsidRPr="00974A2F">
        <w:rPr>
          <w:sz w:val="28"/>
          <w:szCs w:val="28"/>
        </w:rPr>
        <w:t>Необ</w:t>
      </w:r>
      <w:r w:rsidR="00483E85">
        <w:rPr>
          <w:sz w:val="28"/>
          <w:szCs w:val="28"/>
        </w:rPr>
        <w:t>хідність внесення зміни до П</w:t>
      </w:r>
      <w:r w:rsidRPr="00974A2F">
        <w:rPr>
          <w:sz w:val="28"/>
          <w:szCs w:val="28"/>
        </w:rPr>
        <w:t xml:space="preserve">ереліку будівельних робіт, які не потребують документів, що дають право на їх виконання, та після закінчення яких об’єкт не підлягає прийняттю в експлуатацію, затвердженого постановою Кабінету </w:t>
      </w:r>
      <w:r w:rsidR="003E136C">
        <w:rPr>
          <w:sz w:val="28"/>
          <w:szCs w:val="28"/>
        </w:rPr>
        <w:t>М</w:t>
      </w:r>
      <w:r w:rsidRPr="00974A2F">
        <w:rPr>
          <w:sz w:val="28"/>
          <w:szCs w:val="28"/>
        </w:rPr>
        <w:t>іністрів України від 07 червня 2017 р</w:t>
      </w:r>
      <w:r w:rsidR="00351A24">
        <w:rPr>
          <w:sz w:val="28"/>
          <w:szCs w:val="28"/>
        </w:rPr>
        <w:t>оку</w:t>
      </w:r>
      <w:r w:rsidRPr="00974A2F">
        <w:rPr>
          <w:sz w:val="28"/>
          <w:szCs w:val="28"/>
        </w:rPr>
        <w:t xml:space="preserve"> № 406, спричинена наявністю колізій у законодавстві України щодо правового регулювання питань, пов’язаних із використанням земель водного фонду, що в свою чергу створює суперечні ситуації під час оформлення дозвільної документації на виконання будівельних робіт на землях водного фонду.</w:t>
      </w:r>
    </w:p>
    <w:p w:rsidR="0026329E" w:rsidRDefault="0026329E" w:rsidP="00DE797B">
      <w:pPr>
        <w:pStyle w:val="ac"/>
        <w:spacing w:before="0" w:beforeAutospacing="0" w:after="0" w:afterAutospacing="0"/>
        <w:ind w:firstLine="720"/>
        <w:jc w:val="both"/>
        <w:rPr>
          <w:sz w:val="28"/>
          <w:szCs w:val="28"/>
        </w:rPr>
      </w:pPr>
      <w:r w:rsidRPr="007E746C">
        <w:rPr>
          <w:sz w:val="28"/>
          <w:szCs w:val="28"/>
        </w:rPr>
        <w:t>Державне підприємство «Адміністрація морських портів України»              (далі – ДП «АМПУ») є державним унітарним підприємством, що було створено відповідно до розпорядження Кабінету Міністрів України від 4 березня 2013 року №133-р «Про погодження пропозиції щодо реорганізації державних підприємств морського транспорту» шляхом виділу з реорганізованих державних підприємств морського транспорту стратегічних об’єктів портової інфраструктури, іншого майна, прав та обов’язків стосовно них, відповідно до розподільчих балансів (роздільних актів (балансів), актів приймання - передачі та є правонаступником зазначених реорганізованих підприємств у частині майна, у тому числі, таких як внутрішні підхідні канали, судноплавні канали, операційні акваторії причалів та портові акваторії. Вказані об’єкти закріплені за ДП «АМПУ» на праві господарського відання та територіально знаходяться в різних географічних районах України.</w:t>
      </w:r>
    </w:p>
    <w:p w:rsidR="0026329E" w:rsidRDefault="0026329E" w:rsidP="00DE797B">
      <w:pPr>
        <w:pStyle w:val="ac"/>
        <w:spacing w:before="0" w:beforeAutospacing="0" w:after="0" w:afterAutospacing="0"/>
        <w:ind w:firstLine="720"/>
        <w:jc w:val="both"/>
        <w:rPr>
          <w:sz w:val="28"/>
          <w:szCs w:val="28"/>
        </w:rPr>
      </w:pPr>
      <w:r w:rsidRPr="007E746C">
        <w:rPr>
          <w:sz w:val="28"/>
          <w:szCs w:val="28"/>
        </w:rPr>
        <w:t>Відповідно до Закону України «Про морські порти України» метою створення ДП «АМПУ» є виконання функцій із забезпечення безпеки мореплавства, утримання та ефективного використання державного майна, закріпленого за ДП «АМПУ» на праві господарського в</w:t>
      </w:r>
      <w:r w:rsidR="007C497F">
        <w:rPr>
          <w:sz w:val="28"/>
          <w:szCs w:val="28"/>
        </w:rPr>
        <w:t>і</w:t>
      </w:r>
      <w:r w:rsidRPr="007E746C">
        <w:rPr>
          <w:sz w:val="28"/>
          <w:szCs w:val="28"/>
        </w:rPr>
        <w:t>дання, у тому числі здійснення модернізації, ремонту, реконструкції та будівництва гідротехнічних споруд, підхідних каналів та акваторій морських портів, розташованих у межах території та акваторії морських портів України.</w:t>
      </w:r>
    </w:p>
    <w:p w:rsidR="0026329E" w:rsidRPr="007E746C" w:rsidRDefault="0026329E" w:rsidP="00DE797B">
      <w:pPr>
        <w:pStyle w:val="ac"/>
        <w:spacing w:before="0" w:beforeAutospacing="0" w:after="0" w:afterAutospacing="0"/>
        <w:ind w:firstLine="720"/>
        <w:jc w:val="both"/>
        <w:rPr>
          <w:sz w:val="28"/>
          <w:szCs w:val="28"/>
        </w:rPr>
      </w:pPr>
      <w:r>
        <w:rPr>
          <w:sz w:val="28"/>
          <w:szCs w:val="28"/>
        </w:rPr>
        <w:t>Д</w:t>
      </w:r>
      <w:r w:rsidRPr="007E746C">
        <w:rPr>
          <w:sz w:val="28"/>
          <w:szCs w:val="28"/>
        </w:rPr>
        <w:t>ля виконання функцій</w:t>
      </w:r>
      <w:r w:rsidR="00002E44">
        <w:rPr>
          <w:sz w:val="28"/>
          <w:szCs w:val="28"/>
        </w:rPr>
        <w:t>,</w:t>
      </w:r>
      <w:r w:rsidRPr="007E746C">
        <w:rPr>
          <w:sz w:val="28"/>
          <w:szCs w:val="28"/>
        </w:rPr>
        <w:t xml:space="preserve"> покладених на ДП «АМПУ» Законом України «Про морські порти України», розпорядженням Кабінету Міністрів України </w:t>
      </w:r>
      <w:r>
        <w:rPr>
          <w:sz w:val="28"/>
          <w:szCs w:val="28"/>
        </w:rPr>
        <w:t xml:space="preserve">                             </w:t>
      </w:r>
      <w:r w:rsidRPr="007E746C">
        <w:rPr>
          <w:sz w:val="28"/>
          <w:szCs w:val="28"/>
        </w:rPr>
        <w:t xml:space="preserve">від 03 червня 2013 </w:t>
      </w:r>
      <w:r w:rsidR="00351A24">
        <w:rPr>
          <w:sz w:val="28"/>
          <w:szCs w:val="28"/>
        </w:rPr>
        <w:t xml:space="preserve">року </w:t>
      </w:r>
      <w:r w:rsidRPr="007E746C">
        <w:rPr>
          <w:sz w:val="28"/>
          <w:szCs w:val="28"/>
        </w:rPr>
        <w:t>№</w:t>
      </w:r>
      <w:r w:rsidR="00351A24">
        <w:rPr>
          <w:sz w:val="28"/>
          <w:szCs w:val="28"/>
        </w:rPr>
        <w:t xml:space="preserve"> </w:t>
      </w:r>
      <w:r w:rsidRPr="007E746C">
        <w:rPr>
          <w:sz w:val="28"/>
          <w:szCs w:val="28"/>
        </w:rPr>
        <w:t>406 «Деякі питання акваторій морських порті</w:t>
      </w:r>
      <w:r>
        <w:rPr>
          <w:sz w:val="28"/>
          <w:szCs w:val="28"/>
        </w:rPr>
        <w:t xml:space="preserve">в» </w:t>
      </w:r>
      <w:r w:rsidRPr="007E746C">
        <w:rPr>
          <w:sz w:val="28"/>
          <w:szCs w:val="28"/>
        </w:rPr>
        <w:t>ДП «АМПУ» було надано у користування акваторії морських портів, межі яких визначені Кабінетом Міністрів України, за умови недопущення передачі їх або їх частин іншим суб’єктам господарювання.</w:t>
      </w:r>
    </w:p>
    <w:p w:rsidR="00106A67" w:rsidRDefault="0026329E" w:rsidP="00B05BCE">
      <w:pPr>
        <w:pStyle w:val="ac"/>
        <w:spacing w:before="0" w:beforeAutospacing="0" w:after="0" w:afterAutospacing="0"/>
        <w:ind w:firstLine="720"/>
        <w:jc w:val="both"/>
        <w:rPr>
          <w:sz w:val="28"/>
          <w:szCs w:val="28"/>
        </w:rPr>
      </w:pPr>
      <w:r w:rsidRPr="007E746C">
        <w:rPr>
          <w:sz w:val="28"/>
          <w:szCs w:val="28"/>
        </w:rPr>
        <w:t xml:space="preserve">Гідротехнічні споруди, до яких також відносяться внутрішні підхідні канали, судноплавні канали, операційні акваторії причалів та портові акваторії, </w:t>
      </w:r>
      <w:r w:rsidRPr="007E746C">
        <w:rPr>
          <w:sz w:val="28"/>
          <w:szCs w:val="28"/>
        </w:rPr>
        <w:lastRenderedPageBreak/>
        <w:t xml:space="preserve">знаходяться на землях водного фонду, які входять до меж акваторії морських портів України, які визначені Кабінетом Міністрів України. </w:t>
      </w:r>
    </w:p>
    <w:p w:rsidR="0026329E" w:rsidRDefault="0026329E" w:rsidP="00DE797B">
      <w:pPr>
        <w:pStyle w:val="ac"/>
        <w:spacing w:before="0" w:beforeAutospacing="0" w:after="0" w:afterAutospacing="0"/>
        <w:ind w:firstLine="567"/>
        <w:jc w:val="both"/>
        <w:rPr>
          <w:sz w:val="28"/>
          <w:szCs w:val="28"/>
        </w:rPr>
      </w:pPr>
      <w:r w:rsidRPr="007E746C">
        <w:rPr>
          <w:sz w:val="28"/>
          <w:szCs w:val="28"/>
        </w:rPr>
        <w:t>Для здійснення модернізації, реконструкції або будівництва гідротехнічних споруд таких як підхідні канали та акваторії морських портів, ДП «АМПУ» повинно виконувати заходи передбачені містобудівним законодавством України, у тому числі отримання дозволу на виконання будівельних робіт за процедурою, затвердженою постановою Кабінету Міністрів України від 13 квітня 2011 р</w:t>
      </w:r>
      <w:r w:rsidR="00351A24">
        <w:rPr>
          <w:sz w:val="28"/>
          <w:szCs w:val="28"/>
        </w:rPr>
        <w:t>оку</w:t>
      </w:r>
      <w:r w:rsidRPr="007E746C">
        <w:rPr>
          <w:sz w:val="28"/>
          <w:szCs w:val="28"/>
        </w:rPr>
        <w:t xml:space="preserve"> № 466 «Деякі питання виконання підготовчих і будівельних робіт».</w:t>
      </w:r>
    </w:p>
    <w:p w:rsidR="00DE797B" w:rsidRDefault="0026329E" w:rsidP="00DE797B">
      <w:pPr>
        <w:pStyle w:val="ac"/>
        <w:spacing w:before="0" w:beforeAutospacing="0" w:after="0" w:afterAutospacing="0"/>
        <w:ind w:firstLine="720"/>
        <w:jc w:val="both"/>
        <w:rPr>
          <w:sz w:val="28"/>
          <w:szCs w:val="28"/>
        </w:rPr>
      </w:pPr>
      <w:r w:rsidRPr="007E746C">
        <w:rPr>
          <w:sz w:val="28"/>
          <w:szCs w:val="28"/>
        </w:rPr>
        <w:t>Враховуючи, що всі гідротехнічні споруди</w:t>
      </w:r>
      <w:r w:rsidR="00351A24">
        <w:rPr>
          <w:sz w:val="28"/>
          <w:szCs w:val="28"/>
        </w:rPr>
        <w:t>,</w:t>
      </w:r>
      <w:r w:rsidRPr="007E746C">
        <w:rPr>
          <w:sz w:val="28"/>
          <w:szCs w:val="28"/>
        </w:rPr>
        <w:t xml:space="preserve"> у тому числі внутрішні підхідні канали, судноплавні канали, операційні акваторії причалів та портові акваторії у переважній більшості відносяться до об’єктів, які за класом наслідків (відповідальності) належать до об’єктів із середніми (СС2) та значними (СС3) наслідками, ДП «АМПУ» необхідно отримувати Дозвіл на виконання будівельних робіт під час здійснення модернізації, реконструкції або будівництва підхідних каналів та акваторій морських портів, за процедурою</w:t>
      </w:r>
      <w:r w:rsidR="00351A24">
        <w:rPr>
          <w:sz w:val="28"/>
          <w:szCs w:val="28"/>
        </w:rPr>
        <w:t>,</w:t>
      </w:r>
      <w:r w:rsidRPr="007E746C">
        <w:rPr>
          <w:sz w:val="28"/>
          <w:szCs w:val="28"/>
        </w:rPr>
        <w:t xml:space="preserve"> визначеною постановою Кабінету Міністр</w:t>
      </w:r>
      <w:r w:rsidR="00351A24">
        <w:rPr>
          <w:sz w:val="28"/>
          <w:szCs w:val="28"/>
        </w:rPr>
        <w:t>ів України від 13 квітня 2011 року</w:t>
      </w:r>
      <w:r w:rsidRPr="007E746C">
        <w:rPr>
          <w:sz w:val="28"/>
          <w:szCs w:val="28"/>
        </w:rPr>
        <w:t xml:space="preserve"> № 466. Хоча здійснення реконструкції або будівництва гідротехнічних споруд</w:t>
      </w:r>
      <w:r w:rsidR="00351A24">
        <w:rPr>
          <w:sz w:val="28"/>
          <w:szCs w:val="28"/>
        </w:rPr>
        <w:t>,</w:t>
      </w:r>
      <w:r w:rsidRPr="007E746C">
        <w:rPr>
          <w:sz w:val="28"/>
          <w:szCs w:val="28"/>
        </w:rPr>
        <w:t xml:space="preserve"> таких як підхідні канали та акваторії морських портів</w:t>
      </w:r>
      <w:r w:rsidR="00351A24">
        <w:rPr>
          <w:sz w:val="28"/>
          <w:szCs w:val="28"/>
        </w:rPr>
        <w:t>,</w:t>
      </w:r>
      <w:r w:rsidRPr="007E746C">
        <w:rPr>
          <w:sz w:val="28"/>
          <w:szCs w:val="28"/>
        </w:rPr>
        <w:t xml:space="preserve"> передбачає за своєю суттю лише виконання днопоглиблюваль</w:t>
      </w:r>
      <w:r w:rsidR="00351A24">
        <w:rPr>
          <w:sz w:val="28"/>
          <w:szCs w:val="28"/>
        </w:rPr>
        <w:t>них робіт без застосування будь-</w:t>
      </w:r>
      <w:r w:rsidRPr="007E746C">
        <w:rPr>
          <w:sz w:val="28"/>
          <w:szCs w:val="28"/>
        </w:rPr>
        <w:t xml:space="preserve">яких будівельних матеріалів та не супроводжуються зведенням споруд та фундаментів. </w:t>
      </w:r>
    </w:p>
    <w:p w:rsidR="00DE797B" w:rsidRDefault="0026329E" w:rsidP="00DE797B">
      <w:pPr>
        <w:pStyle w:val="ac"/>
        <w:spacing w:before="0" w:beforeAutospacing="0" w:after="0" w:afterAutospacing="0"/>
        <w:ind w:firstLine="720"/>
        <w:jc w:val="both"/>
        <w:rPr>
          <w:sz w:val="28"/>
          <w:szCs w:val="28"/>
        </w:rPr>
      </w:pPr>
      <w:r w:rsidRPr="007E746C">
        <w:rPr>
          <w:sz w:val="28"/>
          <w:szCs w:val="28"/>
        </w:rPr>
        <w:t>Виконання днопоглиблювальних робіт також повинно бути забезпечено дозвільними документами, що дають право виконувати такі роботи. Відповідно до пункту 7 статті 14 Водного кодексу України, постанови Кабінету Міністрів України від 12</w:t>
      </w:r>
      <w:r w:rsidR="00351A24">
        <w:rPr>
          <w:sz w:val="28"/>
          <w:szCs w:val="28"/>
        </w:rPr>
        <w:t xml:space="preserve"> липня </w:t>
      </w:r>
      <w:r w:rsidRPr="007E746C">
        <w:rPr>
          <w:sz w:val="28"/>
          <w:szCs w:val="28"/>
        </w:rPr>
        <w:t xml:space="preserve">2005 </w:t>
      </w:r>
      <w:r w:rsidR="00351A24">
        <w:rPr>
          <w:sz w:val="28"/>
          <w:szCs w:val="28"/>
        </w:rPr>
        <w:t xml:space="preserve">року </w:t>
      </w:r>
      <w:r w:rsidRPr="007E746C">
        <w:rPr>
          <w:sz w:val="28"/>
          <w:szCs w:val="28"/>
        </w:rPr>
        <w:t>№</w:t>
      </w:r>
      <w:r w:rsidR="00351A24">
        <w:rPr>
          <w:sz w:val="28"/>
          <w:szCs w:val="28"/>
        </w:rPr>
        <w:t xml:space="preserve"> </w:t>
      </w:r>
      <w:r w:rsidRPr="007E746C">
        <w:rPr>
          <w:sz w:val="28"/>
          <w:szCs w:val="28"/>
        </w:rPr>
        <w:t xml:space="preserve">557, </w:t>
      </w:r>
      <w:r w:rsidR="00351A24">
        <w:rPr>
          <w:sz w:val="28"/>
          <w:szCs w:val="28"/>
        </w:rPr>
        <w:t xml:space="preserve">«Про затвердження </w:t>
      </w:r>
      <w:r w:rsidRPr="007E746C">
        <w:rPr>
          <w:sz w:val="28"/>
          <w:szCs w:val="28"/>
        </w:rPr>
        <w:t>Порядку видачі дозволів на проведення робіт на землях водного фонду» (зі змінами), встановлено порядок видачі дозволів на проведення робіт на землях водного фонду. На даний час дозволи на проведення робіт на землях водного фонду отримуються ДП «АМПУ» (філіями в портах) у Міністерстві екології та природних ресурсів України.</w:t>
      </w:r>
    </w:p>
    <w:p w:rsidR="0026329E" w:rsidRDefault="0026329E" w:rsidP="00DE797B">
      <w:pPr>
        <w:pStyle w:val="ac"/>
        <w:spacing w:before="0" w:beforeAutospacing="0" w:after="0" w:afterAutospacing="0"/>
        <w:ind w:firstLine="720"/>
        <w:jc w:val="both"/>
        <w:rPr>
          <w:sz w:val="28"/>
          <w:szCs w:val="28"/>
        </w:rPr>
      </w:pPr>
      <w:r>
        <w:rPr>
          <w:sz w:val="28"/>
          <w:szCs w:val="28"/>
        </w:rPr>
        <w:t xml:space="preserve">Суть проблеми полягає у тому, що </w:t>
      </w:r>
      <w:r w:rsidRPr="007E746C">
        <w:rPr>
          <w:sz w:val="28"/>
          <w:szCs w:val="28"/>
        </w:rPr>
        <w:t>зараз у містобудівному законодавстві України існують неврегульованості та дублювання дозвільних процедур, здійснення яких має обов’язковий характер під час виконання будівельних робіт на землях водного фонду в частині здійснення днопоглиблювальн</w:t>
      </w:r>
      <w:r w:rsidR="007C497F">
        <w:rPr>
          <w:sz w:val="28"/>
          <w:szCs w:val="28"/>
        </w:rPr>
        <w:t>их робіт, а також колізії</w:t>
      </w:r>
      <w:r w:rsidRPr="007E746C">
        <w:rPr>
          <w:sz w:val="28"/>
          <w:szCs w:val="28"/>
        </w:rPr>
        <w:t xml:space="preserve"> у законодавстві України щодо правового регулювання питань, пов’язаних із використанням земель водного фонду, що у свою чергу створює деякі суперечні ситуації під час оформлення ДП «АМПУ» дозвільної документації на виконання будівельних робіт з днопоглиблення.</w:t>
      </w:r>
    </w:p>
    <w:p w:rsidR="0026329E" w:rsidRDefault="0026329E" w:rsidP="00DE797B">
      <w:pPr>
        <w:pStyle w:val="ac"/>
        <w:spacing w:before="0" w:beforeAutospacing="0" w:after="0" w:afterAutospacing="0"/>
        <w:ind w:firstLine="720"/>
        <w:jc w:val="both"/>
        <w:rPr>
          <w:sz w:val="28"/>
          <w:szCs w:val="28"/>
        </w:rPr>
      </w:pPr>
      <w:r>
        <w:rPr>
          <w:sz w:val="28"/>
          <w:szCs w:val="28"/>
        </w:rPr>
        <w:t>Р</w:t>
      </w:r>
      <w:r w:rsidRPr="007E746C">
        <w:rPr>
          <w:sz w:val="28"/>
          <w:szCs w:val="28"/>
        </w:rPr>
        <w:t xml:space="preserve">азом з цим, </w:t>
      </w:r>
      <w:r w:rsidR="007C497F">
        <w:rPr>
          <w:sz w:val="28"/>
          <w:szCs w:val="28"/>
        </w:rPr>
        <w:t xml:space="preserve">абзацом другим </w:t>
      </w:r>
      <w:r w:rsidRPr="007E746C">
        <w:rPr>
          <w:sz w:val="28"/>
          <w:szCs w:val="28"/>
        </w:rPr>
        <w:t>частин</w:t>
      </w:r>
      <w:r w:rsidR="007C497F">
        <w:rPr>
          <w:sz w:val="28"/>
          <w:szCs w:val="28"/>
        </w:rPr>
        <w:t>и другої</w:t>
      </w:r>
      <w:r w:rsidRPr="007E746C">
        <w:rPr>
          <w:sz w:val="28"/>
          <w:szCs w:val="28"/>
        </w:rPr>
        <w:t xml:space="preserve"> статті 34 Закону України «Про регулювання містобудівної діяльності</w:t>
      </w:r>
      <w:r w:rsidR="007C497F">
        <w:rPr>
          <w:sz w:val="28"/>
          <w:szCs w:val="28"/>
        </w:rPr>
        <w:t>»</w:t>
      </w:r>
      <w:r w:rsidRPr="007E746C">
        <w:rPr>
          <w:sz w:val="28"/>
          <w:szCs w:val="28"/>
        </w:rPr>
        <w:t xml:space="preserve"> передбачено, що Кабінет Міністрів України затверджує Перелік будівельних робіт, які не потребують документів, що дають право на їх виконання, та після закінчення яких об’єкт не підлягає прийняттю в експлуатацію.</w:t>
      </w:r>
    </w:p>
    <w:p w:rsidR="00483E85" w:rsidRDefault="0026329E" w:rsidP="00DE797B">
      <w:pPr>
        <w:pStyle w:val="ac"/>
        <w:spacing w:before="0" w:beforeAutospacing="0" w:after="0" w:afterAutospacing="0"/>
        <w:ind w:firstLine="720"/>
        <w:jc w:val="both"/>
        <w:rPr>
          <w:sz w:val="28"/>
          <w:szCs w:val="28"/>
        </w:rPr>
      </w:pPr>
      <w:r>
        <w:rPr>
          <w:sz w:val="28"/>
          <w:szCs w:val="28"/>
        </w:rPr>
        <w:t>Вказану проблему можливо розв’язати саме шляхом</w:t>
      </w:r>
      <w:r w:rsidR="00483E85">
        <w:rPr>
          <w:sz w:val="28"/>
          <w:szCs w:val="28"/>
        </w:rPr>
        <w:t xml:space="preserve"> </w:t>
      </w:r>
      <w:r w:rsidR="00483E85" w:rsidRPr="00483E85">
        <w:rPr>
          <w:sz w:val="28"/>
          <w:szCs w:val="28"/>
        </w:rPr>
        <w:t xml:space="preserve">прийняття проекту постанови Кабінету Міністрів України «Про внесення зміни до переліку будівельних робіт, які не потребують документів, що дають право на їх виконання, </w:t>
      </w:r>
      <w:r w:rsidR="00483E85" w:rsidRPr="00483E85">
        <w:rPr>
          <w:sz w:val="28"/>
          <w:szCs w:val="28"/>
        </w:rPr>
        <w:lastRenderedPageBreak/>
        <w:t>та після закінчення яких об’єкт не підлягає прийняттю в експлуатацію»</w:t>
      </w:r>
      <w:r>
        <w:rPr>
          <w:sz w:val="28"/>
          <w:szCs w:val="28"/>
        </w:rPr>
        <w:t xml:space="preserve"> </w:t>
      </w:r>
      <w:r w:rsidR="00E652D0">
        <w:rPr>
          <w:sz w:val="28"/>
          <w:szCs w:val="28"/>
        </w:rPr>
        <w:t>(далі – проект Постанови).</w:t>
      </w:r>
    </w:p>
    <w:p w:rsidR="0026329E" w:rsidRDefault="0026329E" w:rsidP="00DE797B">
      <w:pPr>
        <w:pStyle w:val="ac"/>
        <w:spacing w:before="0" w:beforeAutospacing="0" w:after="0" w:afterAutospacing="0"/>
        <w:ind w:firstLine="720"/>
        <w:jc w:val="both"/>
        <w:rPr>
          <w:sz w:val="28"/>
          <w:szCs w:val="28"/>
        </w:rPr>
      </w:pPr>
      <w:r w:rsidRPr="007E746C">
        <w:rPr>
          <w:sz w:val="28"/>
          <w:szCs w:val="28"/>
        </w:rPr>
        <w:t>Проектом постанови</w:t>
      </w:r>
      <w:r w:rsidR="00483E85">
        <w:rPr>
          <w:sz w:val="28"/>
          <w:szCs w:val="28"/>
        </w:rPr>
        <w:t xml:space="preserve"> </w:t>
      </w:r>
      <w:r w:rsidRPr="007E746C">
        <w:rPr>
          <w:sz w:val="28"/>
          <w:szCs w:val="28"/>
        </w:rPr>
        <w:t>пропонується</w:t>
      </w:r>
      <w:r w:rsidR="00483E85">
        <w:rPr>
          <w:sz w:val="28"/>
          <w:szCs w:val="28"/>
        </w:rPr>
        <w:t xml:space="preserve"> внести зміну до П</w:t>
      </w:r>
      <w:r w:rsidR="00483E85" w:rsidRPr="00974A2F">
        <w:rPr>
          <w:sz w:val="28"/>
          <w:szCs w:val="28"/>
        </w:rPr>
        <w:t>ереліку будівельних робіт, які не потребують документів, що дають право на їх виконання, та після закінчення яких об’єкт не підлягає прийняттю в експлуатацію, затвердженого постановою Кабінету міністрів України від 07 червня 2017 р</w:t>
      </w:r>
      <w:r w:rsidR="00351A24">
        <w:rPr>
          <w:sz w:val="28"/>
          <w:szCs w:val="28"/>
        </w:rPr>
        <w:t>оку</w:t>
      </w:r>
      <w:r w:rsidR="00483E85" w:rsidRPr="00974A2F">
        <w:rPr>
          <w:sz w:val="28"/>
          <w:szCs w:val="28"/>
        </w:rPr>
        <w:t xml:space="preserve"> № 406</w:t>
      </w:r>
      <w:r w:rsidR="00483E85">
        <w:rPr>
          <w:sz w:val="28"/>
          <w:szCs w:val="28"/>
        </w:rPr>
        <w:t>, а саме</w:t>
      </w:r>
      <w:r w:rsidRPr="007E746C">
        <w:rPr>
          <w:sz w:val="28"/>
          <w:szCs w:val="28"/>
        </w:rPr>
        <w:t xml:space="preserve"> віднести роботи</w:t>
      </w:r>
      <w:r w:rsidR="00351A24">
        <w:rPr>
          <w:sz w:val="28"/>
          <w:szCs w:val="28"/>
        </w:rPr>
        <w:t>,</w:t>
      </w:r>
      <w:r w:rsidRPr="007E746C">
        <w:rPr>
          <w:sz w:val="28"/>
          <w:szCs w:val="28"/>
        </w:rPr>
        <w:t xml:space="preserve"> пов’язані із будівництвом, реконструкцією, технічним переоснащенням та капітальним ремонтом гідротехнічних споруд, а саме: акваторій морських портів (портових акваторій), внутрішніх підхідних каналів, судноплавних каналів, операційних акваторій причалів, якірних стоянок, а також інших підводних гідротехнічних споруд штучного та природного походження, в тому числі розташованих в межах акваторій морських портів і призначених для забезпечення безпеки мореплавства, маневрування та стоянки суден до переліку будівельних робіт, які не потребують документів, що дають право на їх виконання, та після закінчення яких об’єкт не підлягає прийняттю в експлуатацію.</w:t>
      </w:r>
    </w:p>
    <w:p w:rsidR="0026329E" w:rsidRPr="00DB01CC" w:rsidRDefault="0026329E" w:rsidP="00DE797B">
      <w:pPr>
        <w:pStyle w:val="ac"/>
        <w:spacing w:before="0" w:beforeAutospacing="0" w:after="0" w:afterAutospacing="0"/>
        <w:ind w:firstLine="720"/>
        <w:jc w:val="both"/>
        <w:rPr>
          <w:sz w:val="28"/>
          <w:szCs w:val="28"/>
        </w:rPr>
      </w:pPr>
    </w:p>
    <w:p w:rsidR="0026329E" w:rsidRPr="00DB01CC" w:rsidRDefault="0026329E" w:rsidP="00DE797B">
      <w:pPr>
        <w:pStyle w:val="ac"/>
        <w:spacing w:before="0" w:beforeAutospacing="0" w:after="0" w:afterAutospacing="0"/>
        <w:ind w:firstLine="720"/>
        <w:jc w:val="both"/>
        <w:rPr>
          <w:sz w:val="28"/>
          <w:szCs w:val="28"/>
        </w:rPr>
      </w:pPr>
      <w:r w:rsidRPr="00DB01CC">
        <w:rPr>
          <w:sz w:val="28"/>
          <w:szCs w:val="28"/>
        </w:rPr>
        <w:t>Основні групи, на які проблема справляє вплив:</w:t>
      </w:r>
    </w:p>
    <w:tbl>
      <w:tblPr>
        <w:tblStyle w:val="af"/>
        <w:tblW w:w="0" w:type="auto"/>
        <w:tblLook w:val="04A0" w:firstRow="1" w:lastRow="0" w:firstColumn="1" w:lastColumn="0" w:noHBand="0" w:noVBand="1"/>
      </w:tblPr>
      <w:tblGrid>
        <w:gridCol w:w="6799"/>
        <w:gridCol w:w="1560"/>
        <w:gridCol w:w="1552"/>
      </w:tblGrid>
      <w:tr w:rsidR="0026329E" w:rsidRPr="00DB01CC" w:rsidTr="0070695F">
        <w:tc>
          <w:tcPr>
            <w:tcW w:w="6799" w:type="dxa"/>
          </w:tcPr>
          <w:p w:rsidR="0026329E" w:rsidRPr="00DB01CC" w:rsidRDefault="0026329E" w:rsidP="00DE797B">
            <w:pPr>
              <w:pStyle w:val="ac"/>
              <w:spacing w:before="0" w:beforeAutospacing="0" w:after="0" w:afterAutospacing="0"/>
              <w:jc w:val="both"/>
              <w:rPr>
                <w:sz w:val="28"/>
                <w:szCs w:val="28"/>
              </w:rPr>
            </w:pPr>
            <w:r w:rsidRPr="00DB01CC">
              <w:rPr>
                <w:sz w:val="28"/>
                <w:szCs w:val="28"/>
              </w:rPr>
              <w:t>Групи (підгрупи)</w:t>
            </w:r>
          </w:p>
        </w:tc>
        <w:tc>
          <w:tcPr>
            <w:tcW w:w="1560" w:type="dxa"/>
            <w:vAlign w:val="center"/>
          </w:tcPr>
          <w:p w:rsidR="0026329E" w:rsidRPr="00DB01CC" w:rsidRDefault="0026329E" w:rsidP="00DE797B">
            <w:pPr>
              <w:pStyle w:val="ac"/>
              <w:spacing w:before="0" w:beforeAutospacing="0" w:after="0" w:afterAutospacing="0"/>
              <w:jc w:val="center"/>
              <w:rPr>
                <w:sz w:val="28"/>
                <w:szCs w:val="28"/>
              </w:rPr>
            </w:pPr>
            <w:r w:rsidRPr="00DB01CC">
              <w:rPr>
                <w:sz w:val="28"/>
                <w:szCs w:val="28"/>
              </w:rPr>
              <w:t>Так</w:t>
            </w:r>
          </w:p>
        </w:tc>
        <w:tc>
          <w:tcPr>
            <w:tcW w:w="1552" w:type="dxa"/>
            <w:vAlign w:val="center"/>
          </w:tcPr>
          <w:p w:rsidR="0026329E" w:rsidRPr="00DB01CC" w:rsidRDefault="0026329E" w:rsidP="00DE797B">
            <w:pPr>
              <w:pStyle w:val="ac"/>
              <w:spacing w:before="0" w:beforeAutospacing="0" w:after="0" w:afterAutospacing="0"/>
              <w:jc w:val="center"/>
              <w:rPr>
                <w:sz w:val="28"/>
                <w:szCs w:val="28"/>
              </w:rPr>
            </w:pPr>
            <w:r w:rsidRPr="00DB01CC">
              <w:rPr>
                <w:sz w:val="28"/>
                <w:szCs w:val="28"/>
              </w:rPr>
              <w:t>Ні</w:t>
            </w:r>
          </w:p>
        </w:tc>
      </w:tr>
      <w:tr w:rsidR="0026329E" w:rsidRPr="00DB01CC" w:rsidTr="0070695F">
        <w:tc>
          <w:tcPr>
            <w:tcW w:w="6799" w:type="dxa"/>
          </w:tcPr>
          <w:p w:rsidR="0026329E" w:rsidRPr="00DB01CC" w:rsidRDefault="0026329E" w:rsidP="00DE797B">
            <w:pPr>
              <w:pStyle w:val="ac"/>
              <w:spacing w:before="0" w:beforeAutospacing="0" w:after="0" w:afterAutospacing="0"/>
              <w:jc w:val="both"/>
              <w:rPr>
                <w:sz w:val="28"/>
                <w:szCs w:val="28"/>
              </w:rPr>
            </w:pPr>
            <w:r w:rsidRPr="00DB01CC">
              <w:rPr>
                <w:sz w:val="28"/>
                <w:szCs w:val="28"/>
              </w:rPr>
              <w:t>Громадяни</w:t>
            </w:r>
          </w:p>
        </w:tc>
        <w:tc>
          <w:tcPr>
            <w:tcW w:w="1560" w:type="dxa"/>
            <w:vAlign w:val="center"/>
          </w:tcPr>
          <w:p w:rsidR="0026329E" w:rsidRPr="00DB01CC" w:rsidRDefault="00253500" w:rsidP="00DE797B">
            <w:pPr>
              <w:pStyle w:val="ac"/>
              <w:spacing w:before="0" w:beforeAutospacing="0" w:after="0" w:afterAutospacing="0"/>
              <w:jc w:val="center"/>
              <w:rPr>
                <w:sz w:val="28"/>
                <w:szCs w:val="28"/>
              </w:rPr>
            </w:pPr>
            <w:r>
              <w:rPr>
                <w:sz w:val="28"/>
                <w:szCs w:val="28"/>
              </w:rPr>
              <w:t>-</w:t>
            </w:r>
          </w:p>
        </w:tc>
        <w:tc>
          <w:tcPr>
            <w:tcW w:w="1552" w:type="dxa"/>
            <w:vAlign w:val="center"/>
          </w:tcPr>
          <w:p w:rsidR="0026329E" w:rsidRPr="00DB01CC" w:rsidRDefault="0026329E" w:rsidP="00DE797B">
            <w:pPr>
              <w:pStyle w:val="ac"/>
              <w:spacing w:before="0" w:beforeAutospacing="0" w:after="0" w:afterAutospacing="0"/>
              <w:jc w:val="center"/>
              <w:rPr>
                <w:sz w:val="28"/>
                <w:szCs w:val="28"/>
              </w:rPr>
            </w:pPr>
            <w:r w:rsidRPr="00DB01CC">
              <w:rPr>
                <w:sz w:val="28"/>
                <w:szCs w:val="28"/>
              </w:rPr>
              <w:t>-</w:t>
            </w:r>
          </w:p>
        </w:tc>
      </w:tr>
      <w:tr w:rsidR="0026329E" w:rsidRPr="00DB01CC" w:rsidTr="0070695F">
        <w:tc>
          <w:tcPr>
            <w:tcW w:w="6799" w:type="dxa"/>
          </w:tcPr>
          <w:p w:rsidR="0026329E" w:rsidRPr="00DB01CC" w:rsidRDefault="0026329E" w:rsidP="00DE797B">
            <w:pPr>
              <w:pStyle w:val="ac"/>
              <w:spacing w:before="0" w:beforeAutospacing="0" w:after="0" w:afterAutospacing="0"/>
              <w:jc w:val="both"/>
              <w:rPr>
                <w:sz w:val="28"/>
                <w:szCs w:val="28"/>
              </w:rPr>
            </w:pPr>
            <w:r w:rsidRPr="00DB01CC">
              <w:rPr>
                <w:sz w:val="28"/>
                <w:szCs w:val="28"/>
              </w:rPr>
              <w:t>Держава</w:t>
            </w:r>
          </w:p>
        </w:tc>
        <w:tc>
          <w:tcPr>
            <w:tcW w:w="1560" w:type="dxa"/>
            <w:vAlign w:val="center"/>
          </w:tcPr>
          <w:p w:rsidR="0026329E" w:rsidRPr="00DB01CC" w:rsidRDefault="0026329E" w:rsidP="00DE797B">
            <w:pPr>
              <w:pStyle w:val="ac"/>
              <w:spacing w:before="0" w:beforeAutospacing="0" w:after="0" w:afterAutospacing="0"/>
              <w:jc w:val="center"/>
              <w:rPr>
                <w:sz w:val="28"/>
                <w:szCs w:val="28"/>
              </w:rPr>
            </w:pPr>
            <w:r w:rsidRPr="00DB01CC">
              <w:rPr>
                <w:sz w:val="28"/>
                <w:szCs w:val="28"/>
              </w:rPr>
              <w:t>+</w:t>
            </w:r>
          </w:p>
        </w:tc>
        <w:tc>
          <w:tcPr>
            <w:tcW w:w="1552" w:type="dxa"/>
            <w:vAlign w:val="center"/>
          </w:tcPr>
          <w:p w:rsidR="0026329E" w:rsidRPr="00DB01CC" w:rsidRDefault="0026329E" w:rsidP="00DE797B">
            <w:pPr>
              <w:pStyle w:val="ac"/>
              <w:spacing w:before="0" w:beforeAutospacing="0" w:after="0" w:afterAutospacing="0"/>
              <w:jc w:val="center"/>
              <w:rPr>
                <w:sz w:val="28"/>
                <w:szCs w:val="28"/>
              </w:rPr>
            </w:pPr>
            <w:r w:rsidRPr="00DB01CC">
              <w:rPr>
                <w:sz w:val="28"/>
                <w:szCs w:val="28"/>
              </w:rPr>
              <w:t>-</w:t>
            </w:r>
          </w:p>
        </w:tc>
      </w:tr>
      <w:tr w:rsidR="0026329E" w:rsidRPr="00DB01CC" w:rsidTr="0070695F">
        <w:tc>
          <w:tcPr>
            <w:tcW w:w="6799" w:type="dxa"/>
          </w:tcPr>
          <w:p w:rsidR="0026329E" w:rsidRPr="00DB01CC" w:rsidRDefault="0026329E" w:rsidP="00DE797B">
            <w:pPr>
              <w:pStyle w:val="ac"/>
              <w:spacing w:before="0" w:beforeAutospacing="0" w:after="0" w:afterAutospacing="0"/>
              <w:jc w:val="both"/>
              <w:rPr>
                <w:sz w:val="28"/>
                <w:szCs w:val="28"/>
              </w:rPr>
            </w:pPr>
            <w:r w:rsidRPr="00DB01CC">
              <w:rPr>
                <w:sz w:val="28"/>
                <w:szCs w:val="28"/>
              </w:rPr>
              <w:t>Суб'єкти господарювання</w:t>
            </w:r>
          </w:p>
        </w:tc>
        <w:tc>
          <w:tcPr>
            <w:tcW w:w="1560" w:type="dxa"/>
            <w:vAlign w:val="center"/>
          </w:tcPr>
          <w:p w:rsidR="0026329E" w:rsidRPr="00DB01CC" w:rsidRDefault="0026329E" w:rsidP="00DE797B">
            <w:pPr>
              <w:pStyle w:val="ac"/>
              <w:spacing w:before="0" w:beforeAutospacing="0" w:after="0" w:afterAutospacing="0"/>
              <w:jc w:val="center"/>
              <w:rPr>
                <w:sz w:val="28"/>
                <w:szCs w:val="28"/>
              </w:rPr>
            </w:pPr>
            <w:r w:rsidRPr="00DB01CC">
              <w:rPr>
                <w:sz w:val="28"/>
                <w:szCs w:val="28"/>
              </w:rPr>
              <w:t>+</w:t>
            </w:r>
          </w:p>
        </w:tc>
        <w:tc>
          <w:tcPr>
            <w:tcW w:w="1552" w:type="dxa"/>
            <w:vAlign w:val="center"/>
          </w:tcPr>
          <w:p w:rsidR="0026329E" w:rsidRPr="00DB01CC" w:rsidRDefault="0026329E" w:rsidP="00DE797B">
            <w:pPr>
              <w:pStyle w:val="ac"/>
              <w:spacing w:before="0" w:beforeAutospacing="0" w:after="0" w:afterAutospacing="0"/>
              <w:jc w:val="center"/>
              <w:rPr>
                <w:sz w:val="28"/>
                <w:szCs w:val="28"/>
              </w:rPr>
            </w:pPr>
            <w:r w:rsidRPr="00DB01CC">
              <w:rPr>
                <w:sz w:val="28"/>
                <w:szCs w:val="28"/>
              </w:rPr>
              <w:t>-</w:t>
            </w:r>
          </w:p>
        </w:tc>
      </w:tr>
    </w:tbl>
    <w:p w:rsidR="0026329E" w:rsidRDefault="0026329E" w:rsidP="00DE797B">
      <w:pPr>
        <w:pStyle w:val="ac"/>
        <w:spacing w:after="0" w:afterAutospacing="0"/>
        <w:ind w:firstLine="720"/>
        <w:jc w:val="both"/>
        <w:rPr>
          <w:sz w:val="28"/>
          <w:szCs w:val="28"/>
        </w:rPr>
      </w:pPr>
      <w:r w:rsidRPr="00F52EBE">
        <w:rPr>
          <w:sz w:val="28"/>
          <w:szCs w:val="28"/>
        </w:rPr>
        <w:t>Неможливість розв’язання зазначеної проблеми за допомогою ринкових механізмів обумовлено тим</w:t>
      </w:r>
      <w:r>
        <w:rPr>
          <w:sz w:val="28"/>
          <w:szCs w:val="28"/>
        </w:rPr>
        <w:t>, що Перелік</w:t>
      </w:r>
      <w:r w:rsidRPr="00F52EBE">
        <w:rPr>
          <w:sz w:val="28"/>
          <w:szCs w:val="28"/>
        </w:rPr>
        <w:t xml:space="preserve"> будівельних робіт, які не потребують документів, що дають прав</w:t>
      </w:r>
      <w:r>
        <w:rPr>
          <w:sz w:val="28"/>
          <w:szCs w:val="28"/>
        </w:rPr>
        <w:t xml:space="preserve">о на їх виконання, </w:t>
      </w:r>
      <w:r w:rsidR="007C497F">
        <w:rPr>
          <w:sz w:val="28"/>
          <w:szCs w:val="28"/>
        </w:rPr>
        <w:t xml:space="preserve">та після закінчення яких </w:t>
      </w:r>
      <w:r w:rsidR="00351A24">
        <w:rPr>
          <w:sz w:val="28"/>
          <w:szCs w:val="28"/>
        </w:rPr>
        <w:t>об’єкт</w:t>
      </w:r>
      <w:r w:rsidR="007C497F">
        <w:rPr>
          <w:sz w:val="28"/>
          <w:szCs w:val="28"/>
        </w:rPr>
        <w:t xml:space="preserve"> не підлягає прийняттю в експлуатацію, </w:t>
      </w:r>
      <w:r>
        <w:rPr>
          <w:sz w:val="28"/>
          <w:szCs w:val="28"/>
        </w:rPr>
        <w:t>затверджено</w:t>
      </w:r>
      <w:r w:rsidRPr="00F52EBE">
        <w:rPr>
          <w:sz w:val="28"/>
          <w:szCs w:val="28"/>
        </w:rPr>
        <w:t xml:space="preserve"> постановою Кабінету міністрів України від 07 червня 2017 р</w:t>
      </w:r>
      <w:r w:rsidR="00351A24">
        <w:rPr>
          <w:sz w:val="28"/>
          <w:szCs w:val="28"/>
        </w:rPr>
        <w:t>оку</w:t>
      </w:r>
      <w:r w:rsidRPr="00F52EBE">
        <w:rPr>
          <w:sz w:val="28"/>
          <w:szCs w:val="28"/>
        </w:rPr>
        <w:t xml:space="preserve"> № 406. </w:t>
      </w:r>
    </w:p>
    <w:p w:rsidR="0026329E" w:rsidRDefault="0026329E" w:rsidP="00DE797B">
      <w:pPr>
        <w:pStyle w:val="ac"/>
        <w:spacing w:before="0" w:beforeAutospacing="0" w:after="0" w:afterAutospacing="0"/>
        <w:ind w:firstLine="720"/>
        <w:jc w:val="both"/>
        <w:rPr>
          <w:sz w:val="28"/>
          <w:szCs w:val="28"/>
        </w:rPr>
      </w:pPr>
      <w:r>
        <w:rPr>
          <w:sz w:val="28"/>
          <w:szCs w:val="28"/>
        </w:rPr>
        <w:t xml:space="preserve">За допомогою діючих регуляторних актів неможливо розв’язати зазначену проблему через те, що існують </w:t>
      </w:r>
      <w:r w:rsidRPr="007E746C">
        <w:rPr>
          <w:sz w:val="28"/>
          <w:szCs w:val="28"/>
        </w:rPr>
        <w:t>неврегульованості та дублювання дозвільних процедур, здійснення яких має обов’язковий характер під час виконання будівельних робіт на землях водного фонду в частині здійснення днопоглиблювальних робіт, а також колізій у законодавстві України щодо правового регулювання питань, пов’язаних із використанням земель водного фонду, що у с</w:t>
      </w:r>
      <w:r w:rsidR="007C497F">
        <w:rPr>
          <w:sz w:val="28"/>
          <w:szCs w:val="28"/>
        </w:rPr>
        <w:t>вою чергу створює деякі суперечливі</w:t>
      </w:r>
      <w:r w:rsidRPr="007E746C">
        <w:rPr>
          <w:sz w:val="28"/>
          <w:szCs w:val="28"/>
        </w:rPr>
        <w:t xml:space="preserve"> ситуації під час оформлення </w:t>
      </w:r>
      <w:r>
        <w:rPr>
          <w:sz w:val="28"/>
          <w:szCs w:val="28"/>
        </w:rPr>
        <w:t xml:space="preserve">                   </w:t>
      </w:r>
      <w:r w:rsidRPr="007E746C">
        <w:rPr>
          <w:sz w:val="28"/>
          <w:szCs w:val="28"/>
        </w:rPr>
        <w:t>дозвільної документації на виконання будівельних робіт з днопоглиблення.</w:t>
      </w:r>
    </w:p>
    <w:p w:rsidR="0013139F" w:rsidRDefault="0013139F" w:rsidP="00701FD6">
      <w:pPr>
        <w:spacing w:after="0" w:line="240" w:lineRule="auto"/>
        <w:contextualSpacing/>
        <w:jc w:val="center"/>
        <w:rPr>
          <w:rFonts w:ascii="Times New Roman" w:hAnsi="Times New Roman" w:cs="Times New Roman"/>
          <w:b/>
          <w:sz w:val="28"/>
          <w:szCs w:val="28"/>
          <w:lang w:eastAsia="en-US"/>
        </w:rPr>
      </w:pPr>
    </w:p>
    <w:p w:rsidR="00D35279" w:rsidRPr="00EE0559" w:rsidRDefault="00D35279" w:rsidP="00701FD6">
      <w:pPr>
        <w:spacing w:after="0" w:line="240" w:lineRule="auto"/>
        <w:contextualSpacing/>
        <w:jc w:val="center"/>
        <w:rPr>
          <w:rFonts w:ascii="Times New Roman" w:hAnsi="Times New Roman" w:cs="Times New Roman"/>
          <w:b/>
          <w:sz w:val="28"/>
          <w:szCs w:val="28"/>
          <w:lang w:eastAsia="en-US"/>
        </w:rPr>
      </w:pPr>
      <w:r w:rsidRPr="00EE0559">
        <w:rPr>
          <w:rFonts w:ascii="Times New Roman" w:hAnsi="Times New Roman" w:cs="Times New Roman"/>
          <w:b/>
          <w:sz w:val="28"/>
          <w:szCs w:val="28"/>
          <w:lang w:eastAsia="en-US"/>
        </w:rPr>
        <w:t>II. Цілі державного регулювання</w:t>
      </w:r>
    </w:p>
    <w:p w:rsidR="00D35279" w:rsidRPr="00EE0559" w:rsidRDefault="00351A24" w:rsidP="00DE797B">
      <w:pPr>
        <w:pStyle w:val="ac"/>
        <w:spacing w:after="0" w:afterAutospacing="0"/>
        <w:ind w:firstLine="720"/>
        <w:jc w:val="both"/>
        <w:rPr>
          <w:sz w:val="28"/>
          <w:szCs w:val="28"/>
        </w:rPr>
      </w:pPr>
      <w:r>
        <w:rPr>
          <w:sz w:val="28"/>
          <w:szCs w:val="28"/>
        </w:rPr>
        <w:t>Проект П</w:t>
      </w:r>
      <w:r w:rsidR="00D35279" w:rsidRPr="00EE0559">
        <w:rPr>
          <w:sz w:val="28"/>
          <w:szCs w:val="28"/>
        </w:rPr>
        <w:t xml:space="preserve">останови </w:t>
      </w:r>
      <w:r w:rsidR="003E136C">
        <w:rPr>
          <w:sz w:val="28"/>
          <w:szCs w:val="28"/>
        </w:rPr>
        <w:t>розроблено</w:t>
      </w:r>
      <w:r w:rsidR="00D35279" w:rsidRPr="00EE0559">
        <w:rPr>
          <w:sz w:val="28"/>
          <w:szCs w:val="28"/>
        </w:rPr>
        <w:t xml:space="preserve"> з метою врегулювання проблеми, визначеної у попередньому розділі Аналізу регуляторного впливу.</w:t>
      </w:r>
    </w:p>
    <w:p w:rsidR="00155C41" w:rsidRPr="00D5774B" w:rsidRDefault="004772DB" w:rsidP="00EE0559">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Основною ціллю проекту П</w:t>
      </w:r>
      <w:r w:rsidR="00D35279" w:rsidRPr="00EE0559">
        <w:rPr>
          <w:rFonts w:ascii="Times New Roman" w:hAnsi="Times New Roman" w:cs="Times New Roman"/>
          <w:sz w:val="28"/>
          <w:szCs w:val="28"/>
        </w:rPr>
        <w:t xml:space="preserve">останови є створення правових умов для виконання </w:t>
      </w:r>
      <w:r w:rsidR="00873403" w:rsidRPr="00EE0559">
        <w:rPr>
          <w:rFonts w:ascii="Times New Roman" w:hAnsi="Times New Roman" w:cs="Times New Roman"/>
          <w:sz w:val="28"/>
          <w:szCs w:val="28"/>
        </w:rPr>
        <w:t xml:space="preserve">робіт з будівництва, реконструкції, технічного переоснащення та капітального ремонту гідротехнічних споруд, а саме: акваторій морських портів (портових акваторій), внутрішніх підхідних каналів, судноплавних каналів, операційних акваторій причалів, якірних стоянок, а також інших підводних </w:t>
      </w:r>
      <w:r w:rsidR="00873403" w:rsidRPr="00EE0559">
        <w:rPr>
          <w:rFonts w:ascii="Times New Roman" w:hAnsi="Times New Roman" w:cs="Times New Roman"/>
          <w:sz w:val="28"/>
          <w:szCs w:val="28"/>
        </w:rPr>
        <w:lastRenderedPageBreak/>
        <w:t>гідротехнічних споруд штучного та природного походження, в тому числі розташованих в межах акваторій морських портів і призначених для забезпечення безпеки мореплавства, маневрування та стоянки</w:t>
      </w:r>
      <w:r w:rsidR="00873403" w:rsidRPr="00EE0559">
        <w:rPr>
          <w:sz w:val="28"/>
          <w:szCs w:val="28"/>
        </w:rPr>
        <w:t xml:space="preserve"> </w:t>
      </w:r>
      <w:r w:rsidR="00873403" w:rsidRPr="00EE0559">
        <w:rPr>
          <w:rFonts w:ascii="Times New Roman" w:hAnsi="Times New Roman" w:cs="Times New Roman"/>
          <w:sz w:val="28"/>
          <w:szCs w:val="28"/>
        </w:rPr>
        <w:t>суден</w:t>
      </w:r>
      <w:r w:rsidR="00351A24">
        <w:rPr>
          <w:rFonts w:ascii="Times New Roman" w:hAnsi="Times New Roman" w:cs="Times New Roman"/>
          <w:sz w:val="28"/>
          <w:szCs w:val="28"/>
        </w:rPr>
        <w:t>,</w:t>
      </w:r>
      <w:r w:rsidR="00D5774B">
        <w:rPr>
          <w:rFonts w:ascii="Times New Roman" w:hAnsi="Times New Roman" w:cs="Times New Roman"/>
          <w:sz w:val="28"/>
          <w:szCs w:val="28"/>
        </w:rPr>
        <w:t xml:space="preserve"> </w:t>
      </w:r>
      <w:r w:rsidR="00D5774B" w:rsidRPr="00D5774B">
        <w:rPr>
          <w:rFonts w:ascii="Times New Roman" w:hAnsi="Times New Roman" w:cs="Times New Roman"/>
          <w:sz w:val="28"/>
          <w:szCs w:val="28"/>
        </w:rPr>
        <w:t>без оформлення документів, що дають право на їх виконання з подальшим прийняттям в експлуатацію</w:t>
      </w:r>
      <w:r w:rsidR="00D5774B">
        <w:rPr>
          <w:rFonts w:ascii="Times New Roman" w:hAnsi="Times New Roman" w:cs="Times New Roman"/>
          <w:sz w:val="28"/>
          <w:szCs w:val="28"/>
        </w:rPr>
        <w:t>, що в свою чергу зменшить регуляторний вплив на суб’єкт</w:t>
      </w:r>
      <w:r w:rsidR="00351A24">
        <w:rPr>
          <w:rFonts w:ascii="Times New Roman" w:hAnsi="Times New Roman" w:cs="Times New Roman"/>
          <w:sz w:val="28"/>
          <w:szCs w:val="28"/>
        </w:rPr>
        <w:t xml:space="preserve">и </w:t>
      </w:r>
      <w:r w:rsidR="00D5774B">
        <w:rPr>
          <w:rFonts w:ascii="Times New Roman" w:hAnsi="Times New Roman" w:cs="Times New Roman"/>
          <w:sz w:val="28"/>
          <w:szCs w:val="28"/>
        </w:rPr>
        <w:t xml:space="preserve">господарювання та </w:t>
      </w:r>
      <w:r w:rsidR="00591C5A">
        <w:rPr>
          <w:rFonts w:ascii="Times New Roman" w:hAnsi="Times New Roman" w:cs="Times New Roman"/>
          <w:sz w:val="28"/>
          <w:szCs w:val="28"/>
        </w:rPr>
        <w:t xml:space="preserve">зумовить </w:t>
      </w:r>
      <w:r w:rsidR="00D5774B">
        <w:rPr>
          <w:rFonts w:ascii="Times New Roman" w:hAnsi="Times New Roman" w:cs="Times New Roman"/>
          <w:sz w:val="28"/>
          <w:szCs w:val="28"/>
        </w:rPr>
        <w:t>зменшення часу, необхідного для реалізації інфраструктурних проектів</w:t>
      </w:r>
      <w:r w:rsidR="00EE0559" w:rsidRPr="00D5774B">
        <w:rPr>
          <w:rFonts w:ascii="Times New Roman" w:hAnsi="Times New Roman" w:cs="Times New Roman"/>
          <w:sz w:val="28"/>
          <w:szCs w:val="28"/>
        </w:rPr>
        <w:t>.</w:t>
      </w:r>
    </w:p>
    <w:p w:rsidR="0013139F" w:rsidRDefault="0013139F" w:rsidP="007A5D9E">
      <w:pPr>
        <w:spacing w:after="0" w:line="240" w:lineRule="auto"/>
        <w:contextualSpacing/>
        <w:jc w:val="center"/>
        <w:rPr>
          <w:rFonts w:ascii="Times New Roman" w:hAnsi="Times New Roman" w:cs="Times New Roman"/>
          <w:b/>
          <w:sz w:val="28"/>
          <w:szCs w:val="28"/>
          <w:lang w:eastAsia="en-US"/>
        </w:rPr>
      </w:pPr>
    </w:p>
    <w:p w:rsidR="00D35279" w:rsidRDefault="00D35279" w:rsidP="007A5D9E">
      <w:pPr>
        <w:spacing w:after="0" w:line="240" w:lineRule="auto"/>
        <w:contextualSpacing/>
        <w:jc w:val="center"/>
        <w:rPr>
          <w:rFonts w:ascii="Times New Roman" w:hAnsi="Times New Roman" w:cs="Times New Roman"/>
          <w:b/>
          <w:sz w:val="28"/>
          <w:szCs w:val="28"/>
          <w:lang w:eastAsia="en-US"/>
        </w:rPr>
      </w:pPr>
      <w:r w:rsidRPr="00EE0559">
        <w:rPr>
          <w:rFonts w:ascii="Times New Roman" w:hAnsi="Times New Roman" w:cs="Times New Roman"/>
          <w:b/>
          <w:sz w:val="28"/>
          <w:szCs w:val="28"/>
          <w:lang w:eastAsia="en-US"/>
        </w:rPr>
        <w:t>III. Визначення та оцінка альтернативних способів досягнення цілей</w:t>
      </w:r>
    </w:p>
    <w:p w:rsidR="00D35279" w:rsidRPr="00EE0559" w:rsidRDefault="00D35279" w:rsidP="00EF7F13">
      <w:pPr>
        <w:pStyle w:val="ac"/>
        <w:ind w:firstLine="720"/>
        <w:jc w:val="both"/>
        <w:rPr>
          <w:sz w:val="28"/>
          <w:szCs w:val="28"/>
        </w:rPr>
      </w:pPr>
      <w:r w:rsidRPr="00EE0559">
        <w:rPr>
          <w:sz w:val="28"/>
          <w:szCs w:val="28"/>
        </w:rPr>
        <w:t>1. Визначення альтернативних способів</w:t>
      </w:r>
    </w:p>
    <w:tbl>
      <w:tblPr>
        <w:tblStyle w:val="af"/>
        <w:tblW w:w="0" w:type="auto"/>
        <w:tblLook w:val="04A0" w:firstRow="1" w:lastRow="0" w:firstColumn="1" w:lastColumn="0" w:noHBand="0" w:noVBand="1"/>
      </w:tblPr>
      <w:tblGrid>
        <w:gridCol w:w="2830"/>
        <w:gridCol w:w="7081"/>
      </w:tblGrid>
      <w:tr w:rsidR="00EE0559" w:rsidRPr="00EE0559" w:rsidTr="002D3380">
        <w:tc>
          <w:tcPr>
            <w:tcW w:w="2830" w:type="dxa"/>
            <w:vAlign w:val="center"/>
          </w:tcPr>
          <w:p w:rsidR="00F7082A" w:rsidRPr="00EE0559" w:rsidRDefault="00F7082A" w:rsidP="002D3380">
            <w:pPr>
              <w:pStyle w:val="ac"/>
              <w:jc w:val="center"/>
              <w:rPr>
                <w:sz w:val="28"/>
                <w:szCs w:val="28"/>
              </w:rPr>
            </w:pPr>
            <w:r w:rsidRPr="00EE0559">
              <w:rPr>
                <w:sz w:val="28"/>
                <w:szCs w:val="28"/>
              </w:rPr>
              <w:t>Вид альтернативи</w:t>
            </w:r>
          </w:p>
        </w:tc>
        <w:tc>
          <w:tcPr>
            <w:tcW w:w="7081" w:type="dxa"/>
            <w:vAlign w:val="center"/>
          </w:tcPr>
          <w:p w:rsidR="00F7082A" w:rsidRPr="00EE0559" w:rsidRDefault="00F7082A" w:rsidP="002D3380">
            <w:pPr>
              <w:pStyle w:val="ac"/>
              <w:jc w:val="center"/>
              <w:rPr>
                <w:sz w:val="28"/>
                <w:szCs w:val="28"/>
              </w:rPr>
            </w:pPr>
            <w:r w:rsidRPr="00EE0559">
              <w:rPr>
                <w:sz w:val="28"/>
                <w:szCs w:val="28"/>
              </w:rPr>
              <w:t>Опис альтернативи</w:t>
            </w:r>
          </w:p>
        </w:tc>
      </w:tr>
      <w:tr w:rsidR="00EE0559" w:rsidRPr="00EE0559" w:rsidTr="002D3380">
        <w:tc>
          <w:tcPr>
            <w:tcW w:w="2830" w:type="dxa"/>
            <w:vAlign w:val="center"/>
          </w:tcPr>
          <w:p w:rsidR="00F7082A" w:rsidRPr="00EE0559" w:rsidRDefault="00F7082A" w:rsidP="002D3380">
            <w:pPr>
              <w:pStyle w:val="ac"/>
              <w:jc w:val="center"/>
              <w:rPr>
                <w:sz w:val="28"/>
                <w:szCs w:val="28"/>
              </w:rPr>
            </w:pPr>
            <w:r w:rsidRPr="00EE0559">
              <w:rPr>
                <w:sz w:val="28"/>
                <w:szCs w:val="28"/>
              </w:rPr>
              <w:t>Збереження чинного регулювання</w:t>
            </w:r>
          </w:p>
        </w:tc>
        <w:tc>
          <w:tcPr>
            <w:tcW w:w="7081" w:type="dxa"/>
          </w:tcPr>
          <w:p w:rsidR="00F7082A" w:rsidRPr="00EE0559" w:rsidRDefault="00873403" w:rsidP="00E652D0">
            <w:pPr>
              <w:pStyle w:val="ac"/>
              <w:jc w:val="both"/>
              <w:rPr>
                <w:sz w:val="28"/>
                <w:szCs w:val="28"/>
              </w:rPr>
            </w:pPr>
            <w:r w:rsidRPr="00EE0559">
              <w:rPr>
                <w:sz w:val="28"/>
                <w:szCs w:val="28"/>
              </w:rPr>
              <w:t>Залишає неврегульованим питання виконання</w:t>
            </w:r>
            <w:r w:rsidR="0063107B">
              <w:rPr>
                <w:sz w:val="28"/>
                <w:szCs w:val="28"/>
              </w:rPr>
              <w:t xml:space="preserve"> </w:t>
            </w:r>
            <w:r w:rsidRPr="0063107B">
              <w:rPr>
                <w:color w:val="FF0000"/>
                <w:sz w:val="28"/>
                <w:szCs w:val="28"/>
              </w:rPr>
              <w:t xml:space="preserve"> </w:t>
            </w:r>
            <w:r w:rsidR="008557F7" w:rsidRPr="00EE0559">
              <w:rPr>
                <w:sz w:val="28"/>
                <w:szCs w:val="28"/>
              </w:rPr>
              <w:t xml:space="preserve">будівельних робіт на землях водного фонду, що не супроводжуються зведенням споруд із використанням будівельних матеріалів та є по своїй суті днопоглибленням </w:t>
            </w:r>
            <w:r w:rsidR="00F7082A" w:rsidRPr="00EE0559">
              <w:rPr>
                <w:sz w:val="28"/>
                <w:szCs w:val="28"/>
              </w:rPr>
              <w:t>без оформлення документів, що дають право на їх виконання з подальшим прийняттям в експлуатацію, а також необґрунтоване збільшення часу на оформлення вказаних документів для виконання</w:t>
            </w:r>
            <w:r w:rsidR="008557F7" w:rsidRPr="00EE0559">
              <w:rPr>
                <w:sz w:val="28"/>
                <w:szCs w:val="28"/>
              </w:rPr>
              <w:t xml:space="preserve"> будівництва, реконструкції, технічного переоснащення та капітального ремонту гідротехнічних споруд, а саме: акваторій морських портів (портових акваторій), внутрішніх підхідних каналів, судноплавних каналів, операційних акваторій причалів, якірних стоянок, а також інших підводних гідротехнічних споруд штучного та природного походження, в тому числі розташованих в межах акваторій морських портів і призначених для забезпечення безпеки мореплавства, маневрування та стоянки суден</w:t>
            </w:r>
            <w:r w:rsidR="00E652D0">
              <w:rPr>
                <w:sz w:val="28"/>
                <w:szCs w:val="28"/>
              </w:rPr>
              <w:t>.</w:t>
            </w:r>
            <w:r w:rsidR="008557F7" w:rsidRPr="00EE0559">
              <w:rPr>
                <w:sz w:val="28"/>
                <w:szCs w:val="28"/>
              </w:rPr>
              <w:t xml:space="preserve"> </w:t>
            </w:r>
          </w:p>
        </w:tc>
      </w:tr>
      <w:tr w:rsidR="00EE0559" w:rsidRPr="00EE0559" w:rsidTr="002D3380">
        <w:tc>
          <w:tcPr>
            <w:tcW w:w="2830" w:type="dxa"/>
            <w:vAlign w:val="center"/>
          </w:tcPr>
          <w:p w:rsidR="00F7082A" w:rsidRPr="00EE0559" w:rsidRDefault="00F7082A" w:rsidP="003E136C">
            <w:pPr>
              <w:pStyle w:val="ac"/>
              <w:jc w:val="center"/>
              <w:rPr>
                <w:sz w:val="28"/>
                <w:szCs w:val="28"/>
              </w:rPr>
            </w:pPr>
            <w:r w:rsidRPr="00EE0559">
              <w:rPr>
                <w:sz w:val="28"/>
                <w:szCs w:val="28"/>
              </w:rPr>
              <w:t xml:space="preserve">Прийняття </w:t>
            </w:r>
            <w:r w:rsidR="004772DB">
              <w:rPr>
                <w:sz w:val="28"/>
                <w:szCs w:val="28"/>
              </w:rPr>
              <w:t>П</w:t>
            </w:r>
            <w:r w:rsidRPr="00EE0559">
              <w:rPr>
                <w:sz w:val="28"/>
                <w:szCs w:val="28"/>
              </w:rPr>
              <w:t>останови</w:t>
            </w:r>
          </w:p>
        </w:tc>
        <w:tc>
          <w:tcPr>
            <w:tcW w:w="7081" w:type="dxa"/>
          </w:tcPr>
          <w:p w:rsidR="00F7082A" w:rsidRPr="00EE0559" w:rsidRDefault="00F7082A" w:rsidP="006418F5">
            <w:pPr>
              <w:pStyle w:val="ac"/>
              <w:jc w:val="both"/>
              <w:rPr>
                <w:sz w:val="28"/>
                <w:szCs w:val="28"/>
              </w:rPr>
            </w:pPr>
            <w:r w:rsidRPr="00EE0559">
              <w:rPr>
                <w:sz w:val="28"/>
                <w:szCs w:val="28"/>
              </w:rPr>
              <w:t>Забезпечує досягнення цілей щодо створення правових умов для виконання робіт</w:t>
            </w:r>
            <w:r w:rsidR="008557F7" w:rsidRPr="00EE0559">
              <w:rPr>
                <w:sz w:val="28"/>
                <w:szCs w:val="28"/>
              </w:rPr>
              <w:t xml:space="preserve"> з</w:t>
            </w:r>
            <w:r w:rsidRPr="00EE0559">
              <w:rPr>
                <w:sz w:val="28"/>
                <w:szCs w:val="28"/>
              </w:rPr>
              <w:t xml:space="preserve"> </w:t>
            </w:r>
            <w:r w:rsidR="008557F7" w:rsidRPr="00EE0559">
              <w:rPr>
                <w:sz w:val="28"/>
                <w:szCs w:val="28"/>
              </w:rPr>
              <w:t>будівництва, реконструкції, технічного переоснащення та капітального ремонту гідротехнічних споруд, а саме: акваторій морських портів (портових акваторій), внутрішніх підхідних каналів, судноплавних каналів, операційних акваторій причалів, якірних стоянок, а також інших підводних гідротехнічних споруд штучного та природного походження, в тому числі розташованих в межах акваторій морських портів і призначених для забезпечення безпеки мореплавства, маневрування та стоянки суден</w:t>
            </w:r>
            <w:r w:rsidR="00253500">
              <w:rPr>
                <w:sz w:val="28"/>
                <w:szCs w:val="28"/>
              </w:rPr>
              <w:t xml:space="preserve"> без </w:t>
            </w:r>
            <w:r w:rsidR="00253500" w:rsidRPr="00EE0559">
              <w:rPr>
                <w:sz w:val="28"/>
                <w:szCs w:val="28"/>
              </w:rPr>
              <w:t>оформлення документів, що дають право на їх виконання з подальшим прийняттям в експлуатацію</w:t>
            </w:r>
            <w:r w:rsidR="00E652D0">
              <w:rPr>
                <w:sz w:val="28"/>
                <w:szCs w:val="28"/>
              </w:rPr>
              <w:t>.</w:t>
            </w:r>
          </w:p>
        </w:tc>
      </w:tr>
    </w:tbl>
    <w:p w:rsidR="00D35279" w:rsidRPr="00EE0559" w:rsidRDefault="00D35279" w:rsidP="00D35279">
      <w:pPr>
        <w:pStyle w:val="ac"/>
        <w:jc w:val="both"/>
        <w:rPr>
          <w:sz w:val="28"/>
          <w:szCs w:val="28"/>
        </w:rPr>
      </w:pPr>
      <w:r w:rsidRPr="00EE0559">
        <w:rPr>
          <w:sz w:val="28"/>
          <w:szCs w:val="28"/>
        </w:rPr>
        <w:lastRenderedPageBreak/>
        <w:t>2. Оцінка вибраних альтернативних способів досягнення цілей</w:t>
      </w:r>
    </w:p>
    <w:p w:rsidR="00D35279" w:rsidRPr="00EE0559" w:rsidRDefault="00D35279" w:rsidP="00D35279">
      <w:pPr>
        <w:pStyle w:val="ac"/>
        <w:jc w:val="both"/>
        <w:rPr>
          <w:sz w:val="28"/>
          <w:szCs w:val="28"/>
        </w:rPr>
      </w:pPr>
      <w:r w:rsidRPr="00EE0559">
        <w:rPr>
          <w:sz w:val="28"/>
          <w:szCs w:val="28"/>
        </w:rPr>
        <w:t>Оцінка впливу на сферу інтересів держави</w:t>
      </w:r>
    </w:p>
    <w:tbl>
      <w:tblPr>
        <w:tblStyle w:val="af"/>
        <w:tblW w:w="0" w:type="auto"/>
        <w:tblLook w:val="04A0" w:firstRow="1" w:lastRow="0" w:firstColumn="1" w:lastColumn="0" w:noHBand="0" w:noVBand="1"/>
      </w:tblPr>
      <w:tblGrid>
        <w:gridCol w:w="2830"/>
        <w:gridCol w:w="3777"/>
        <w:gridCol w:w="3304"/>
      </w:tblGrid>
      <w:tr w:rsidR="00EE0559" w:rsidRPr="00EE0559" w:rsidTr="008E5BE1">
        <w:tc>
          <w:tcPr>
            <w:tcW w:w="2830" w:type="dxa"/>
            <w:vAlign w:val="center"/>
          </w:tcPr>
          <w:p w:rsidR="007601A1" w:rsidRPr="00EE0559" w:rsidRDefault="007601A1" w:rsidP="008E5BE1">
            <w:pPr>
              <w:pStyle w:val="ac"/>
              <w:jc w:val="center"/>
              <w:rPr>
                <w:sz w:val="28"/>
                <w:szCs w:val="28"/>
              </w:rPr>
            </w:pPr>
            <w:r w:rsidRPr="00EE0559">
              <w:rPr>
                <w:sz w:val="28"/>
                <w:szCs w:val="28"/>
              </w:rPr>
              <w:t>Вид альтернативи</w:t>
            </w:r>
          </w:p>
        </w:tc>
        <w:tc>
          <w:tcPr>
            <w:tcW w:w="3777" w:type="dxa"/>
            <w:vAlign w:val="center"/>
          </w:tcPr>
          <w:p w:rsidR="007601A1" w:rsidRPr="00EE0559" w:rsidRDefault="007601A1" w:rsidP="008E5BE1">
            <w:pPr>
              <w:pStyle w:val="ac"/>
              <w:jc w:val="center"/>
              <w:rPr>
                <w:sz w:val="28"/>
                <w:szCs w:val="28"/>
              </w:rPr>
            </w:pPr>
            <w:r w:rsidRPr="00EE0559">
              <w:rPr>
                <w:sz w:val="28"/>
                <w:szCs w:val="28"/>
              </w:rPr>
              <w:t>Вигоди</w:t>
            </w:r>
          </w:p>
        </w:tc>
        <w:tc>
          <w:tcPr>
            <w:tcW w:w="3304" w:type="dxa"/>
            <w:vAlign w:val="center"/>
          </w:tcPr>
          <w:p w:rsidR="007601A1" w:rsidRPr="00EE0559" w:rsidRDefault="007601A1" w:rsidP="008E5BE1">
            <w:pPr>
              <w:pStyle w:val="ac"/>
              <w:jc w:val="center"/>
              <w:rPr>
                <w:sz w:val="28"/>
                <w:szCs w:val="28"/>
              </w:rPr>
            </w:pPr>
            <w:r w:rsidRPr="00EE0559">
              <w:rPr>
                <w:sz w:val="28"/>
                <w:szCs w:val="28"/>
              </w:rPr>
              <w:t>Витрати</w:t>
            </w:r>
          </w:p>
        </w:tc>
      </w:tr>
      <w:tr w:rsidR="00EE0559" w:rsidRPr="00EE0559" w:rsidTr="008E5BE1">
        <w:tc>
          <w:tcPr>
            <w:tcW w:w="2830" w:type="dxa"/>
            <w:vAlign w:val="center"/>
          </w:tcPr>
          <w:p w:rsidR="007601A1" w:rsidRPr="00EE0559" w:rsidRDefault="007601A1" w:rsidP="008E5BE1">
            <w:pPr>
              <w:pStyle w:val="ac"/>
              <w:jc w:val="center"/>
              <w:rPr>
                <w:sz w:val="28"/>
                <w:szCs w:val="28"/>
              </w:rPr>
            </w:pPr>
            <w:r w:rsidRPr="00EE0559">
              <w:rPr>
                <w:sz w:val="28"/>
                <w:szCs w:val="28"/>
              </w:rPr>
              <w:t>Збереження чинного регулювання</w:t>
            </w:r>
          </w:p>
        </w:tc>
        <w:tc>
          <w:tcPr>
            <w:tcW w:w="3777" w:type="dxa"/>
            <w:vAlign w:val="center"/>
          </w:tcPr>
          <w:p w:rsidR="007601A1" w:rsidRPr="00EE0559" w:rsidRDefault="007601A1" w:rsidP="008E5BE1">
            <w:pPr>
              <w:pStyle w:val="ac"/>
              <w:jc w:val="center"/>
              <w:rPr>
                <w:sz w:val="28"/>
                <w:szCs w:val="28"/>
              </w:rPr>
            </w:pPr>
            <w:r w:rsidRPr="00EE0559">
              <w:rPr>
                <w:sz w:val="28"/>
                <w:szCs w:val="28"/>
              </w:rPr>
              <w:t>Не передбачається.</w:t>
            </w:r>
          </w:p>
        </w:tc>
        <w:tc>
          <w:tcPr>
            <w:tcW w:w="3304" w:type="dxa"/>
            <w:vAlign w:val="center"/>
          </w:tcPr>
          <w:p w:rsidR="007601A1" w:rsidRPr="00EE0559" w:rsidRDefault="007601A1" w:rsidP="008E5BE1">
            <w:pPr>
              <w:pStyle w:val="ac"/>
              <w:jc w:val="center"/>
              <w:rPr>
                <w:sz w:val="28"/>
                <w:szCs w:val="28"/>
              </w:rPr>
            </w:pPr>
            <w:r w:rsidRPr="00EE0559">
              <w:rPr>
                <w:sz w:val="28"/>
                <w:szCs w:val="28"/>
              </w:rPr>
              <w:t>Не передбачається.</w:t>
            </w:r>
          </w:p>
        </w:tc>
      </w:tr>
      <w:tr w:rsidR="00EE0559" w:rsidRPr="00EE0559" w:rsidTr="008E5BE1">
        <w:tc>
          <w:tcPr>
            <w:tcW w:w="2830" w:type="dxa"/>
            <w:vAlign w:val="center"/>
          </w:tcPr>
          <w:p w:rsidR="007601A1" w:rsidRPr="00EE0559" w:rsidRDefault="007601A1" w:rsidP="004772DB">
            <w:pPr>
              <w:pStyle w:val="ac"/>
              <w:jc w:val="center"/>
              <w:rPr>
                <w:sz w:val="28"/>
                <w:szCs w:val="28"/>
              </w:rPr>
            </w:pPr>
            <w:r w:rsidRPr="00EE0559">
              <w:rPr>
                <w:sz w:val="28"/>
                <w:szCs w:val="28"/>
              </w:rPr>
              <w:t xml:space="preserve">Прийняття проекту </w:t>
            </w:r>
            <w:r w:rsidR="004772DB">
              <w:rPr>
                <w:sz w:val="28"/>
                <w:szCs w:val="28"/>
              </w:rPr>
              <w:t>П</w:t>
            </w:r>
            <w:r w:rsidRPr="00EE0559">
              <w:rPr>
                <w:sz w:val="28"/>
                <w:szCs w:val="28"/>
              </w:rPr>
              <w:t>останови</w:t>
            </w:r>
          </w:p>
        </w:tc>
        <w:tc>
          <w:tcPr>
            <w:tcW w:w="3777" w:type="dxa"/>
          </w:tcPr>
          <w:p w:rsidR="007601A1" w:rsidRPr="00EE0559" w:rsidRDefault="009871E9" w:rsidP="00253500">
            <w:pPr>
              <w:pStyle w:val="ac"/>
              <w:jc w:val="both"/>
              <w:rPr>
                <w:sz w:val="28"/>
                <w:szCs w:val="28"/>
              </w:rPr>
            </w:pPr>
            <w:r w:rsidRPr="00EE0559">
              <w:rPr>
                <w:sz w:val="28"/>
                <w:szCs w:val="28"/>
              </w:rPr>
              <w:t xml:space="preserve">Створення правових підстав для виконання будівельних робіт на землях водного фонду, що не супроводжуються зведенням споруд із використанням будівельних матеріалів та є по своїй суті днопоглибленням без оформлення документів, що дають право на їх виконання з подальшим прийняттям в експлуатацію, а саме робіт з </w:t>
            </w:r>
            <w:r w:rsidR="00481FAB" w:rsidRPr="00EE0559">
              <w:rPr>
                <w:sz w:val="28"/>
                <w:szCs w:val="28"/>
              </w:rPr>
              <w:t>будівництв</w:t>
            </w:r>
            <w:r w:rsidRPr="00EE0559">
              <w:rPr>
                <w:sz w:val="28"/>
                <w:szCs w:val="28"/>
              </w:rPr>
              <w:t>а</w:t>
            </w:r>
            <w:r w:rsidR="00481FAB" w:rsidRPr="00EE0559">
              <w:rPr>
                <w:sz w:val="28"/>
                <w:szCs w:val="28"/>
              </w:rPr>
              <w:t>, реконструкці</w:t>
            </w:r>
            <w:r w:rsidRPr="00EE0559">
              <w:rPr>
                <w:sz w:val="28"/>
                <w:szCs w:val="28"/>
              </w:rPr>
              <w:t>ї</w:t>
            </w:r>
            <w:r w:rsidR="00481FAB" w:rsidRPr="00EE0559">
              <w:rPr>
                <w:sz w:val="28"/>
                <w:szCs w:val="28"/>
              </w:rPr>
              <w:t>, технічн</w:t>
            </w:r>
            <w:r w:rsidRPr="00EE0559">
              <w:rPr>
                <w:sz w:val="28"/>
                <w:szCs w:val="28"/>
              </w:rPr>
              <w:t>ого</w:t>
            </w:r>
            <w:r w:rsidR="00481FAB" w:rsidRPr="00EE0559">
              <w:rPr>
                <w:sz w:val="28"/>
                <w:szCs w:val="28"/>
              </w:rPr>
              <w:t xml:space="preserve"> переоснащення та </w:t>
            </w:r>
            <w:r w:rsidRPr="00EE0559">
              <w:rPr>
                <w:sz w:val="28"/>
                <w:szCs w:val="28"/>
              </w:rPr>
              <w:t xml:space="preserve">капітального ремонту </w:t>
            </w:r>
            <w:r w:rsidR="00481FAB" w:rsidRPr="00EE0559">
              <w:rPr>
                <w:sz w:val="28"/>
                <w:szCs w:val="28"/>
              </w:rPr>
              <w:t xml:space="preserve">гідротехнічних споруд, </w:t>
            </w:r>
            <w:r w:rsidR="00253500">
              <w:rPr>
                <w:sz w:val="28"/>
                <w:szCs w:val="28"/>
              </w:rPr>
              <w:t>(</w:t>
            </w:r>
            <w:r w:rsidR="00481FAB" w:rsidRPr="00EE0559">
              <w:rPr>
                <w:sz w:val="28"/>
                <w:szCs w:val="28"/>
              </w:rPr>
              <w:t>акваторій морських портів (портових акваторій), внутрішніх підхідних каналів, судноплавних каналів, операційних акваторій причалів, якірних стоянок, а також інших підводних гідротехнічних споруд штучного та природного походження, в тому числі розташованих в межах акваторій морських портів і призначених для забезпечення безпеки мореплавства, маневрування та стоянки суден</w:t>
            </w:r>
            <w:r w:rsidR="00253500">
              <w:rPr>
                <w:sz w:val="28"/>
                <w:szCs w:val="28"/>
              </w:rPr>
              <w:t>)</w:t>
            </w:r>
            <w:r w:rsidR="00481FAB" w:rsidRPr="00EE0559">
              <w:rPr>
                <w:sz w:val="28"/>
                <w:szCs w:val="28"/>
              </w:rPr>
              <w:t>.</w:t>
            </w:r>
          </w:p>
        </w:tc>
        <w:tc>
          <w:tcPr>
            <w:tcW w:w="3304" w:type="dxa"/>
            <w:vAlign w:val="center"/>
          </w:tcPr>
          <w:p w:rsidR="007601A1" w:rsidRPr="00EE0559" w:rsidRDefault="007601A1" w:rsidP="008E5BE1">
            <w:pPr>
              <w:pStyle w:val="ac"/>
              <w:jc w:val="center"/>
              <w:rPr>
                <w:sz w:val="28"/>
                <w:szCs w:val="28"/>
              </w:rPr>
            </w:pPr>
            <w:r w:rsidRPr="00EE0559">
              <w:rPr>
                <w:sz w:val="28"/>
                <w:szCs w:val="28"/>
              </w:rPr>
              <w:t>Не передбачається.</w:t>
            </w:r>
          </w:p>
        </w:tc>
      </w:tr>
    </w:tbl>
    <w:p w:rsidR="00D35279" w:rsidRPr="00EE0559" w:rsidRDefault="00D35279" w:rsidP="00D35279">
      <w:pPr>
        <w:pStyle w:val="ac"/>
        <w:jc w:val="both"/>
        <w:rPr>
          <w:sz w:val="28"/>
          <w:szCs w:val="28"/>
        </w:rPr>
      </w:pPr>
    </w:p>
    <w:p w:rsidR="00D35279" w:rsidRPr="0052043A" w:rsidRDefault="00D35279" w:rsidP="00D35279">
      <w:pPr>
        <w:pStyle w:val="ac"/>
        <w:jc w:val="both"/>
        <w:rPr>
          <w:sz w:val="28"/>
          <w:szCs w:val="28"/>
        </w:rPr>
      </w:pPr>
      <w:r w:rsidRPr="0052043A">
        <w:rPr>
          <w:sz w:val="28"/>
          <w:szCs w:val="28"/>
        </w:rPr>
        <w:t>Оцінка впливу на сферу інтересів суб'єктів господарювання</w:t>
      </w:r>
    </w:p>
    <w:tbl>
      <w:tblPr>
        <w:tblStyle w:val="af"/>
        <w:tblW w:w="0" w:type="auto"/>
        <w:tblLook w:val="04A0" w:firstRow="1" w:lastRow="0" w:firstColumn="1" w:lastColumn="0" w:noHBand="0" w:noVBand="1"/>
      </w:tblPr>
      <w:tblGrid>
        <w:gridCol w:w="2547"/>
        <w:gridCol w:w="1472"/>
        <w:gridCol w:w="1473"/>
        <w:gridCol w:w="1473"/>
        <w:gridCol w:w="1473"/>
        <w:gridCol w:w="1473"/>
      </w:tblGrid>
      <w:tr w:rsidR="0052043A" w:rsidRPr="0052043A" w:rsidTr="007A3CEF">
        <w:tc>
          <w:tcPr>
            <w:tcW w:w="2547" w:type="dxa"/>
            <w:vAlign w:val="center"/>
          </w:tcPr>
          <w:p w:rsidR="009A6D5E" w:rsidRPr="0052043A" w:rsidRDefault="009A6D5E" w:rsidP="007A3CEF">
            <w:pPr>
              <w:pStyle w:val="ac"/>
              <w:jc w:val="center"/>
              <w:rPr>
                <w:sz w:val="28"/>
                <w:szCs w:val="28"/>
              </w:rPr>
            </w:pPr>
            <w:r w:rsidRPr="0052043A">
              <w:rPr>
                <w:sz w:val="28"/>
                <w:szCs w:val="28"/>
              </w:rPr>
              <w:lastRenderedPageBreak/>
              <w:t>Показник</w:t>
            </w:r>
          </w:p>
        </w:tc>
        <w:tc>
          <w:tcPr>
            <w:tcW w:w="1472" w:type="dxa"/>
            <w:vAlign w:val="center"/>
          </w:tcPr>
          <w:p w:rsidR="009A6D5E" w:rsidRPr="0052043A" w:rsidRDefault="009A6D5E" w:rsidP="007A3CEF">
            <w:pPr>
              <w:pStyle w:val="ac"/>
              <w:jc w:val="center"/>
              <w:rPr>
                <w:sz w:val="28"/>
                <w:szCs w:val="28"/>
              </w:rPr>
            </w:pPr>
            <w:r w:rsidRPr="0052043A">
              <w:rPr>
                <w:sz w:val="28"/>
                <w:szCs w:val="28"/>
              </w:rPr>
              <w:t>Великі</w:t>
            </w:r>
          </w:p>
        </w:tc>
        <w:tc>
          <w:tcPr>
            <w:tcW w:w="1473" w:type="dxa"/>
            <w:vAlign w:val="center"/>
          </w:tcPr>
          <w:p w:rsidR="009A6D5E" w:rsidRPr="0052043A" w:rsidRDefault="009A6D5E" w:rsidP="007A3CEF">
            <w:pPr>
              <w:pStyle w:val="ac"/>
              <w:jc w:val="center"/>
              <w:rPr>
                <w:sz w:val="28"/>
                <w:szCs w:val="28"/>
              </w:rPr>
            </w:pPr>
            <w:r w:rsidRPr="0052043A">
              <w:rPr>
                <w:sz w:val="28"/>
                <w:szCs w:val="28"/>
              </w:rPr>
              <w:t>Середні</w:t>
            </w:r>
          </w:p>
        </w:tc>
        <w:tc>
          <w:tcPr>
            <w:tcW w:w="1473" w:type="dxa"/>
            <w:vAlign w:val="center"/>
          </w:tcPr>
          <w:p w:rsidR="009A6D5E" w:rsidRPr="0052043A" w:rsidRDefault="009A6D5E" w:rsidP="007A3CEF">
            <w:pPr>
              <w:pStyle w:val="ac"/>
              <w:jc w:val="center"/>
              <w:rPr>
                <w:sz w:val="28"/>
                <w:szCs w:val="28"/>
              </w:rPr>
            </w:pPr>
            <w:r w:rsidRPr="0052043A">
              <w:rPr>
                <w:sz w:val="28"/>
                <w:szCs w:val="28"/>
              </w:rPr>
              <w:t>Малі</w:t>
            </w:r>
          </w:p>
        </w:tc>
        <w:tc>
          <w:tcPr>
            <w:tcW w:w="1473" w:type="dxa"/>
            <w:vAlign w:val="center"/>
          </w:tcPr>
          <w:p w:rsidR="009A6D5E" w:rsidRPr="0052043A" w:rsidRDefault="009A6D5E" w:rsidP="007A3CEF">
            <w:pPr>
              <w:pStyle w:val="ac"/>
              <w:jc w:val="center"/>
              <w:rPr>
                <w:sz w:val="28"/>
                <w:szCs w:val="28"/>
              </w:rPr>
            </w:pPr>
            <w:r w:rsidRPr="0052043A">
              <w:rPr>
                <w:sz w:val="28"/>
                <w:szCs w:val="28"/>
              </w:rPr>
              <w:t>Мікро</w:t>
            </w:r>
          </w:p>
        </w:tc>
        <w:tc>
          <w:tcPr>
            <w:tcW w:w="1473" w:type="dxa"/>
            <w:vAlign w:val="center"/>
          </w:tcPr>
          <w:p w:rsidR="009A6D5E" w:rsidRPr="0052043A" w:rsidRDefault="009A6D5E" w:rsidP="007A3CEF">
            <w:pPr>
              <w:pStyle w:val="ac"/>
              <w:jc w:val="center"/>
              <w:rPr>
                <w:sz w:val="28"/>
                <w:szCs w:val="28"/>
              </w:rPr>
            </w:pPr>
            <w:r w:rsidRPr="0052043A">
              <w:rPr>
                <w:sz w:val="28"/>
                <w:szCs w:val="28"/>
              </w:rPr>
              <w:t>Разом</w:t>
            </w:r>
          </w:p>
        </w:tc>
      </w:tr>
      <w:tr w:rsidR="0052043A" w:rsidRPr="0052043A" w:rsidTr="007A3CEF">
        <w:tc>
          <w:tcPr>
            <w:tcW w:w="2547" w:type="dxa"/>
            <w:vAlign w:val="center"/>
          </w:tcPr>
          <w:p w:rsidR="009A6D5E" w:rsidRPr="0052043A" w:rsidRDefault="009A6D5E" w:rsidP="007A3CEF">
            <w:pPr>
              <w:pStyle w:val="ac"/>
              <w:spacing w:before="0" w:beforeAutospacing="0" w:after="0" w:afterAutospacing="0"/>
              <w:jc w:val="both"/>
              <w:rPr>
                <w:sz w:val="28"/>
                <w:szCs w:val="28"/>
              </w:rPr>
            </w:pPr>
            <w:r w:rsidRPr="0052043A">
              <w:rPr>
                <w:sz w:val="28"/>
                <w:szCs w:val="28"/>
              </w:rPr>
              <w:t>Кількість суб'єктів господарювання, що підпадають під дію регулювання,</w:t>
            </w:r>
          </w:p>
          <w:p w:rsidR="009A6D5E" w:rsidRPr="0052043A" w:rsidRDefault="009A6D5E" w:rsidP="007A3CEF">
            <w:pPr>
              <w:pStyle w:val="ac"/>
              <w:spacing w:before="0" w:beforeAutospacing="0" w:after="0" w:afterAutospacing="0"/>
              <w:jc w:val="both"/>
              <w:rPr>
                <w:sz w:val="28"/>
                <w:szCs w:val="28"/>
              </w:rPr>
            </w:pPr>
            <w:r w:rsidRPr="0052043A">
              <w:rPr>
                <w:sz w:val="28"/>
                <w:szCs w:val="28"/>
              </w:rPr>
              <w:t>одиниць</w:t>
            </w:r>
          </w:p>
        </w:tc>
        <w:tc>
          <w:tcPr>
            <w:tcW w:w="1472" w:type="dxa"/>
            <w:vAlign w:val="center"/>
          </w:tcPr>
          <w:p w:rsidR="009A6D5E" w:rsidRPr="0052043A" w:rsidRDefault="00BF462F" w:rsidP="007A3CEF">
            <w:pPr>
              <w:pStyle w:val="ac"/>
              <w:jc w:val="center"/>
              <w:rPr>
                <w:sz w:val="28"/>
                <w:szCs w:val="28"/>
              </w:rPr>
            </w:pPr>
            <w:r w:rsidRPr="0052043A">
              <w:rPr>
                <w:sz w:val="28"/>
                <w:szCs w:val="28"/>
              </w:rPr>
              <w:t>12</w:t>
            </w:r>
          </w:p>
        </w:tc>
        <w:tc>
          <w:tcPr>
            <w:tcW w:w="1473" w:type="dxa"/>
            <w:vAlign w:val="center"/>
          </w:tcPr>
          <w:p w:rsidR="009A6D5E" w:rsidRPr="0052043A" w:rsidRDefault="00BF462F" w:rsidP="007A3CEF">
            <w:pPr>
              <w:pStyle w:val="ac"/>
              <w:jc w:val="center"/>
              <w:rPr>
                <w:sz w:val="28"/>
                <w:szCs w:val="28"/>
              </w:rPr>
            </w:pPr>
            <w:r w:rsidRPr="0052043A">
              <w:rPr>
                <w:sz w:val="28"/>
                <w:szCs w:val="28"/>
              </w:rPr>
              <w:t>-</w:t>
            </w:r>
          </w:p>
        </w:tc>
        <w:tc>
          <w:tcPr>
            <w:tcW w:w="1473" w:type="dxa"/>
            <w:vAlign w:val="center"/>
          </w:tcPr>
          <w:p w:rsidR="009A6D5E" w:rsidRPr="0052043A" w:rsidRDefault="00BF462F" w:rsidP="007A3CEF">
            <w:pPr>
              <w:pStyle w:val="ac"/>
              <w:jc w:val="center"/>
              <w:rPr>
                <w:sz w:val="28"/>
                <w:szCs w:val="28"/>
              </w:rPr>
            </w:pPr>
            <w:r w:rsidRPr="0052043A">
              <w:rPr>
                <w:sz w:val="28"/>
                <w:szCs w:val="28"/>
              </w:rPr>
              <w:t>-</w:t>
            </w:r>
          </w:p>
        </w:tc>
        <w:tc>
          <w:tcPr>
            <w:tcW w:w="1473" w:type="dxa"/>
            <w:vAlign w:val="center"/>
          </w:tcPr>
          <w:p w:rsidR="009A6D5E" w:rsidRPr="0052043A" w:rsidRDefault="00BF462F" w:rsidP="007A3CEF">
            <w:pPr>
              <w:pStyle w:val="ac"/>
              <w:jc w:val="center"/>
              <w:rPr>
                <w:sz w:val="28"/>
                <w:szCs w:val="28"/>
              </w:rPr>
            </w:pPr>
            <w:r w:rsidRPr="0052043A">
              <w:rPr>
                <w:sz w:val="28"/>
                <w:szCs w:val="28"/>
              </w:rPr>
              <w:t>-</w:t>
            </w:r>
          </w:p>
        </w:tc>
        <w:tc>
          <w:tcPr>
            <w:tcW w:w="1473" w:type="dxa"/>
            <w:vAlign w:val="center"/>
          </w:tcPr>
          <w:p w:rsidR="009A6D5E" w:rsidRPr="0052043A" w:rsidRDefault="00BF462F" w:rsidP="007A3CEF">
            <w:pPr>
              <w:pStyle w:val="ac"/>
              <w:jc w:val="center"/>
              <w:rPr>
                <w:sz w:val="28"/>
                <w:szCs w:val="28"/>
              </w:rPr>
            </w:pPr>
            <w:r w:rsidRPr="0052043A">
              <w:rPr>
                <w:sz w:val="28"/>
                <w:szCs w:val="28"/>
              </w:rPr>
              <w:t>12</w:t>
            </w:r>
          </w:p>
        </w:tc>
      </w:tr>
      <w:tr w:rsidR="0052043A" w:rsidRPr="0052043A" w:rsidTr="007A3CEF">
        <w:tc>
          <w:tcPr>
            <w:tcW w:w="2547" w:type="dxa"/>
          </w:tcPr>
          <w:p w:rsidR="009A6D5E" w:rsidRPr="0052043A" w:rsidRDefault="009A6D5E" w:rsidP="00D35279">
            <w:pPr>
              <w:pStyle w:val="ac"/>
              <w:jc w:val="both"/>
              <w:rPr>
                <w:sz w:val="28"/>
                <w:szCs w:val="28"/>
              </w:rPr>
            </w:pPr>
            <w:r w:rsidRPr="0052043A">
              <w:rPr>
                <w:sz w:val="28"/>
                <w:szCs w:val="28"/>
              </w:rPr>
              <w:t>Питома вага групи у загальній кількості, відсотків</w:t>
            </w:r>
          </w:p>
        </w:tc>
        <w:tc>
          <w:tcPr>
            <w:tcW w:w="1472" w:type="dxa"/>
            <w:vAlign w:val="center"/>
          </w:tcPr>
          <w:p w:rsidR="009A6D5E" w:rsidRPr="0052043A" w:rsidRDefault="00BF462F" w:rsidP="007A3CEF">
            <w:pPr>
              <w:pStyle w:val="ac"/>
              <w:jc w:val="center"/>
              <w:rPr>
                <w:sz w:val="28"/>
                <w:szCs w:val="28"/>
              </w:rPr>
            </w:pPr>
            <w:r w:rsidRPr="0052043A">
              <w:rPr>
                <w:sz w:val="28"/>
                <w:szCs w:val="28"/>
              </w:rPr>
              <w:t>100</w:t>
            </w:r>
          </w:p>
        </w:tc>
        <w:tc>
          <w:tcPr>
            <w:tcW w:w="1473" w:type="dxa"/>
            <w:vAlign w:val="center"/>
          </w:tcPr>
          <w:p w:rsidR="009A6D5E" w:rsidRPr="0052043A" w:rsidRDefault="00BF462F" w:rsidP="007A3CEF">
            <w:pPr>
              <w:pStyle w:val="ac"/>
              <w:jc w:val="center"/>
              <w:rPr>
                <w:sz w:val="28"/>
                <w:szCs w:val="28"/>
              </w:rPr>
            </w:pPr>
            <w:r w:rsidRPr="0052043A">
              <w:rPr>
                <w:sz w:val="28"/>
                <w:szCs w:val="28"/>
              </w:rPr>
              <w:t>-</w:t>
            </w:r>
          </w:p>
        </w:tc>
        <w:tc>
          <w:tcPr>
            <w:tcW w:w="1473" w:type="dxa"/>
            <w:vAlign w:val="center"/>
          </w:tcPr>
          <w:p w:rsidR="009A6D5E" w:rsidRPr="0052043A" w:rsidRDefault="00BF462F" w:rsidP="007A3CEF">
            <w:pPr>
              <w:pStyle w:val="ac"/>
              <w:jc w:val="center"/>
              <w:rPr>
                <w:sz w:val="28"/>
                <w:szCs w:val="28"/>
              </w:rPr>
            </w:pPr>
            <w:r w:rsidRPr="0052043A">
              <w:rPr>
                <w:sz w:val="28"/>
                <w:szCs w:val="28"/>
              </w:rPr>
              <w:t>-</w:t>
            </w:r>
          </w:p>
        </w:tc>
        <w:tc>
          <w:tcPr>
            <w:tcW w:w="1473" w:type="dxa"/>
            <w:vAlign w:val="center"/>
          </w:tcPr>
          <w:p w:rsidR="009A6D5E" w:rsidRPr="0052043A" w:rsidRDefault="00BF462F" w:rsidP="007A3CEF">
            <w:pPr>
              <w:pStyle w:val="ac"/>
              <w:jc w:val="center"/>
              <w:rPr>
                <w:sz w:val="28"/>
                <w:szCs w:val="28"/>
              </w:rPr>
            </w:pPr>
            <w:r w:rsidRPr="0052043A">
              <w:rPr>
                <w:sz w:val="28"/>
                <w:szCs w:val="28"/>
              </w:rPr>
              <w:t>-</w:t>
            </w:r>
          </w:p>
        </w:tc>
        <w:tc>
          <w:tcPr>
            <w:tcW w:w="1473" w:type="dxa"/>
            <w:vAlign w:val="center"/>
          </w:tcPr>
          <w:p w:rsidR="009A6D5E" w:rsidRPr="0052043A" w:rsidRDefault="00BF462F" w:rsidP="007A3CEF">
            <w:pPr>
              <w:pStyle w:val="ac"/>
              <w:jc w:val="center"/>
              <w:rPr>
                <w:sz w:val="28"/>
                <w:szCs w:val="28"/>
              </w:rPr>
            </w:pPr>
            <w:r w:rsidRPr="0052043A">
              <w:rPr>
                <w:sz w:val="28"/>
                <w:szCs w:val="28"/>
              </w:rPr>
              <w:t>100</w:t>
            </w:r>
          </w:p>
        </w:tc>
      </w:tr>
    </w:tbl>
    <w:p w:rsidR="00591C5A" w:rsidRDefault="00591C5A" w:rsidP="00D5774B">
      <w:pPr>
        <w:tabs>
          <w:tab w:val="left" w:pos="1406"/>
        </w:tab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BF462F" w:rsidRDefault="00BF462F" w:rsidP="00D5774B">
      <w:pPr>
        <w:tabs>
          <w:tab w:val="left" w:pos="1406"/>
        </w:tabs>
        <w:autoSpaceDE w:val="0"/>
        <w:autoSpaceDN w:val="0"/>
        <w:adjustRightInd w:val="0"/>
        <w:spacing w:after="0" w:line="240" w:lineRule="auto"/>
        <w:ind w:firstLine="709"/>
        <w:jc w:val="both"/>
        <w:rPr>
          <w:rFonts w:ascii="Times New Roman" w:hAnsi="Times New Roman" w:cs="Times New Roman"/>
          <w:sz w:val="28"/>
          <w:szCs w:val="28"/>
        </w:rPr>
      </w:pPr>
      <w:r w:rsidRPr="0052043A">
        <w:rPr>
          <w:rFonts w:ascii="Times New Roman" w:eastAsia="Times New Roman" w:hAnsi="Times New Roman" w:cs="Times New Roman"/>
          <w:bCs/>
          <w:sz w:val="28"/>
          <w:szCs w:val="28"/>
        </w:rPr>
        <w:t xml:space="preserve">Кількість суб’єктів господарювання великого підприємництва, на яких поширюється регулювання: 12 (одиниць). Всього суб’єктів господарювання у групі 12, з яких:1 державне - ДП «АМПУ», та 11 </w:t>
      </w:r>
      <w:r w:rsidR="00196D4F">
        <w:rPr>
          <w:rFonts w:ascii="Times New Roman" w:eastAsia="Times New Roman" w:hAnsi="Times New Roman" w:cs="Times New Roman"/>
          <w:bCs/>
          <w:sz w:val="28"/>
          <w:szCs w:val="28"/>
        </w:rPr>
        <w:t>– суб’єктів господарювання приватної форми власності</w:t>
      </w:r>
      <w:r w:rsidRPr="0052043A">
        <w:rPr>
          <w:rFonts w:ascii="Times New Roman" w:eastAsia="Times New Roman" w:hAnsi="Times New Roman" w:cs="Times New Roman"/>
          <w:bCs/>
          <w:sz w:val="28"/>
          <w:szCs w:val="28"/>
        </w:rPr>
        <w:t>.</w:t>
      </w:r>
      <w:r w:rsidR="0052043A">
        <w:rPr>
          <w:rFonts w:ascii="Times New Roman" w:eastAsia="Times New Roman" w:hAnsi="Times New Roman" w:cs="Times New Roman"/>
          <w:bCs/>
          <w:sz w:val="28"/>
          <w:szCs w:val="28"/>
          <w:lang w:val="ru-RU"/>
        </w:rPr>
        <w:t xml:space="preserve"> При цьому, саме ДП «АМПУ»</w:t>
      </w:r>
      <w:r w:rsidR="0052043A">
        <w:rPr>
          <w:rFonts w:ascii="Times New Roman" w:eastAsia="Times New Roman" w:hAnsi="Times New Roman" w:cs="Times New Roman"/>
          <w:bCs/>
          <w:sz w:val="28"/>
          <w:szCs w:val="28"/>
        </w:rPr>
        <w:t xml:space="preserve">, відповідно до Закону України «Про морські порти України» забезпечує функціонування та розвиток об’єктів портової інфраструктури </w:t>
      </w:r>
      <w:r w:rsidR="00002E44">
        <w:rPr>
          <w:rFonts w:ascii="Times New Roman" w:eastAsia="Times New Roman" w:hAnsi="Times New Roman" w:cs="Times New Roman"/>
          <w:bCs/>
          <w:sz w:val="28"/>
          <w:szCs w:val="28"/>
        </w:rPr>
        <w:t xml:space="preserve">загального користування </w:t>
      </w:r>
      <w:r w:rsidR="0052043A">
        <w:rPr>
          <w:rFonts w:ascii="Times New Roman" w:eastAsia="Times New Roman" w:hAnsi="Times New Roman" w:cs="Times New Roman"/>
          <w:bCs/>
          <w:sz w:val="28"/>
          <w:szCs w:val="28"/>
        </w:rPr>
        <w:t>державної власності, до яких</w:t>
      </w:r>
      <w:r w:rsidR="00002E44">
        <w:rPr>
          <w:rFonts w:ascii="Times New Roman" w:eastAsia="Times New Roman" w:hAnsi="Times New Roman" w:cs="Times New Roman"/>
          <w:bCs/>
          <w:sz w:val="28"/>
          <w:szCs w:val="28"/>
        </w:rPr>
        <w:t>,</w:t>
      </w:r>
      <w:r w:rsidR="0052043A">
        <w:rPr>
          <w:rFonts w:ascii="Times New Roman" w:eastAsia="Times New Roman" w:hAnsi="Times New Roman" w:cs="Times New Roman"/>
          <w:bCs/>
          <w:sz w:val="28"/>
          <w:szCs w:val="28"/>
        </w:rPr>
        <w:t xml:space="preserve"> у тому числі</w:t>
      </w:r>
      <w:r w:rsidR="00002E44">
        <w:rPr>
          <w:rFonts w:ascii="Times New Roman" w:eastAsia="Times New Roman" w:hAnsi="Times New Roman" w:cs="Times New Roman"/>
          <w:bCs/>
          <w:sz w:val="28"/>
          <w:szCs w:val="28"/>
        </w:rPr>
        <w:t>,</w:t>
      </w:r>
      <w:r w:rsidR="0052043A">
        <w:rPr>
          <w:rFonts w:ascii="Times New Roman" w:eastAsia="Times New Roman" w:hAnsi="Times New Roman" w:cs="Times New Roman"/>
          <w:bCs/>
          <w:sz w:val="28"/>
          <w:szCs w:val="28"/>
        </w:rPr>
        <w:t xml:space="preserve"> належать</w:t>
      </w:r>
      <w:r w:rsidR="00002E44">
        <w:rPr>
          <w:rFonts w:ascii="Times New Roman" w:eastAsia="Times New Roman" w:hAnsi="Times New Roman" w:cs="Times New Roman"/>
          <w:bCs/>
          <w:sz w:val="28"/>
          <w:szCs w:val="28"/>
        </w:rPr>
        <w:t xml:space="preserve"> </w:t>
      </w:r>
      <w:r w:rsidR="00002E44">
        <w:rPr>
          <w:rFonts w:ascii="Times New Roman" w:hAnsi="Times New Roman" w:cs="Times New Roman"/>
          <w:sz w:val="28"/>
          <w:szCs w:val="28"/>
        </w:rPr>
        <w:t>акваторії</w:t>
      </w:r>
      <w:r w:rsidR="00002E44" w:rsidRPr="00002E44">
        <w:rPr>
          <w:rFonts w:ascii="Times New Roman" w:hAnsi="Times New Roman" w:cs="Times New Roman"/>
          <w:sz w:val="28"/>
          <w:szCs w:val="28"/>
        </w:rPr>
        <w:t xml:space="preserve"> морських портів (портов</w:t>
      </w:r>
      <w:r w:rsidR="00002E44">
        <w:rPr>
          <w:rFonts w:ascii="Times New Roman" w:hAnsi="Times New Roman" w:cs="Times New Roman"/>
          <w:sz w:val="28"/>
          <w:szCs w:val="28"/>
        </w:rPr>
        <w:t>і</w:t>
      </w:r>
      <w:r w:rsidR="00002E44" w:rsidRPr="00002E44">
        <w:rPr>
          <w:rFonts w:ascii="Times New Roman" w:hAnsi="Times New Roman" w:cs="Times New Roman"/>
          <w:sz w:val="28"/>
          <w:szCs w:val="28"/>
        </w:rPr>
        <w:t xml:space="preserve"> акваторі</w:t>
      </w:r>
      <w:r w:rsidR="00002E44">
        <w:rPr>
          <w:rFonts w:ascii="Times New Roman" w:hAnsi="Times New Roman" w:cs="Times New Roman"/>
          <w:sz w:val="28"/>
          <w:szCs w:val="28"/>
        </w:rPr>
        <w:t>ї</w:t>
      </w:r>
      <w:r w:rsidR="00002E44" w:rsidRPr="00002E44">
        <w:rPr>
          <w:rFonts w:ascii="Times New Roman" w:hAnsi="Times New Roman" w:cs="Times New Roman"/>
          <w:sz w:val="28"/>
          <w:szCs w:val="28"/>
        </w:rPr>
        <w:t>), внутрішні підхідн</w:t>
      </w:r>
      <w:r w:rsidR="00002E44">
        <w:rPr>
          <w:rFonts w:ascii="Times New Roman" w:hAnsi="Times New Roman" w:cs="Times New Roman"/>
          <w:sz w:val="28"/>
          <w:szCs w:val="28"/>
        </w:rPr>
        <w:t>і канали</w:t>
      </w:r>
      <w:r w:rsidR="00002E44" w:rsidRPr="00002E44">
        <w:rPr>
          <w:rFonts w:ascii="Times New Roman" w:hAnsi="Times New Roman" w:cs="Times New Roman"/>
          <w:sz w:val="28"/>
          <w:szCs w:val="28"/>
        </w:rPr>
        <w:t>, судноплавн</w:t>
      </w:r>
      <w:r w:rsidR="00002E44">
        <w:rPr>
          <w:rFonts w:ascii="Times New Roman" w:hAnsi="Times New Roman" w:cs="Times New Roman"/>
          <w:sz w:val="28"/>
          <w:szCs w:val="28"/>
        </w:rPr>
        <w:t>і</w:t>
      </w:r>
      <w:r w:rsidR="00002E44" w:rsidRPr="00002E44">
        <w:rPr>
          <w:rFonts w:ascii="Times New Roman" w:hAnsi="Times New Roman" w:cs="Times New Roman"/>
          <w:sz w:val="28"/>
          <w:szCs w:val="28"/>
        </w:rPr>
        <w:t xml:space="preserve"> канал</w:t>
      </w:r>
      <w:r w:rsidR="00002E44">
        <w:rPr>
          <w:rFonts w:ascii="Times New Roman" w:hAnsi="Times New Roman" w:cs="Times New Roman"/>
          <w:sz w:val="28"/>
          <w:szCs w:val="28"/>
        </w:rPr>
        <w:t>и</w:t>
      </w:r>
      <w:r w:rsidR="00002E44" w:rsidRPr="00002E44">
        <w:rPr>
          <w:rFonts w:ascii="Times New Roman" w:hAnsi="Times New Roman" w:cs="Times New Roman"/>
          <w:sz w:val="28"/>
          <w:szCs w:val="28"/>
        </w:rPr>
        <w:t>, операційн</w:t>
      </w:r>
      <w:r w:rsidR="00002E44">
        <w:rPr>
          <w:rFonts w:ascii="Times New Roman" w:hAnsi="Times New Roman" w:cs="Times New Roman"/>
          <w:sz w:val="28"/>
          <w:szCs w:val="28"/>
        </w:rPr>
        <w:t>і</w:t>
      </w:r>
      <w:r w:rsidR="00002E44" w:rsidRPr="00002E44">
        <w:rPr>
          <w:rFonts w:ascii="Times New Roman" w:hAnsi="Times New Roman" w:cs="Times New Roman"/>
          <w:sz w:val="28"/>
          <w:szCs w:val="28"/>
        </w:rPr>
        <w:t xml:space="preserve"> акваторі</w:t>
      </w:r>
      <w:r w:rsidR="00002E44">
        <w:rPr>
          <w:rFonts w:ascii="Times New Roman" w:hAnsi="Times New Roman" w:cs="Times New Roman"/>
          <w:sz w:val="28"/>
          <w:szCs w:val="28"/>
        </w:rPr>
        <w:t>ї</w:t>
      </w:r>
      <w:r w:rsidR="00002E44" w:rsidRPr="00002E44">
        <w:rPr>
          <w:rFonts w:ascii="Times New Roman" w:hAnsi="Times New Roman" w:cs="Times New Roman"/>
          <w:sz w:val="28"/>
          <w:szCs w:val="28"/>
        </w:rPr>
        <w:t xml:space="preserve"> причалів, якірн</w:t>
      </w:r>
      <w:r w:rsidR="00002E44">
        <w:rPr>
          <w:rFonts w:ascii="Times New Roman" w:hAnsi="Times New Roman" w:cs="Times New Roman"/>
          <w:sz w:val="28"/>
          <w:szCs w:val="28"/>
        </w:rPr>
        <w:t>і</w:t>
      </w:r>
      <w:r w:rsidR="00002E44" w:rsidRPr="00002E44">
        <w:rPr>
          <w:rFonts w:ascii="Times New Roman" w:hAnsi="Times New Roman" w:cs="Times New Roman"/>
          <w:sz w:val="28"/>
          <w:szCs w:val="28"/>
        </w:rPr>
        <w:t xml:space="preserve"> стоян</w:t>
      </w:r>
      <w:r w:rsidR="00002E44">
        <w:rPr>
          <w:rFonts w:ascii="Times New Roman" w:hAnsi="Times New Roman" w:cs="Times New Roman"/>
          <w:sz w:val="28"/>
          <w:szCs w:val="28"/>
        </w:rPr>
        <w:t>ки тощо.</w:t>
      </w:r>
    </w:p>
    <w:p w:rsidR="00D5774B" w:rsidRPr="0052043A" w:rsidRDefault="00D5774B" w:rsidP="00D5774B">
      <w:pPr>
        <w:tabs>
          <w:tab w:val="left" w:pos="1406"/>
        </w:tabs>
        <w:autoSpaceDE w:val="0"/>
        <w:autoSpaceDN w:val="0"/>
        <w:adjustRightInd w:val="0"/>
        <w:spacing w:after="0" w:line="240" w:lineRule="auto"/>
        <w:ind w:firstLine="709"/>
        <w:jc w:val="both"/>
        <w:rPr>
          <w:sz w:val="28"/>
          <w:szCs w:val="28"/>
        </w:rPr>
      </w:pPr>
    </w:p>
    <w:tbl>
      <w:tblPr>
        <w:tblStyle w:val="af"/>
        <w:tblW w:w="0" w:type="auto"/>
        <w:tblLook w:val="04A0" w:firstRow="1" w:lastRow="0" w:firstColumn="1" w:lastColumn="0" w:noHBand="0" w:noVBand="1"/>
      </w:tblPr>
      <w:tblGrid>
        <w:gridCol w:w="3303"/>
        <w:gridCol w:w="3304"/>
        <w:gridCol w:w="3304"/>
      </w:tblGrid>
      <w:tr w:rsidR="00EE0559" w:rsidRPr="00EE0559" w:rsidTr="00025DEF">
        <w:tc>
          <w:tcPr>
            <w:tcW w:w="3303" w:type="dxa"/>
            <w:vAlign w:val="center"/>
          </w:tcPr>
          <w:p w:rsidR="00A730E3" w:rsidRPr="00EE0559" w:rsidRDefault="00A730E3" w:rsidP="00025DEF">
            <w:pPr>
              <w:pStyle w:val="ac"/>
              <w:jc w:val="center"/>
              <w:rPr>
                <w:sz w:val="28"/>
                <w:szCs w:val="28"/>
              </w:rPr>
            </w:pPr>
            <w:r w:rsidRPr="00EE0559">
              <w:rPr>
                <w:sz w:val="28"/>
                <w:szCs w:val="28"/>
              </w:rPr>
              <w:t>Вид альтернативи</w:t>
            </w:r>
          </w:p>
        </w:tc>
        <w:tc>
          <w:tcPr>
            <w:tcW w:w="3304" w:type="dxa"/>
            <w:vAlign w:val="center"/>
          </w:tcPr>
          <w:p w:rsidR="00A730E3" w:rsidRPr="00EE0559" w:rsidRDefault="00A730E3" w:rsidP="00025DEF">
            <w:pPr>
              <w:pStyle w:val="ac"/>
              <w:jc w:val="center"/>
              <w:rPr>
                <w:sz w:val="28"/>
                <w:szCs w:val="28"/>
              </w:rPr>
            </w:pPr>
            <w:r w:rsidRPr="00EE0559">
              <w:rPr>
                <w:sz w:val="28"/>
                <w:szCs w:val="28"/>
              </w:rPr>
              <w:t>Вигоди</w:t>
            </w:r>
          </w:p>
        </w:tc>
        <w:tc>
          <w:tcPr>
            <w:tcW w:w="3304" w:type="dxa"/>
            <w:vAlign w:val="center"/>
          </w:tcPr>
          <w:p w:rsidR="00A730E3" w:rsidRPr="00EE0559" w:rsidRDefault="00A730E3" w:rsidP="00025DEF">
            <w:pPr>
              <w:pStyle w:val="ac"/>
              <w:jc w:val="center"/>
              <w:rPr>
                <w:sz w:val="28"/>
                <w:szCs w:val="28"/>
              </w:rPr>
            </w:pPr>
            <w:r w:rsidRPr="00EE0559">
              <w:rPr>
                <w:sz w:val="28"/>
                <w:szCs w:val="28"/>
              </w:rPr>
              <w:t>Витрати</w:t>
            </w:r>
          </w:p>
        </w:tc>
      </w:tr>
      <w:tr w:rsidR="00EE0559" w:rsidRPr="00EE0559" w:rsidTr="00025DEF">
        <w:tc>
          <w:tcPr>
            <w:tcW w:w="3303" w:type="dxa"/>
            <w:vAlign w:val="center"/>
          </w:tcPr>
          <w:p w:rsidR="00A730E3" w:rsidRPr="00EE0559" w:rsidRDefault="00A730E3" w:rsidP="00025DEF">
            <w:pPr>
              <w:pStyle w:val="ac"/>
              <w:jc w:val="center"/>
              <w:rPr>
                <w:sz w:val="28"/>
                <w:szCs w:val="28"/>
              </w:rPr>
            </w:pPr>
            <w:r w:rsidRPr="00EE0559">
              <w:rPr>
                <w:sz w:val="28"/>
                <w:szCs w:val="28"/>
              </w:rPr>
              <w:t>Збереження чинного регулювання</w:t>
            </w:r>
          </w:p>
        </w:tc>
        <w:tc>
          <w:tcPr>
            <w:tcW w:w="3304" w:type="dxa"/>
            <w:vAlign w:val="center"/>
          </w:tcPr>
          <w:p w:rsidR="00A730E3" w:rsidRPr="00EE0559" w:rsidRDefault="00A730E3" w:rsidP="00025DEF">
            <w:pPr>
              <w:pStyle w:val="ac"/>
              <w:jc w:val="center"/>
              <w:rPr>
                <w:sz w:val="28"/>
                <w:szCs w:val="28"/>
              </w:rPr>
            </w:pPr>
            <w:r w:rsidRPr="00EE0559">
              <w:rPr>
                <w:sz w:val="28"/>
                <w:szCs w:val="28"/>
              </w:rPr>
              <w:t>Не передбачається.</w:t>
            </w:r>
          </w:p>
        </w:tc>
        <w:tc>
          <w:tcPr>
            <w:tcW w:w="3304" w:type="dxa"/>
            <w:vAlign w:val="center"/>
          </w:tcPr>
          <w:p w:rsidR="00A730E3" w:rsidRPr="00EE0559" w:rsidRDefault="00A730E3" w:rsidP="00025DEF">
            <w:pPr>
              <w:pStyle w:val="ac"/>
              <w:jc w:val="center"/>
              <w:rPr>
                <w:sz w:val="28"/>
                <w:szCs w:val="28"/>
              </w:rPr>
            </w:pPr>
            <w:r w:rsidRPr="00EE0559">
              <w:rPr>
                <w:sz w:val="28"/>
                <w:szCs w:val="28"/>
              </w:rPr>
              <w:t>Не передбачається.</w:t>
            </w:r>
          </w:p>
        </w:tc>
      </w:tr>
      <w:tr w:rsidR="00A730E3" w:rsidRPr="00EE0559" w:rsidTr="00025DEF">
        <w:tc>
          <w:tcPr>
            <w:tcW w:w="3303" w:type="dxa"/>
            <w:vAlign w:val="center"/>
          </w:tcPr>
          <w:p w:rsidR="00A730E3" w:rsidRPr="00EE0559" w:rsidRDefault="004772DB" w:rsidP="003E136C">
            <w:pPr>
              <w:pStyle w:val="ac"/>
              <w:jc w:val="center"/>
              <w:rPr>
                <w:sz w:val="28"/>
                <w:szCs w:val="28"/>
              </w:rPr>
            </w:pPr>
            <w:r>
              <w:rPr>
                <w:sz w:val="28"/>
                <w:szCs w:val="28"/>
              </w:rPr>
              <w:t>Прийняття П</w:t>
            </w:r>
            <w:r w:rsidR="00A730E3" w:rsidRPr="00EE0559">
              <w:rPr>
                <w:sz w:val="28"/>
                <w:szCs w:val="28"/>
              </w:rPr>
              <w:t>останови</w:t>
            </w:r>
          </w:p>
        </w:tc>
        <w:tc>
          <w:tcPr>
            <w:tcW w:w="3304" w:type="dxa"/>
            <w:vAlign w:val="center"/>
          </w:tcPr>
          <w:p w:rsidR="00A730E3" w:rsidRPr="00EE0559" w:rsidRDefault="006418F5" w:rsidP="006418F5">
            <w:pPr>
              <w:pStyle w:val="ac"/>
              <w:jc w:val="center"/>
              <w:rPr>
                <w:sz w:val="28"/>
                <w:szCs w:val="28"/>
              </w:rPr>
            </w:pPr>
            <w:r>
              <w:rPr>
                <w:sz w:val="28"/>
                <w:szCs w:val="28"/>
              </w:rPr>
              <w:t xml:space="preserve">Скорочення часу, необхідного для </w:t>
            </w:r>
            <w:r w:rsidRPr="00EE0559">
              <w:rPr>
                <w:sz w:val="28"/>
                <w:szCs w:val="28"/>
              </w:rPr>
              <w:t xml:space="preserve">оформлення документів, що дають право на виконання робіт з будівництва, реконструкції, технічного переоснащення та капітального ремонту гідротехнічних споруд </w:t>
            </w:r>
            <w:r>
              <w:rPr>
                <w:sz w:val="28"/>
                <w:szCs w:val="28"/>
              </w:rPr>
              <w:t>(</w:t>
            </w:r>
            <w:r w:rsidRPr="00EE0559">
              <w:rPr>
                <w:sz w:val="28"/>
                <w:szCs w:val="28"/>
              </w:rPr>
              <w:t xml:space="preserve">акваторій морських портів (портових акваторій), внутрішніх підхідних каналів, судноплавних каналів, операційних акваторій причалів, якірних стоянок, а також інших підводних гідротехнічних споруд </w:t>
            </w:r>
            <w:r w:rsidRPr="00EE0559">
              <w:rPr>
                <w:sz w:val="28"/>
                <w:szCs w:val="28"/>
              </w:rPr>
              <w:lastRenderedPageBreak/>
              <w:t>штучного та природного походження, в тому числі розташованих в межах акваторій морських портів і призначених для забезпечення безпеки мореплавства</w:t>
            </w:r>
            <w:r>
              <w:rPr>
                <w:sz w:val="28"/>
                <w:szCs w:val="28"/>
              </w:rPr>
              <w:t xml:space="preserve">, маневрування та стоянки суден) та подальшого прийняття зазначених об’єктів </w:t>
            </w:r>
            <w:r w:rsidRPr="00EE0559">
              <w:rPr>
                <w:sz w:val="28"/>
                <w:szCs w:val="28"/>
              </w:rPr>
              <w:t>в експлуатацію</w:t>
            </w:r>
            <w:r w:rsidR="004A6D30">
              <w:rPr>
                <w:sz w:val="28"/>
                <w:szCs w:val="28"/>
              </w:rPr>
              <w:t>, а отже і скорочення часу для реалізації інфраструктурних проектів</w:t>
            </w:r>
          </w:p>
        </w:tc>
        <w:tc>
          <w:tcPr>
            <w:tcW w:w="3304" w:type="dxa"/>
            <w:vAlign w:val="center"/>
          </w:tcPr>
          <w:p w:rsidR="00A730E3" w:rsidRPr="00EE0559" w:rsidRDefault="00A730E3" w:rsidP="00025DEF">
            <w:pPr>
              <w:pStyle w:val="ac"/>
              <w:jc w:val="center"/>
              <w:rPr>
                <w:sz w:val="28"/>
                <w:szCs w:val="28"/>
              </w:rPr>
            </w:pPr>
            <w:r w:rsidRPr="00EE0559">
              <w:rPr>
                <w:sz w:val="28"/>
                <w:szCs w:val="28"/>
              </w:rPr>
              <w:lastRenderedPageBreak/>
              <w:t>Не передбачається.</w:t>
            </w:r>
          </w:p>
        </w:tc>
      </w:tr>
    </w:tbl>
    <w:p w:rsidR="00A730E3" w:rsidRPr="00EE0559" w:rsidRDefault="00A730E3" w:rsidP="00D35279">
      <w:pPr>
        <w:pStyle w:val="ac"/>
        <w:jc w:val="both"/>
        <w:rPr>
          <w:sz w:val="28"/>
          <w:szCs w:val="28"/>
        </w:rPr>
      </w:pPr>
    </w:p>
    <w:tbl>
      <w:tblPr>
        <w:tblStyle w:val="af"/>
        <w:tblW w:w="0" w:type="auto"/>
        <w:tblLook w:val="04A0" w:firstRow="1" w:lastRow="0" w:firstColumn="1" w:lastColumn="0" w:noHBand="0" w:noVBand="1"/>
      </w:tblPr>
      <w:tblGrid>
        <w:gridCol w:w="4955"/>
        <w:gridCol w:w="4956"/>
      </w:tblGrid>
      <w:tr w:rsidR="00EE0559" w:rsidRPr="00EE0559" w:rsidTr="00235BBF">
        <w:tc>
          <w:tcPr>
            <w:tcW w:w="4955" w:type="dxa"/>
          </w:tcPr>
          <w:p w:rsidR="00235BBF" w:rsidRPr="00EE0559" w:rsidRDefault="00BB44D0" w:rsidP="00BB44D0">
            <w:pPr>
              <w:pStyle w:val="ac"/>
              <w:jc w:val="center"/>
              <w:rPr>
                <w:sz w:val="28"/>
                <w:szCs w:val="28"/>
              </w:rPr>
            </w:pPr>
            <w:r w:rsidRPr="00EE0559">
              <w:rPr>
                <w:sz w:val="28"/>
                <w:szCs w:val="28"/>
              </w:rPr>
              <w:t>Сумарні витрати за альтернативами</w:t>
            </w:r>
          </w:p>
        </w:tc>
        <w:tc>
          <w:tcPr>
            <w:tcW w:w="4956" w:type="dxa"/>
          </w:tcPr>
          <w:p w:rsidR="00235BBF" w:rsidRPr="00EE0559" w:rsidRDefault="00BB44D0" w:rsidP="00BB44D0">
            <w:pPr>
              <w:pStyle w:val="ac"/>
              <w:jc w:val="center"/>
              <w:rPr>
                <w:sz w:val="28"/>
                <w:szCs w:val="28"/>
              </w:rPr>
            </w:pPr>
            <w:r w:rsidRPr="00EE0559">
              <w:rPr>
                <w:sz w:val="28"/>
                <w:szCs w:val="28"/>
              </w:rPr>
              <w:t>Сума витрат, гривень</w:t>
            </w:r>
          </w:p>
        </w:tc>
      </w:tr>
      <w:tr w:rsidR="00EE0559" w:rsidRPr="00EE0559" w:rsidTr="00235BBF">
        <w:tc>
          <w:tcPr>
            <w:tcW w:w="4955" w:type="dxa"/>
          </w:tcPr>
          <w:p w:rsidR="00235BBF" w:rsidRPr="00EE0559" w:rsidRDefault="00BB44D0" w:rsidP="00BB44D0">
            <w:pPr>
              <w:pStyle w:val="ac"/>
              <w:spacing w:before="0" w:beforeAutospacing="0" w:after="0" w:afterAutospacing="0"/>
              <w:jc w:val="both"/>
              <w:rPr>
                <w:sz w:val="28"/>
                <w:szCs w:val="28"/>
              </w:rPr>
            </w:pPr>
            <w:r w:rsidRPr="00EE0559">
              <w:rPr>
                <w:sz w:val="28"/>
                <w:szCs w:val="28"/>
              </w:rPr>
              <w:t>Збереження чинного регулювання.</w:t>
            </w:r>
            <w:r w:rsidRPr="00EE0559">
              <w:rPr>
                <w:sz w:val="28"/>
                <w:szCs w:val="28"/>
              </w:rPr>
              <w:b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56" w:type="dxa"/>
          </w:tcPr>
          <w:p w:rsidR="00BB44D0" w:rsidRPr="00EE0559" w:rsidRDefault="00BB44D0" w:rsidP="00BB44D0">
            <w:pPr>
              <w:pStyle w:val="ac"/>
              <w:spacing w:before="0" w:beforeAutospacing="0" w:after="0" w:afterAutospacing="0"/>
              <w:jc w:val="both"/>
              <w:rPr>
                <w:sz w:val="28"/>
                <w:szCs w:val="28"/>
              </w:rPr>
            </w:pPr>
            <w:r w:rsidRPr="00EE0559">
              <w:rPr>
                <w:sz w:val="28"/>
                <w:szCs w:val="28"/>
              </w:rPr>
              <w:t>Витрати відсутні.</w:t>
            </w:r>
          </w:p>
          <w:p w:rsidR="00235BBF" w:rsidRPr="00EE0559" w:rsidRDefault="00BB44D0" w:rsidP="007A1CE7">
            <w:pPr>
              <w:pStyle w:val="ac"/>
              <w:spacing w:before="0" w:beforeAutospacing="0" w:after="0" w:afterAutospacing="0"/>
              <w:jc w:val="both"/>
              <w:rPr>
                <w:sz w:val="28"/>
                <w:szCs w:val="28"/>
              </w:rPr>
            </w:pPr>
            <w:r w:rsidRPr="00EE0559">
              <w:rPr>
                <w:sz w:val="28"/>
                <w:szCs w:val="28"/>
              </w:rPr>
              <w:t xml:space="preserve">Відповідно до Закону України </w:t>
            </w:r>
            <w:r w:rsidR="00D5774B">
              <w:rPr>
                <w:sz w:val="28"/>
                <w:szCs w:val="28"/>
              </w:rPr>
              <w:t>«</w:t>
            </w:r>
            <w:r w:rsidRPr="00EE0559">
              <w:rPr>
                <w:sz w:val="28"/>
                <w:szCs w:val="28"/>
              </w:rPr>
              <w:t>Про регулювання містобудівної діяльності</w:t>
            </w:r>
            <w:r w:rsidR="00D5774B">
              <w:rPr>
                <w:sz w:val="28"/>
                <w:szCs w:val="28"/>
              </w:rPr>
              <w:t>»</w:t>
            </w:r>
            <w:r w:rsidRPr="00EE0559">
              <w:rPr>
                <w:sz w:val="28"/>
                <w:szCs w:val="28"/>
              </w:rPr>
              <w:t>, Порядку виконання підготовчих та будівельних робіт, затвердженого постановою Кабінету Міністрів України від 13 квітня 2011 р</w:t>
            </w:r>
            <w:r w:rsidR="007A1CE7">
              <w:rPr>
                <w:sz w:val="28"/>
                <w:szCs w:val="28"/>
              </w:rPr>
              <w:t>оку</w:t>
            </w:r>
            <w:r w:rsidRPr="00EE0559">
              <w:rPr>
                <w:sz w:val="28"/>
                <w:szCs w:val="28"/>
              </w:rPr>
              <w:t xml:space="preserve"> </w:t>
            </w:r>
            <w:r w:rsidR="00D5774B">
              <w:rPr>
                <w:sz w:val="28"/>
                <w:szCs w:val="28"/>
              </w:rPr>
              <w:t>№</w:t>
            </w:r>
            <w:r w:rsidRPr="00EE0559">
              <w:rPr>
                <w:sz w:val="28"/>
                <w:szCs w:val="28"/>
              </w:rPr>
              <w:t xml:space="preserve"> 466, Порядку прийняття в експлуатацію закінчених будівництвом об'єктів, затвердженого постановою Кабінету Міністрів України від 13 квітня 2011 р</w:t>
            </w:r>
            <w:r w:rsidR="007A1CE7">
              <w:rPr>
                <w:sz w:val="28"/>
                <w:szCs w:val="28"/>
              </w:rPr>
              <w:t>оку</w:t>
            </w:r>
            <w:r w:rsidRPr="00EE0559">
              <w:rPr>
                <w:sz w:val="28"/>
                <w:szCs w:val="28"/>
              </w:rPr>
              <w:t xml:space="preserve"> </w:t>
            </w:r>
            <w:r w:rsidR="00D5774B">
              <w:rPr>
                <w:sz w:val="28"/>
                <w:szCs w:val="28"/>
              </w:rPr>
              <w:t>№</w:t>
            </w:r>
            <w:r w:rsidRPr="00EE0559">
              <w:rPr>
                <w:sz w:val="28"/>
                <w:szCs w:val="28"/>
              </w:rPr>
              <w:t xml:space="preserve"> 461, видача сертифікатів на об'єкти, завершені будівництвом здійснюється органами державного архітектурно-будівельного контролю безкоштовно.</w:t>
            </w:r>
            <w:r w:rsidRPr="00EE0559">
              <w:rPr>
                <w:sz w:val="28"/>
                <w:szCs w:val="28"/>
              </w:rPr>
              <w:br/>
              <w:t>При цьому, склад та витрати на виконання робіт, які передбачені Переліком не змінюються, жодних додаткових витрат або їх виключень не здійснюється.</w:t>
            </w:r>
          </w:p>
        </w:tc>
      </w:tr>
      <w:tr w:rsidR="00235BBF" w:rsidRPr="00EE0559" w:rsidTr="00235BBF">
        <w:tc>
          <w:tcPr>
            <w:tcW w:w="4955" w:type="dxa"/>
          </w:tcPr>
          <w:p w:rsidR="00235BBF" w:rsidRPr="00EE0559" w:rsidRDefault="004772DB" w:rsidP="00BB44D0">
            <w:pPr>
              <w:pStyle w:val="ac"/>
              <w:spacing w:before="0" w:beforeAutospacing="0" w:after="0" w:afterAutospacing="0"/>
              <w:jc w:val="both"/>
              <w:rPr>
                <w:sz w:val="28"/>
                <w:szCs w:val="28"/>
              </w:rPr>
            </w:pPr>
            <w:r>
              <w:rPr>
                <w:sz w:val="28"/>
                <w:szCs w:val="28"/>
              </w:rPr>
              <w:t>Прийняття проекту П</w:t>
            </w:r>
            <w:r w:rsidR="00BB44D0" w:rsidRPr="00EE0559">
              <w:rPr>
                <w:sz w:val="28"/>
                <w:szCs w:val="28"/>
              </w:rPr>
              <w:t>останови.</w:t>
            </w:r>
            <w:r w:rsidR="00BB44D0" w:rsidRPr="00EE0559">
              <w:rPr>
                <w:sz w:val="28"/>
                <w:szCs w:val="28"/>
              </w:rPr>
              <w:b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w:t>
            </w:r>
            <w:r w:rsidR="00BB44D0" w:rsidRPr="00EE0559">
              <w:rPr>
                <w:sz w:val="28"/>
                <w:szCs w:val="28"/>
              </w:rPr>
              <w:lastRenderedPageBreak/>
              <w:t>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4956" w:type="dxa"/>
          </w:tcPr>
          <w:p w:rsidR="00235BBF" w:rsidRPr="00EE0559" w:rsidRDefault="00BB44D0" w:rsidP="00BB44D0">
            <w:pPr>
              <w:pStyle w:val="ac"/>
              <w:spacing w:before="0" w:beforeAutospacing="0" w:after="0" w:afterAutospacing="0"/>
              <w:jc w:val="both"/>
              <w:rPr>
                <w:sz w:val="28"/>
                <w:szCs w:val="28"/>
              </w:rPr>
            </w:pPr>
            <w:r w:rsidRPr="00EE0559">
              <w:rPr>
                <w:sz w:val="28"/>
                <w:szCs w:val="28"/>
              </w:rPr>
              <w:lastRenderedPageBreak/>
              <w:t>Витрати відсутні з урахуванням обґрунтування, наведеного до альтернативи 1.</w:t>
            </w:r>
          </w:p>
        </w:tc>
      </w:tr>
    </w:tbl>
    <w:p w:rsidR="007A1CE7" w:rsidRDefault="007A1CE7" w:rsidP="0035236F">
      <w:pPr>
        <w:spacing w:after="0" w:line="240" w:lineRule="auto"/>
        <w:contextualSpacing/>
        <w:jc w:val="center"/>
        <w:rPr>
          <w:rFonts w:ascii="Times New Roman" w:hAnsi="Times New Roman" w:cs="Times New Roman"/>
          <w:b/>
          <w:sz w:val="28"/>
          <w:szCs w:val="28"/>
          <w:lang w:eastAsia="en-US"/>
        </w:rPr>
      </w:pPr>
    </w:p>
    <w:p w:rsidR="00D35279" w:rsidRDefault="00D35279" w:rsidP="0035236F">
      <w:pPr>
        <w:spacing w:after="0" w:line="240" w:lineRule="auto"/>
        <w:contextualSpacing/>
        <w:jc w:val="center"/>
        <w:rPr>
          <w:rFonts w:ascii="Times New Roman" w:hAnsi="Times New Roman" w:cs="Times New Roman"/>
          <w:b/>
          <w:sz w:val="28"/>
          <w:szCs w:val="28"/>
          <w:lang w:eastAsia="en-US"/>
        </w:rPr>
      </w:pPr>
      <w:r w:rsidRPr="00EE0559">
        <w:rPr>
          <w:rFonts w:ascii="Times New Roman" w:hAnsi="Times New Roman" w:cs="Times New Roman"/>
          <w:b/>
          <w:sz w:val="28"/>
          <w:szCs w:val="28"/>
          <w:lang w:eastAsia="en-US"/>
        </w:rPr>
        <w:t>IV. Вибір найбільш оптимального альтернативного способу досягнення цілей</w:t>
      </w:r>
    </w:p>
    <w:p w:rsidR="006B1BAD" w:rsidRPr="00EE0559" w:rsidRDefault="006B1BAD" w:rsidP="0035236F">
      <w:pPr>
        <w:spacing w:after="0" w:line="240" w:lineRule="auto"/>
        <w:contextualSpacing/>
        <w:jc w:val="center"/>
        <w:rPr>
          <w:rFonts w:ascii="Times New Roman" w:hAnsi="Times New Roman" w:cs="Times New Roman"/>
          <w:sz w:val="28"/>
          <w:szCs w:val="28"/>
          <w:lang w:eastAsia="en-US"/>
        </w:rPr>
      </w:pPr>
    </w:p>
    <w:tbl>
      <w:tblPr>
        <w:tblStyle w:val="af"/>
        <w:tblW w:w="9911" w:type="dxa"/>
        <w:tblLook w:val="04A0" w:firstRow="1" w:lastRow="0" w:firstColumn="1" w:lastColumn="0" w:noHBand="0" w:noVBand="1"/>
      </w:tblPr>
      <w:tblGrid>
        <w:gridCol w:w="3303"/>
        <w:gridCol w:w="3304"/>
        <w:gridCol w:w="3304"/>
      </w:tblGrid>
      <w:tr w:rsidR="00EE0559" w:rsidRPr="00EE0559" w:rsidTr="006B1BAD">
        <w:tc>
          <w:tcPr>
            <w:tcW w:w="3303" w:type="dxa"/>
            <w:vAlign w:val="center"/>
          </w:tcPr>
          <w:p w:rsidR="006B1BAD" w:rsidRPr="00EE0559" w:rsidRDefault="006B1BAD" w:rsidP="006B1BAD">
            <w:pPr>
              <w:pStyle w:val="ac"/>
              <w:jc w:val="center"/>
              <w:rPr>
                <w:sz w:val="28"/>
                <w:szCs w:val="28"/>
                <w:lang w:eastAsia="en-US"/>
              </w:rPr>
            </w:pPr>
            <w:r w:rsidRPr="00EE0559">
              <w:rPr>
                <w:sz w:val="28"/>
                <w:szCs w:val="28"/>
              </w:rPr>
              <w:t>Рейтинг результативності</w:t>
            </w:r>
            <w:r w:rsidRPr="00EE0559">
              <w:rPr>
                <w:sz w:val="28"/>
                <w:szCs w:val="28"/>
              </w:rPr>
              <w:br/>
              <w:t>(досягнення цілей під час вирішення проблеми)</w:t>
            </w:r>
          </w:p>
        </w:tc>
        <w:tc>
          <w:tcPr>
            <w:tcW w:w="3304" w:type="dxa"/>
            <w:vAlign w:val="center"/>
          </w:tcPr>
          <w:p w:rsidR="006B1BAD" w:rsidRPr="00EE0559" w:rsidRDefault="006B1BAD" w:rsidP="006B1BAD">
            <w:pPr>
              <w:pStyle w:val="ac"/>
              <w:jc w:val="center"/>
              <w:rPr>
                <w:sz w:val="28"/>
                <w:szCs w:val="28"/>
              </w:rPr>
            </w:pPr>
            <w:r w:rsidRPr="00EE0559">
              <w:rPr>
                <w:sz w:val="28"/>
                <w:szCs w:val="28"/>
              </w:rPr>
              <w:t>Бал результативності</w:t>
            </w:r>
            <w:r w:rsidRPr="00EE0559">
              <w:rPr>
                <w:sz w:val="28"/>
                <w:szCs w:val="28"/>
              </w:rPr>
              <w:br/>
              <w:t>(за чотирибальною системою оцінки)</w:t>
            </w:r>
          </w:p>
        </w:tc>
        <w:tc>
          <w:tcPr>
            <w:tcW w:w="3304" w:type="dxa"/>
            <w:vAlign w:val="center"/>
          </w:tcPr>
          <w:p w:rsidR="006B1BAD" w:rsidRPr="00EE0559" w:rsidRDefault="006B1BAD" w:rsidP="006B1BAD">
            <w:pPr>
              <w:pStyle w:val="ac"/>
              <w:jc w:val="center"/>
              <w:rPr>
                <w:sz w:val="28"/>
                <w:szCs w:val="28"/>
              </w:rPr>
            </w:pPr>
            <w:r w:rsidRPr="00EE0559">
              <w:rPr>
                <w:sz w:val="28"/>
                <w:szCs w:val="28"/>
              </w:rPr>
              <w:t>Коментарі щодо присвоєння відповідного бала</w:t>
            </w:r>
          </w:p>
        </w:tc>
      </w:tr>
      <w:tr w:rsidR="00EE0559" w:rsidRPr="00EE0559" w:rsidTr="006B1BAD">
        <w:tc>
          <w:tcPr>
            <w:tcW w:w="3303" w:type="dxa"/>
            <w:vAlign w:val="center"/>
          </w:tcPr>
          <w:p w:rsidR="006B1BAD" w:rsidRPr="00EE0559" w:rsidRDefault="006B1BAD" w:rsidP="00A54958">
            <w:pPr>
              <w:pStyle w:val="ac"/>
              <w:jc w:val="center"/>
              <w:rPr>
                <w:sz w:val="28"/>
                <w:szCs w:val="28"/>
                <w:lang w:eastAsia="en-US"/>
              </w:rPr>
            </w:pPr>
            <w:r w:rsidRPr="00EE0559">
              <w:rPr>
                <w:sz w:val="28"/>
                <w:szCs w:val="28"/>
              </w:rPr>
              <w:t>Збереження чинного регулювання</w:t>
            </w:r>
          </w:p>
        </w:tc>
        <w:tc>
          <w:tcPr>
            <w:tcW w:w="3304" w:type="dxa"/>
            <w:vAlign w:val="center"/>
          </w:tcPr>
          <w:p w:rsidR="006B1BAD" w:rsidRPr="00EE0559" w:rsidRDefault="006B1BAD" w:rsidP="006B1BAD">
            <w:pPr>
              <w:pStyle w:val="ac"/>
              <w:jc w:val="center"/>
              <w:rPr>
                <w:sz w:val="28"/>
                <w:szCs w:val="28"/>
              </w:rPr>
            </w:pPr>
            <w:r w:rsidRPr="00EE0559">
              <w:rPr>
                <w:sz w:val="28"/>
                <w:szCs w:val="28"/>
              </w:rPr>
              <w:t>1</w:t>
            </w:r>
          </w:p>
        </w:tc>
        <w:tc>
          <w:tcPr>
            <w:tcW w:w="3304" w:type="dxa"/>
            <w:vAlign w:val="center"/>
          </w:tcPr>
          <w:p w:rsidR="006B1BAD" w:rsidRPr="00EE0559" w:rsidRDefault="006B1BAD" w:rsidP="006B1BAD">
            <w:pPr>
              <w:pStyle w:val="ac"/>
              <w:jc w:val="center"/>
              <w:rPr>
                <w:sz w:val="28"/>
                <w:szCs w:val="28"/>
              </w:rPr>
            </w:pPr>
            <w:r w:rsidRPr="00EE0559">
              <w:rPr>
                <w:sz w:val="28"/>
                <w:szCs w:val="28"/>
              </w:rPr>
              <w:t>У разі залишення існуючої ситуації без змін проблема продовжуватиме існувати, що не забезпечить досягнення поставленої мети.</w:t>
            </w:r>
          </w:p>
        </w:tc>
      </w:tr>
      <w:tr w:rsidR="006B1BAD" w:rsidRPr="00EE0559" w:rsidTr="006B1BAD">
        <w:tc>
          <w:tcPr>
            <w:tcW w:w="3303" w:type="dxa"/>
            <w:vAlign w:val="center"/>
          </w:tcPr>
          <w:p w:rsidR="006B1BAD" w:rsidRPr="00EE0559" w:rsidRDefault="006B1BAD" w:rsidP="003E136C">
            <w:pPr>
              <w:pStyle w:val="ac"/>
              <w:jc w:val="center"/>
              <w:rPr>
                <w:sz w:val="28"/>
                <w:szCs w:val="28"/>
                <w:lang w:eastAsia="en-US"/>
              </w:rPr>
            </w:pPr>
            <w:r w:rsidRPr="00EE0559">
              <w:rPr>
                <w:sz w:val="28"/>
                <w:szCs w:val="28"/>
              </w:rPr>
              <w:t xml:space="preserve">Прийняття </w:t>
            </w:r>
            <w:r w:rsidR="004772DB">
              <w:rPr>
                <w:sz w:val="28"/>
                <w:szCs w:val="28"/>
              </w:rPr>
              <w:t>П</w:t>
            </w:r>
            <w:r w:rsidRPr="00EE0559">
              <w:rPr>
                <w:sz w:val="28"/>
                <w:szCs w:val="28"/>
              </w:rPr>
              <w:t>останови</w:t>
            </w:r>
          </w:p>
        </w:tc>
        <w:tc>
          <w:tcPr>
            <w:tcW w:w="3304" w:type="dxa"/>
            <w:vAlign w:val="center"/>
          </w:tcPr>
          <w:p w:rsidR="006B1BAD" w:rsidRPr="00EE0559" w:rsidRDefault="006B1BAD" w:rsidP="006B1BAD">
            <w:pPr>
              <w:pStyle w:val="ac"/>
              <w:jc w:val="center"/>
              <w:rPr>
                <w:sz w:val="28"/>
                <w:szCs w:val="28"/>
              </w:rPr>
            </w:pPr>
            <w:r w:rsidRPr="00EE0559">
              <w:rPr>
                <w:sz w:val="28"/>
                <w:szCs w:val="28"/>
              </w:rPr>
              <w:t>4</w:t>
            </w:r>
          </w:p>
        </w:tc>
        <w:tc>
          <w:tcPr>
            <w:tcW w:w="3304" w:type="dxa"/>
            <w:vAlign w:val="center"/>
          </w:tcPr>
          <w:p w:rsidR="006B1BAD" w:rsidRPr="00EE0559" w:rsidRDefault="006B1BAD" w:rsidP="006B1BAD">
            <w:pPr>
              <w:pStyle w:val="ac"/>
              <w:jc w:val="center"/>
              <w:rPr>
                <w:sz w:val="28"/>
                <w:szCs w:val="28"/>
              </w:rPr>
            </w:pPr>
            <w:r w:rsidRPr="00EE0559">
              <w:rPr>
                <w:sz w:val="28"/>
                <w:szCs w:val="28"/>
              </w:rPr>
              <w:t>У разі прийняття постанови задекларовані цілі забезпечать повною мірою досягнення поставленої мети.</w:t>
            </w:r>
          </w:p>
        </w:tc>
      </w:tr>
    </w:tbl>
    <w:p w:rsidR="006B1BAD" w:rsidRDefault="006B1BAD" w:rsidP="0035236F">
      <w:pPr>
        <w:spacing w:after="0" w:line="240" w:lineRule="auto"/>
        <w:contextualSpacing/>
        <w:jc w:val="center"/>
        <w:rPr>
          <w:rFonts w:ascii="Times New Roman" w:hAnsi="Times New Roman" w:cs="Times New Roman"/>
          <w:sz w:val="28"/>
          <w:szCs w:val="28"/>
          <w:lang w:eastAsia="en-US"/>
        </w:rPr>
      </w:pPr>
    </w:p>
    <w:p w:rsidR="00A54958" w:rsidRDefault="00A54958" w:rsidP="0035236F">
      <w:pPr>
        <w:spacing w:after="0" w:line="240" w:lineRule="auto"/>
        <w:contextualSpacing/>
        <w:jc w:val="center"/>
        <w:rPr>
          <w:rFonts w:ascii="Times New Roman" w:hAnsi="Times New Roman" w:cs="Times New Roman"/>
          <w:sz w:val="28"/>
          <w:szCs w:val="28"/>
          <w:lang w:eastAsia="en-US"/>
        </w:rPr>
      </w:pPr>
    </w:p>
    <w:tbl>
      <w:tblPr>
        <w:tblStyle w:val="af"/>
        <w:tblW w:w="0" w:type="auto"/>
        <w:tblLook w:val="04A0" w:firstRow="1" w:lastRow="0" w:firstColumn="1" w:lastColumn="0" w:noHBand="0" w:noVBand="1"/>
      </w:tblPr>
      <w:tblGrid>
        <w:gridCol w:w="2477"/>
        <w:gridCol w:w="2478"/>
        <w:gridCol w:w="2478"/>
        <w:gridCol w:w="2478"/>
      </w:tblGrid>
      <w:tr w:rsidR="00EE0559" w:rsidRPr="00EE0559" w:rsidTr="006B1BAD">
        <w:tc>
          <w:tcPr>
            <w:tcW w:w="2477" w:type="dxa"/>
            <w:vAlign w:val="center"/>
          </w:tcPr>
          <w:p w:rsidR="006B1BAD" w:rsidRPr="00EE0559" w:rsidRDefault="006B1BAD" w:rsidP="006B1BAD">
            <w:pPr>
              <w:pStyle w:val="ac"/>
              <w:jc w:val="center"/>
              <w:rPr>
                <w:sz w:val="28"/>
                <w:szCs w:val="28"/>
              </w:rPr>
            </w:pPr>
            <w:r w:rsidRPr="00EE0559">
              <w:rPr>
                <w:sz w:val="28"/>
                <w:szCs w:val="28"/>
              </w:rPr>
              <w:t>Рейтинг результативності</w:t>
            </w:r>
          </w:p>
        </w:tc>
        <w:tc>
          <w:tcPr>
            <w:tcW w:w="2478" w:type="dxa"/>
            <w:vAlign w:val="center"/>
          </w:tcPr>
          <w:p w:rsidR="006B1BAD" w:rsidRPr="00EE0559" w:rsidRDefault="006B1BAD" w:rsidP="006B1BAD">
            <w:pPr>
              <w:pStyle w:val="ac"/>
              <w:jc w:val="center"/>
              <w:rPr>
                <w:sz w:val="28"/>
                <w:szCs w:val="28"/>
              </w:rPr>
            </w:pPr>
            <w:r w:rsidRPr="00EE0559">
              <w:rPr>
                <w:sz w:val="28"/>
                <w:szCs w:val="28"/>
              </w:rPr>
              <w:t>Вигоди (підсумок)</w:t>
            </w:r>
          </w:p>
        </w:tc>
        <w:tc>
          <w:tcPr>
            <w:tcW w:w="2478" w:type="dxa"/>
            <w:vAlign w:val="center"/>
          </w:tcPr>
          <w:p w:rsidR="006B1BAD" w:rsidRPr="00EE0559" w:rsidRDefault="006B1BAD" w:rsidP="006B1BAD">
            <w:pPr>
              <w:pStyle w:val="ac"/>
              <w:jc w:val="center"/>
              <w:rPr>
                <w:sz w:val="28"/>
                <w:szCs w:val="28"/>
              </w:rPr>
            </w:pPr>
            <w:r w:rsidRPr="00EE0559">
              <w:rPr>
                <w:sz w:val="28"/>
                <w:szCs w:val="28"/>
              </w:rPr>
              <w:t>Витрати (підсумок)</w:t>
            </w:r>
          </w:p>
        </w:tc>
        <w:tc>
          <w:tcPr>
            <w:tcW w:w="2478" w:type="dxa"/>
            <w:vAlign w:val="center"/>
          </w:tcPr>
          <w:p w:rsidR="006B1BAD" w:rsidRPr="00EE0559" w:rsidRDefault="006B1BAD" w:rsidP="006B1BAD">
            <w:pPr>
              <w:pStyle w:val="ac"/>
              <w:jc w:val="center"/>
              <w:rPr>
                <w:sz w:val="28"/>
                <w:szCs w:val="28"/>
              </w:rPr>
            </w:pPr>
            <w:r w:rsidRPr="00EE0559">
              <w:rPr>
                <w:sz w:val="28"/>
                <w:szCs w:val="28"/>
              </w:rPr>
              <w:t>Обґрунтування відповідного місця альтернативи у рейтингу</w:t>
            </w:r>
          </w:p>
        </w:tc>
      </w:tr>
      <w:tr w:rsidR="00EE0559" w:rsidRPr="00EE0559" w:rsidTr="006B1BAD">
        <w:tc>
          <w:tcPr>
            <w:tcW w:w="2477" w:type="dxa"/>
            <w:vAlign w:val="center"/>
          </w:tcPr>
          <w:p w:rsidR="006B1BAD" w:rsidRPr="00EE0559" w:rsidRDefault="006B1BAD" w:rsidP="004772DB">
            <w:pPr>
              <w:pStyle w:val="ac"/>
              <w:jc w:val="center"/>
              <w:rPr>
                <w:sz w:val="28"/>
                <w:szCs w:val="28"/>
                <w:lang w:eastAsia="en-US"/>
              </w:rPr>
            </w:pPr>
            <w:r w:rsidRPr="00EE0559">
              <w:rPr>
                <w:sz w:val="28"/>
                <w:szCs w:val="28"/>
              </w:rPr>
              <w:t xml:space="preserve">Обраний спосіб - прийняття проекту </w:t>
            </w:r>
            <w:r w:rsidR="004772DB">
              <w:rPr>
                <w:sz w:val="28"/>
                <w:szCs w:val="28"/>
              </w:rPr>
              <w:t>П</w:t>
            </w:r>
            <w:r w:rsidRPr="00EE0559">
              <w:rPr>
                <w:sz w:val="28"/>
                <w:szCs w:val="28"/>
              </w:rPr>
              <w:t>останови.</w:t>
            </w:r>
          </w:p>
        </w:tc>
        <w:tc>
          <w:tcPr>
            <w:tcW w:w="2478" w:type="dxa"/>
          </w:tcPr>
          <w:p w:rsidR="009871E9" w:rsidRPr="00EE0559" w:rsidRDefault="006B1BAD" w:rsidP="003E136C">
            <w:pPr>
              <w:contextualSpacing/>
              <w:jc w:val="center"/>
              <w:rPr>
                <w:rFonts w:ascii="Times New Roman" w:hAnsi="Times New Roman" w:cs="Times New Roman"/>
                <w:sz w:val="28"/>
                <w:szCs w:val="28"/>
                <w:lang w:eastAsia="en-US"/>
              </w:rPr>
            </w:pPr>
            <w:r w:rsidRPr="00EE0559">
              <w:rPr>
                <w:rFonts w:ascii="Times New Roman" w:eastAsiaTheme="minorEastAsia" w:hAnsi="Times New Roman" w:cs="Times New Roman"/>
                <w:sz w:val="28"/>
                <w:szCs w:val="28"/>
              </w:rPr>
              <w:t xml:space="preserve">У разі прийняття </w:t>
            </w:r>
            <w:r w:rsidR="004772DB">
              <w:rPr>
                <w:rFonts w:ascii="Times New Roman" w:eastAsiaTheme="minorEastAsia" w:hAnsi="Times New Roman" w:cs="Times New Roman"/>
                <w:sz w:val="28"/>
                <w:szCs w:val="28"/>
              </w:rPr>
              <w:t>П</w:t>
            </w:r>
            <w:r w:rsidR="007A1CE7">
              <w:rPr>
                <w:rFonts w:ascii="Times New Roman" w:eastAsiaTheme="minorEastAsia" w:hAnsi="Times New Roman" w:cs="Times New Roman"/>
                <w:sz w:val="28"/>
                <w:szCs w:val="28"/>
              </w:rPr>
              <w:t>останови для держави</w:t>
            </w:r>
            <w:r w:rsidRPr="00EE0559">
              <w:rPr>
                <w:rFonts w:ascii="Times New Roman" w:eastAsiaTheme="minorEastAsia" w:hAnsi="Times New Roman" w:cs="Times New Roman"/>
                <w:sz w:val="28"/>
                <w:szCs w:val="28"/>
              </w:rPr>
              <w:t xml:space="preserve"> та суб'єктів господарювання вигода полягає у створенні правових</w:t>
            </w:r>
            <w:r w:rsidRPr="00EE0559">
              <w:rPr>
                <w:sz w:val="28"/>
                <w:szCs w:val="28"/>
              </w:rPr>
              <w:t xml:space="preserve"> </w:t>
            </w:r>
            <w:r w:rsidRPr="00EE0559">
              <w:rPr>
                <w:rFonts w:ascii="Times New Roman" w:eastAsiaTheme="minorEastAsia" w:hAnsi="Times New Roman" w:cs="Times New Roman"/>
                <w:sz w:val="28"/>
                <w:szCs w:val="28"/>
              </w:rPr>
              <w:t xml:space="preserve">підстав для виконання робіт </w:t>
            </w:r>
            <w:r w:rsidR="004F6F46" w:rsidRPr="00EE0559">
              <w:rPr>
                <w:rFonts w:ascii="Times New Roman" w:eastAsiaTheme="minorEastAsia" w:hAnsi="Times New Roman" w:cs="Times New Roman"/>
                <w:sz w:val="28"/>
                <w:szCs w:val="28"/>
              </w:rPr>
              <w:t xml:space="preserve">з забезпечення безпеки мореплавства, маневрування та </w:t>
            </w:r>
            <w:r w:rsidR="004F6F46" w:rsidRPr="00EE0559">
              <w:rPr>
                <w:rFonts w:ascii="Times New Roman" w:eastAsiaTheme="minorEastAsia" w:hAnsi="Times New Roman" w:cs="Times New Roman"/>
                <w:sz w:val="28"/>
                <w:szCs w:val="28"/>
              </w:rPr>
              <w:lastRenderedPageBreak/>
              <w:t xml:space="preserve">стоянки суден на об’єктах портової інфраструктури під час реалізації інфраструктурних проектів </w:t>
            </w:r>
            <w:r w:rsidR="006418F5">
              <w:rPr>
                <w:rFonts w:ascii="Times New Roman" w:eastAsiaTheme="minorEastAsia" w:hAnsi="Times New Roman" w:cs="Times New Roman"/>
                <w:sz w:val="28"/>
                <w:szCs w:val="28"/>
              </w:rPr>
              <w:t>в</w:t>
            </w:r>
            <w:r w:rsidR="006418F5" w:rsidRPr="00EE0559">
              <w:rPr>
                <w:rFonts w:ascii="Times New Roman" w:eastAsiaTheme="minorEastAsia" w:hAnsi="Times New Roman" w:cs="Times New Roman"/>
                <w:sz w:val="28"/>
                <w:szCs w:val="28"/>
              </w:rPr>
              <w:t xml:space="preserve"> </w:t>
            </w:r>
            <w:r w:rsidR="004F6F46" w:rsidRPr="00EE0559">
              <w:rPr>
                <w:rFonts w:ascii="Times New Roman" w:eastAsiaTheme="minorEastAsia" w:hAnsi="Times New Roman" w:cs="Times New Roman"/>
                <w:sz w:val="28"/>
                <w:szCs w:val="28"/>
              </w:rPr>
              <w:t>акваторіях морських портів, метою яких є збільшення глибин для оптимізації експлуатаційних властивостей об’єктів портової інфраструктури шляхом впровадження передових технологій</w:t>
            </w:r>
            <w:r w:rsidR="00C5038C" w:rsidRPr="00EE0559">
              <w:rPr>
                <w:rFonts w:ascii="Times New Roman" w:eastAsiaTheme="minorEastAsia" w:hAnsi="Times New Roman" w:cs="Times New Roman"/>
                <w:sz w:val="28"/>
                <w:szCs w:val="28"/>
              </w:rPr>
              <w:t xml:space="preserve"> </w:t>
            </w:r>
          </w:p>
        </w:tc>
        <w:tc>
          <w:tcPr>
            <w:tcW w:w="2478" w:type="dxa"/>
          </w:tcPr>
          <w:p w:rsidR="006B1BAD" w:rsidRPr="00EE0559" w:rsidRDefault="006B1BAD" w:rsidP="004772DB">
            <w:pPr>
              <w:contextualSpacing/>
              <w:jc w:val="center"/>
              <w:rPr>
                <w:rFonts w:ascii="Times New Roman" w:hAnsi="Times New Roman" w:cs="Times New Roman"/>
                <w:sz w:val="28"/>
                <w:szCs w:val="28"/>
                <w:lang w:eastAsia="en-US"/>
              </w:rPr>
            </w:pPr>
            <w:r w:rsidRPr="00EE0559">
              <w:rPr>
                <w:rFonts w:ascii="Times New Roman" w:eastAsiaTheme="minorEastAsia" w:hAnsi="Times New Roman" w:cs="Times New Roman"/>
                <w:sz w:val="28"/>
                <w:szCs w:val="28"/>
              </w:rPr>
              <w:lastRenderedPageBreak/>
              <w:t xml:space="preserve">У разі прийняття проекту </w:t>
            </w:r>
            <w:r w:rsidR="004772DB">
              <w:rPr>
                <w:rFonts w:ascii="Times New Roman" w:eastAsiaTheme="minorEastAsia" w:hAnsi="Times New Roman" w:cs="Times New Roman"/>
                <w:sz w:val="28"/>
                <w:szCs w:val="28"/>
              </w:rPr>
              <w:t>Постанови</w:t>
            </w:r>
            <w:r w:rsidRPr="00EE0559">
              <w:rPr>
                <w:rFonts w:ascii="Times New Roman" w:eastAsiaTheme="minorEastAsia" w:hAnsi="Times New Roman" w:cs="Times New Roman"/>
                <w:sz w:val="28"/>
                <w:szCs w:val="28"/>
              </w:rPr>
              <w:t xml:space="preserve"> держава або суб'єкти господарювання не нестимуть ніяких матеріальних витрат.</w:t>
            </w:r>
          </w:p>
        </w:tc>
        <w:tc>
          <w:tcPr>
            <w:tcW w:w="2478" w:type="dxa"/>
          </w:tcPr>
          <w:p w:rsidR="006B1BAD" w:rsidRPr="00EE0559" w:rsidRDefault="006B1BAD" w:rsidP="007A1CE7">
            <w:pPr>
              <w:contextualSpacing/>
              <w:jc w:val="center"/>
              <w:rPr>
                <w:rFonts w:ascii="Times New Roman" w:eastAsiaTheme="minorEastAsia" w:hAnsi="Times New Roman" w:cs="Times New Roman"/>
                <w:sz w:val="28"/>
                <w:szCs w:val="28"/>
              </w:rPr>
            </w:pPr>
            <w:r w:rsidRPr="00EE0559">
              <w:rPr>
                <w:rFonts w:ascii="Times New Roman" w:eastAsiaTheme="minorEastAsia" w:hAnsi="Times New Roman" w:cs="Times New Roman"/>
                <w:sz w:val="28"/>
                <w:szCs w:val="28"/>
              </w:rPr>
              <w:t xml:space="preserve">У разі прийняття </w:t>
            </w:r>
            <w:r w:rsidR="007A1CE7">
              <w:rPr>
                <w:rFonts w:ascii="Times New Roman" w:eastAsiaTheme="minorEastAsia" w:hAnsi="Times New Roman" w:cs="Times New Roman"/>
                <w:sz w:val="28"/>
                <w:szCs w:val="28"/>
              </w:rPr>
              <w:t>П</w:t>
            </w:r>
            <w:r w:rsidRPr="00EE0559">
              <w:rPr>
                <w:rFonts w:ascii="Times New Roman" w:eastAsiaTheme="minorEastAsia" w:hAnsi="Times New Roman" w:cs="Times New Roman"/>
                <w:sz w:val="28"/>
                <w:szCs w:val="28"/>
              </w:rPr>
              <w:t xml:space="preserve">останови задекларовані цілі будуть досягнуті повною мірою, що повністю забезпечить потребу у вирішенні проблеми, шляхом </w:t>
            </w:r>
            <w:r w:rsidR="006418F5">
              <w:rPr>
                <w:rFonts w:ascii="Times New Roman" w:eastAsiaTheme="minorEastAsia" w:hAnsi="Times New Roman" w:cs="Times New Roman"/>
                <w:sz w:val="28"/>
                <w:szCs w:val="28"/>
              </w:rPr>
              <w:t xml:space="preserve">доповнення </w:t>
            </w:r>
            <w:r w:rsidRPr="00EE0559">
              <w:rPr>
                <w:rFonts w:ascii="Times New Roman" w:eastAsiaTheme="minorEastAsia" w:hAnsi="Times New Roman" w:cs="Times New Roman"/>
                <w:sz w:val="28"/>
                <w:szCs w:val="28"/>
              </w:rPr>
              <w:t xml:space="preserve">Переліку будівельних робіт, які не потребують </w:t>
            </w:r>
            <w:r w:rsidRPr="00EE0559">
              <w:rPr>
                <w:rFonts w:ascii="Times New Roman" w:eastAsiaTheme="minorEastAsia" w:hAnsi="Times New Roman" w:cs="Times New Roman"/>
                <w:sz w:val="28"/>
                <w:szCs w:val="28"/>
              </w:rPr>
              <w:lastRenderedPageBreak/>
              <w:t>документів, що дають право на їх виконання, та після закінчення яких об'єкт не підлягає прийняттю в експлуатацію.</w:t>
            </w:r>
          </w:p>
        </w:tc>
      </w:tr>
      <w:tr w:rsidR="00EE0559" w:rsidRPr="00EE0559" w:rsidTr="00A41A9B">
        <w:tc>
          <w:tcPr>
            <w:tcW w:w="2477" w:type="dxa"/>
            <w:vAlign w:val="center"/>
          </w:tcPr>
          <w:p w:rsidR="006B1BAD" w:rsidRPr="00EE0559" w:rsidRDefault="006B1BAD" w:rsidP="006B1BAD">
            <w:pPr>
              <w:pStyle w:val="ac"/>
              <w:jc w:val="center"/>
              <w:rPr>
                <w:sz w:val="28"/>
                <w:szCs w:val="28"/>
                <w:lang w:eastAsia="en-US"/>
              </w:rPr>
            </w:pPr>
            <w:r w:rsidRPr="00EE0559">
              <w:rPr>
                <w:sz w:val="28"/>
                <w:szCs w:val="28"/>
              </w:rPr>
              <w:lastRenderedPageBreak/>
              <w:t>Збереження чинного регулювання.</w:t>
            </w:r>
          </w:p>
        </w:tc>
        <w:tc>
          <w:tcPr>
            <w:tcW w:w="2478" w:type="dxa"/>
          </w:tcPr>
          <w:p w:rsidR="006B1BAD" w:rsidRPr="00EE0559" w:rsidRDefault="006B1BAD" w:rsidP="006418F5">
            <w:pPr>
              <w:pStyle w:val="ac"/>
              <w:jc w:val="center"/>
              <w:rPr>
                <w:sz w:val="28"/>
                <w:szCs w:val="28"/>
              </w:rPr>
            </w:pPr>
            <w:r w:rsidRPr="00EE0559">
              <w:rPr>
                <w:sz w:val="28"/>
                <w:szCs w:val="28"/>
              </w:rPr>
              <w:t>У разі залишення існуючої на даний момент ситуації без змін, вигоди для держави, та суб'єктів господарювання відсутні.</w:t>
            </w:r>
          </w:p>
        </w:tc>
        <w:tc>
          <w:tcPr>
            <w:tcW w:w="2478" w:type="dxa"/>
            <w:vAlign w:val="center"/>
          </w:tcPr>
          <w:p w:rsidR="006B1BAD" w:rsidRPr="00EE0559" w:rsidRDefault="006B1BAD" w:rsidP="006418F5">
            <w:pPr>
              <w:pStyle w:val="ac"/>
              <w:jc w:val="center"/>
              <w:rPr>
                <w:sz w:val="28"/>
                <w:szCs w:val="28"/>
              </w:rPr>
            </w:pPr>
            <w:r w:rsidRPr="00EE0559">
              <w:rPr>
                <w:sz w:val="28"/>
                <w:szCs w:val="28"/>
              </w:rPr>
              <w:t>У разі залишення існуючої ситуації без змін, витрати для держави та суб'єктів господарювання відсутні.</w:t>
            </w:r>
          </w:p>
        </w:tc>
        <w:tc>
          <w:tcPr>
            <w:tcW w:w="2478" w:type="dxa"/>
            <w:vAlign w:val="center"/>
          </w:tcPr>
          <w:p w:rsidR="006B1BAD" w:rsidRPr="00EE0559" w:rsidRDefault="006B1BAD" w:rsidP="00A41A9B">
            <w:pPr>
              <w:pStyle w:val="ac"/>
              <w:jc w:val="center"/>
              <w:rPr>
                <w:sz w:val="28"/>
                <w:szCs w:val="28"/>
              </w:rPr>
            </w:pPr>
            <w:r w:rsidRPr="00EE0559">
              <w:rPr>
                <w:sz w:val="28"/>
                <w:szCs w:val="28"/>
              </w:rPr>
              <w:t>У разі залишення існуючої на даний момент ситуації без змін проблема продовжуватиме існувати.</w:t>
            </w:r>
          </w:p>
        </w:tc>
      </w:tr>
    </w:tbl>
    <w:p w:rsidR="00B75B85" w:rsidRPr="00EE0559" w:rsidRDefault="00B75B85" w:rsidP="0035236F">
      <w:pPr>
        <w:spacing w:after="0" w:line="240" w:lineRule="auto"/>
        <w:contextualSpacing/>
        <w:jc w:val="center"/>
        <w:rPr>
          <w:rFonts w:ascii="Times New Roman" w:hAnsi="Times New Roman" w:cs="Times New Roman"/>
          <w:sz w:val="28"/>
          <w:szCs w:val="28"/>
          <w:lang w:eastAsia="en-US"/>
        </w:rPr>
      </w:pPr>
    </w:p>
    <w:p w:rsidR="00B75B85" w:rsidRPr="00EE0559" w:rsidRDefault="00B75B85" w:rsidP="0035236F">
      <w:pPr>
        <w:spacing w:after="0" w:line="240" w:lineRule="auto"/>
        <w:contextualSpacing/>
        <w:jc w:val="center"/>
        <w:rPr>
          <w:rFonts w:ascii="Times New Roman" w:hAnsi="Times New Roman" w:cs="Times New Roman"/>
          <w:sz w:val="28"/>
          <w:szCs w:val="28"/>
          <w:lang w:eastAsia="en-US"/>
        </w:rPr>
      </w:pPr>
    </w:p>
    <w:tbl>
      <w:tblPr>
        <w:tblStyle w:val="af"/>
        <w:tblW w:w="0" w:type="auto"/>
        <w:tblLook w:val="04A0" w:firstRow="1" w:lastRow="0" w:firstColumn="1" w:lastColumn="0" w:noHBand="0" w:noVBand="1"/>
      </w:tblPr>
      <w:tblGrid>
        <w:gridCol w:w="2122"/>
        <w:gridCol w:w="4819"/>
        <w:gridCol w:w="2970"/>
      </w:tblGrid>
      <w:tr w:rsidR="00EE0559" w:rsidRPr="00EE0559" w:rsidTr="00B75B85">
        <w:tc>
          <w:tcPr>
            <w:tcW w:w="2122" w:type="dxa"/>
            <w:vAlign w:val="center"/>
          </w:tcPr>
          <w:p w:rsidR="008969AE" w:rsidRPr="00EE0559" w:rsidRDefault="008969AE" w:rsidP="00B75B85">
            <w:pPr>
              <w:pStyle w:val="ac"/>
              <w:jc w:val="center"/>
              <w:rPr>
                <w:sz w:val="28"/>
                <w:szCs w:val="28"/>
              </w:rPr>
            </w:pPr>
            <w:r w:rsidRPr="00EE0559">
              <w:rPr>
                <w:sz w:val="28"/>
                <w:szCs w:val="28"/>
              </w:rPr>
              <w:t>Рейтинг</w:t>
            </w:r>
          </w:p>
        </w:tc>
        <w:tc>
          <w:tcPr>
            <w:tcW w:w="4819" w:type="dxa"/>
          </w:tcPr>
          <w:p w:rsidR="008969AE" w:rsidRPr="00EE0559" w:rsidRDefault="00C2545D" w:rsidP="00B75B85">
            <w:pPr>
              <w:pStyle w:val="ac"/>
              <w:jc w:val="center"/>
              <w:rPr>
                <w:sz w:val="28"/>
                <w:szCs w:val="28"/>
              </w:rPr>
            </w:pPr>
            <w:r w:rsidRPr="00EE0559">
              <w:rPr>
                <w:sz w:val="28"/>
                <w:szCs w:val="28"/>
              </w:rPr>
              <w:t>Аргументи щодо переваги обраної альтернативи / причини відмови від альтернативи</w:t>
            </w:r>
          </w:p>
        </w:tc>
        <w:tc>
          <w:tcPr>
            <w:tcW w:w="2970" w:type="dxa"/>
          </w:tcPr>
          <w:p w:rsidR="008969AE" w:rsidRPr="00EE0559" w:rsidRDefault="00C2545D" w:rsidP="00B75B85">
            <w:pPr>
              <w:pStyle w:val="ac"/>
              <w:jc w:val="center"/>
              <w:rPr>
                <w:sz w:val="28"/>
                <w:szCs w:val="28"/>
              </w:rPr>
            </w:pPr>
            <w:r w:rsidRPr="00EE0559">
              <w:rPr>
                <w:sz w:val="28"/>
                <w:szCs w:val="28"/>
              </w:rPr>
              <w:t>Оцінка ризику зовнішніх чинників на дію запропонованого регуляторного акта</w:t>
            </w:r>
          </w:p>
        </w:tc>
      </w:tr>
      <w:tr w:rsidR="00EE0559" w:rsidRPr="00EE0559" w:rsidTr="00B75B85">
        <w:tc>
          <w:tcPr>
            <w:tcW w:w="2122" w:type="dxa"/>
            <w:vAlign w:val="center"/>
          </w:tcPr>
          <w:p w:rsidR="008969AE" w:rsidRPr="00EE0559" w:rsidRDefault="008969AE" w:rsidP="00B75B85">
            <w:pPr>
              <w:pStyle w:val="ac"/>
              <w:jc w:val="center"/>
              <w:rPr>
                <w:sz w:val="28"/>
                <w:szCs w:val="28"/>
              </w:rPr>
            </w:pPr>
            <w:r w:rsidRPr="00EE0559">
              <w:rPr>
                <w:sz w:val="28"/>
                <w:szCs w:val="28"/>
              </w:rPr>
              <w:t>Збереження чинного регулювання.</w:t>
            </w:r>
          </w:p>
        </w:tc>
        <w:tc>
          <w:tcPr>
            <w:tcW w:w="4819" w:type="dxa"/>
            <w:vAlign w:val="center"/>
          </w:tcPr>
          <w:p w:rsidR="008969AE" w:rsidRPr="00EE0559" w:rsidRDefault="00C2545D" w:rsidP="00794A56">
            <w:pPr>
              <w:pStyle w:val="ac"/>
              <w:jc w:val="center"/>
              <w:rPr>
                <w:sz w:val="28"/>
                <w:szCs w:val="28"/>
              </w:rPr>
            </w:pPr>
            <w:r w:rsidRPr="00EE0559">
              <w:rPr>
                <w:sz w:val="28"/>
                <w:szCs w:val="28"/>
              </w:rPr>
              <w:t xml:space="preserve">Не забезпечується досягнення цілей, отже залишається неврегульованим питання щодо створення </w:t>
            </w:r>
            <w:r w:rsidR="00C50BA8" w:rsidRPr="00EE0559">
              <w:rPr>
                <w:sz w:val="28"/>
                <w:szCs w:val="28"/>
              </w:rPr>
              <w:t xml:space="preserve">правових умов для виконання будівельних робіт на землях водного фонду з будівництва, реконструкції, технічного переоснащення та капітального ремонту гідротехнічних споруд </w:t>
            </w:r>
            <w:r w:rsidR="006418F5">
              <w:rPr>
                <w:sz w:val="28"/>
                <w:szCs w:val="28"/>
              </w:rPr>
              <w:t>(</w:t>
            </w:r>
            <w:r w:rsidR="00C50BA8" w:rsidRPr="00EE0559">
              <w:rPr>
                <w:sz w:val="28"/>
                <w:szCs w:val="28"/>
              </w:rPr>
              <w:t xml:space="preserve">акваторій морських портів (портових акваторій), внутрішніх </w:t>
            </w:r>
            <w:r w:rsidR="00C50BA8" w:rsidRPr="00EE0559">
              <w:rPr>
                <w:sz w:val="28"/>
                <w:szCs w:val="28"/>
              </w:rPr>
              <w:lastRenderedPageBreak/>
              <w:t>підхідних каналів, судноплавних каналів, операційних акваторій причалів, якірних стоянок, а також інших підводних гідротехнічних споруд штучного та природного походження, в тому числі розташованих в межах акваторій морських портів і призначених для забезпечення безпеки мореплавства, маневрування та стоянки суден</w:t>
            </w:r>
            <w:r w:rsidR="00794A56">
              <w:rPr>
                <w:sz w:val="28"/>
                <w:szCs w:val="28"/>
              </w:rPr>
              <w:t>)</w:t>
            </w:r>
            <w:r w:rsidR="00C50BA8" w:rsidRPr="00EE0559">
              <w:rPr>
                <w:sz w:val="28"/>
                <w:szCs w:val="28"/>
              </w:rPr>
              <w:t xml:space="preserve"> без оформлення документів, що дають право на їх виконання з подальшим прийняттям в експлуатацію</w:t>
            </w:r>
            <w:r w:rsidR="00794A56">
              <w:rPr>
                <w:sz w:val="28"/>
                <w:szCs w:val="28"/>
              </w:rPr>
              <w:t>.</w:t>
            </w:r>
          </w:p>
        </w:tc>
        <w:tc>
          <w:tcPr>
            <w:tcW w:w="2970" w:type="dxa"/>
            <w:vAlign w:val="center"/>
          </w:tcPr>
          <w:p w:rsidR="008969AE" w:rsidRPr="00EE0559" w:rsidRDefault="00C2545D" w:rsidP="00B75B85">
            <w:pPr>
              <w:pStyle w:val="ac"/>
              <w:jc w:val="center"/>
              <w:rPr>
                <w:sz w:val="28"/>
                <w:szCs w:val="28"/>
              </w:rPr>
            </w:pPr>
            <w:r w:rsidRPr="00EE0559">
              <w:rPr>
                <w:sz w:val="28"/>
                <w:szCs w:val="28"/>
              </w:rPr>
              <w:lastRenderedPageBreak/>
              <w:t>Зовнішні чинники на дію регуляторного акта у разі залишення існуючої на даний момент ситуації без змін відсутні.</w:t>
            </w:r>
          </w:p>
        </w:tc>
      </w:tr>
      <w:tr w:rsidR="008969AE" w:rsidRPr="00EE0559" w:rsidTr="00B75B85">
        <w:tc>
          <w:tcPr>
            <w:tcW w:w="2122" w:type="dxa"/>
            <w:vAlign w:val="center"/>
          </w:tcPr>
          <w:p w:rsidR="008969AE" w:rsidRPr="00EE0559" w:rsidRDefault="008969AE" w:rsidP="004772DB">
            <w:pPr>
              <w:pStyle w:val="ac"/>
              <w:jc w:val="center"/>
              <w:rPr>
                <w:sz w:val="28"/>
                <w:szCs w:val="28"/>
              </w:rPr>
            </w:pPr>
            <w:r w:rsidRPr="00EE0559">
              <w:rPr>
                <w:sz w:val="28"/>
                <w:szCs w:val="28"/>
              </w:rPr>
              <w:t xml:space="preserve">Прийняття проекту </w:t>
            </w:r>
            <w:r w:rsidR="004772DB">
              <w:rPr>
                <w:sz w:val="28"/>
                <w:szCs w:val="28"/>
              </w:rPr>
              <w:t>П</w:t>
            </w:r>
            <w:r w:rsidRPr="00EE0559">
              <w:rPr>
                <w:sz w:val="28"/>
                <w:szCs w:val="28"/>
              </w:rPr>
              <w:t>останови.</w:t>
            </w:r>
          </w:p>
        </w:tc>
        <w:tc>
          <w:tcPr>
            <w:tcW w:w="4819" w:type="dxa"/>
            <w:vAlign w:val="center"/>
          </w:tcPr>
          <w:p w:rsidR="008969AE" w:rsidRPr="00EE0559" w:rsidRDefault="00C2545D" w:rsidP="00EE0559">
            <w:pPr>
              <w:pStyle w:val="ac"/>
              <w:jc w:val="center"/>
              <w:rPr>
                <w:sz w:val="28"/>
                <w:szCs w:val="28"/>
              </w:rPr>
            </w:pPr>
            <w:r w:rsidRPr="00EE0559">
              <w:rPr>
                <w:sz w:val="28"/>
                <w:szCs w:val="28"/>
              </w:rPr>
              <w:t xml:space="preserve">Прийняття акта забезпечить повною мірою досягнення поставленої мети за рахунок </w:t>
            </w:r>
            <w:r w:rsidR="00EE0559" w:rsidRPr="00EE0559">
              <w:rPr>
                <w:sz w:val="28"/>
                <w:szCs w:val="28"/>
              </w:rPr>
              <w:t xml:space="preserve">внесення відповідних змін до </w:t>
            </w:r>
            <w:r w:rsidRPr="00EE0559">
              <w:rPr>
                <w:sz w:val="28"/>
                <w:szCs w:val="28"/>
              </w:rPr>
              <w:t>Переліку будівельних робіт, які не потребують документів, що дають право на їх виконання, та після закінчення яких об'єкт не підлягає прийняттю в експлуатацію.</w:t>
            </w:r>
          </w:p>
        </w:tc>
        <w:tc>
          <w:tcPr>
            <w:tcW w:w="2970" w:type="dxa"/>
            <w:vAlign w:val="center"/>
          </w:tcPr>
          <w:p w:rsidR="008969AE" w:rsidRPr="00EE0559" w:rsidRDefault="00C2545D" w:rsidP="00B75B85">
            <w:pPr>
              <w:pStyle w:val="ac"/>
              <w:jc w:val="center"/>
              <w:rPr>
                <w:sz w:val="28"/>
                <w:szCs w:val="28"/>
              </w:rPr>
            </w:pPr>
            <w:r w:rsidRPr="00EE0559">
              <w:rPr>
                <w:sz w:val="28"/>
                <w:szCs w:val="28"/>
              </w:rPr>
              <w:t>Зовнішні чинники на дію регуляторного акта у разі залишення існуючої на даний момент ситуації без змін відсутні.</w:t>
            </w:r>
          </w:p>
        </w:tc>
      </w:tr>
    </w:tbl>
    <w:p w:rsidR="008969AE" w:rsidRPr="00EE0559" w:rsidRDefault="008969AE" w:rsidP="0035236F">
      <w:pPr>
        <w:spacing w:after="0" w:line="240" w:lineRule="auto"/>
        <w:contextualSpacing/>
        <w:jc w:val="center"/>
        <w:rPr>
          <w:rFonts w:ascii="Times New Roman" w:hAnsi="Times New Roman" w:cs="Times New Roman"/>
          <w:sz w:val="28"/>
          <w:szCs w:val="28"/>
          <w:lang w:eastAsia="en-US"/>
        </w:rPr>
      </w:pPr>
    </w:p>
    <w:p w:rsidR="00D35279" w:rsidRPr="009F6537" w:rsidRDefault="00D35279" w:rsidP="00012081">
      <w:pPr>
        <w:spacing w:after="0" w:line="240" w:lineRule="auto"/>
        <w:contextualSpacing/>
        <w:jc w:val="center"/>
        <w:rPr>
          <w:rFonts w:ascii="Times New Roman" w:hAnsi="Times New Roman" w:cs="Times New Roman"/>
          <w:b/>
          <w:sz w:val="28"/>
          <w:szCs w:val="28"/>
          <w:lang w:eastAsia="en-US"/>
        </w:rPr>
      </w:pPr>
      <w:r w:rsidRPr="009F6537">
        <w:rPr>
          <w:rFonts w:ascii="Times New Roman" w:hAnsi="Times New Roman" w:cs="Times New Roman"/>
          <w:b/>
          <w:sz w:val="28"/>
          <w:szCs w:val="28"/>
          <w:lang w:eastAsia="en-US"/>
        </w:rPr>
        <w:t>V. Механізми та заходи, які забезпечать розв'язання визначеної проблеми</w:t>
      </w:r>
    </w:p>
    <w:p w:rsidR="00483E85" w:rsidRPr="009F6537" w:rsidRDefault="00483E85" w:rsidP="00483E85">
      <w:pPr>
        <w:pStyle w:val="ac"/>
        <w:spacing w:before="0" w:beforeAutospacing="0" w:after="0" w:afterAutospacing="0"/>
        <w:ind w:firstLine="720"/>
        <w:jc w:val="both"/>
        <w:rPr>
          <w:rFonts w:eastAsia="Times New Roman"/>
          <w:sz w:val="28"/>
          <w:szCs w:val="28"/>
          <w:lang w:eastAsia="ru-RU"/>
        </w:rPr>
      </w:pPr>
    </w:p>
    <w:p w:rsidR="00F55CA1" w:rsidRPr="009F6537" w:rsidRDefault="00F55CA1" w:rsidP="00F55CA1">
      <w:pPr>
        <w:pStyle w:val="ac"/>
        <w:spacing w:before="0" w:beforeAutospacing="0" w:after="0" w:afterAutospacing="0"/>
        <w:ind w:firstLine="720"/>
        <w:jc w:val="both"/>
        <w:rPr>
          <w:sz w:val="28"/>
          <w:szCs w:val="28"/>
        </w:rPr>
      </w:pPr>
      <w:r w:rsidRPr="009F6537">
        <w:rPr>
          <w:rFonts w:eastAsia="Times New Roman"/>
          <w:sz w:val="28"/>
          <w:szCs w:val="28"/>
          <w:lang w:eastAsia="ru-RU"/>
        </w:rPr>
        <w:t xml:space="preserve">Механізмом, який забезпечить розв’язання зазначеної проблеми, є прийняття проекту </w:t>
      </w:r>
      <w:r w:rsidR="004772DB" w:rsidRPr="009F6537">
        <w:rPr>
          <w:rFonts w:eastAsia="Times New Roman"/>
          <w:sz w:val="28"/>
          <w:szCs w:val="28"/>
          <w:lang w:eastAsia="ru-RU"/>
        </w:rPr>
        <w:t>Постанови</w:t>
      </w:r>
      <w:r w:rsidRPr="009F6537">
        <w:rPr>
          <w:sz w:val="28"/>
          <w:szCs w:val="28"/>
        </w:rPr>
        <w:t xml:space="preserve">. </w:t>
      </w:r>
    </w:p>
    <w:p w:rsidR="00F55CA1" w:rsidRPr="009F6537" w:rsidRDefault="004772DB" w:rsidP="00F55CA1">
      <w:pPr>
        <w:pStyle w:val="ac"/>
        <w:spacing w:before="0" w:beforeAutospacing="0" w:after="0" w:afterAutospacing="0"/>
        <w:ind w:firstLine="720"/>
        <w:jc w:val="both"/>
        <w:rPr>
          <w:rFonts w:eastAsia="Times New Roman"/>
          <w:sz w:val="28"/>
          <w:szCs w:val="28"/>
          <w:lang w:eastAsia="ru-RU"/>
        </w:rPr>
      </w:pPr>
      <w:r w:rsidRPr="009F6537">
        <w:rPr>
          <w:rFonts w:eastAsia="Times New Roman"/>
          <w:sz w:val="28"/>
          <w:szCs w:val="28"/>
          <w:lang w:eastAsia="ru-RU"/>
        </w:rPr>
        <w:t>Проектом П</w:t>
      </w:r>
      <w:r w:rsidR="00F55CA1" w:rsidRPr="009F6537">
        <w:rPr>
          <w:rFonts w:eastAsia="Times New Roman"/>
          <w:sz w:val="28"/>
          <w:szCs w:val="28"/>
          <w:lang w:eastAsia="ru-RU"/>
        </w:rPr>
        <w:t>останови передбачається розширен</w:t>
      </w:r>
      <w:r w:rsidR="001C5697" w:rsidRPr="009F6537">
        <w:rPr>
          <w:rFonts w:eastAsia="Times New Roman"/>
          <w:sz w:val="28"/>
          <w:szCs w:val="28"/>
          <w:lang w:eastAsia="ru-RU"/>
        </w:rPr>
        <w:t>н</w:t>
      </w:r>
      <w:r w:rsidR="004A6D30" w:rsidRPr="009F6537">
        <w:rPr>
          <w:rFonts w:eastAsia="Times New Roman"/>
          <w:sz w:val="28"/>
          <w:szCs w:val="28"/>
          <w:lang w:eastAsia="ru-RU"/>
        </w:rPr>
        <w:t>я</w:t>
      </w:r>
      <w:r w:rsidR="00F55CA1" w:rsidRPr="009F6537">
        <w:rPr>
          <w:rFonts w:eastAsia="Times New Roman"/>
          <w:sz w:val="28"/>
          <w:szCs w:val="28"/>
          <w:lang w:eastAsia="ru-RU"/>
        </w:rPr>
        <w:t xml:space="preserve"> Перелі</w:t>
      </w:r>
      <w:r w:rsidR="001C5697" w:rsidRPr="009F6537">
        <w:rPr>
          <w:rFonts w:eastAsia="Times New Roman"/>
          <w:sz w:val="28"/>
          <w:szCs w:val="28"/>
          <w:lang w:eastAsia="ru-RU"/>
        </w:rPr>
        <w:t xml:space="preserve">ку </w:t>
      </w:r>
      <w:r w:rsidR="00F55CA1" w:rsidRPr="009F6537">
        <w:rPr>
          <w:rFonts w:eastAsia="Times New Roman"/>
          <w:sz w:val="28"/>
          <w:szCs w:val="28"/>
          <w:lang w:eastAsia="ru-RU"/>
        </w:rPr>
        <w:t xml:space="preserve">будівельних робіт, які не потребують документів, що дають право на їх виконання, та після закінчення яких об'єкт не підлягає прийняттю в експлуатацію, </w:t>
      </w:r>
      <w:r w:rsidR="004A6D30" w:rsidRPr="009F6537">
        <w:rPr>
          <w:rFonts w:eastAsia="Times New Roman"/>
          <w:sz w:val="28"/>
          <w:szCs w:val="28"/>
          <w:lang w:eastAsia="ru-RU"/>
        </w:rPr>
        <w:t xml:space="preserve">шляхом його доповнення </w:t>
      </w:r>
      <w:r w:rsidR="00F55CA1" w:rsidRPr="009F6537">
        <w:rPr>
          <w:rFonts w:eastAsia="Times New Roman"/>
          <w:sz w:val="28"/>
          <w:szCs w:val="28"/>
          <w:lang w:eastAsia="ru-RU"/>
        </w:rPr>
        <w:t>роб</w:t>
      </w:r>
      <w:r w:rsidR="009F6537" w:rsidRPr="009F6537">
        <w:rPr>
          <w:rFonts w:eastAsia="Times New Roman"/>
          <w:sz w:val="28"/>
          <w:szCs w:val="28"/>
          <w:lang w:eastAsia="ru-RU"/>
        </w:rPr>
        <w:t>от</w:t>
      </w:r>
      <w:r w:rsidR="004A6D30" w:rsidRPr="009F6537">
        <w:rPr>
          <w:rFonts w:eastAsia="Times New Roman"/>
          <w:sz w:val="28"/>
          <w:szCs w:val="28"/>
          <w:lang w:eastAsia="ru-RU"/>
        </w:rPr>
        <w:t>ами</w:t>
      </w:r>
      <w:r w:rsidR="00F55CA1" w:rsidRPr="009F6537">
        <w:rPr>
          <w:rFonts w:eastAsia="Times New Roman"/>
          <w:sz w:val="28"/>
          <w:szCs w:val="28"/>
          <w:lang w:eastAsia="ru-RU"/>
        </w:rPr>
        <w:t xml:space="preserve"> з будівництва реконструкції, капітального ремонту та технічного переоснащення гідротехнічних споруд, а саме: акваторій морських портів (портових акваторій), внутрішніх підхідних, судноплавних каналів, операційних акваторій причалів, якірних стоянок, а також інших підводних гідротехнічних споруд штучного та природного походження, в тому числі розташованих в межах акваторії морського порту і призначених для забезпечення безпеки мореплавства, маневрування та стоянки суден.</w:t>
      </w:r>
    </w:p>
    <w:p w:rsidR="004A6D30" w:rsidRDefault="004A6D30" w:rsidP="00F55CA1">
      <w:pPr>
        <w:pStyle w:val="ac"/>
        <w:spacing w:before="0" w:beforeAutospacing="0" w:after="0" w:afterAutospacing="0"/>
        <w:ind w:firstLine="720"/>
        <w:jc w:val="both"/>
        <w:rPr>
          <w:rFonts w:eastAsia="Times New Roman"/>
          <w:sz w:val="28"/>
          <w:szCs w:val="28"/>
          <w:lang w:eastAsia="ru-RU"/>
        </w:rPr>
      </w:pPr>
      <w:r w:rsidRPr="009F6537">
        <w:rPr>
          <w:rFonts w:eastAsia="Times New Roman"/>
          <w:sz w:val="28"/>
          <w:szCs w:val="28"/>
          <w:lang w:eastAsia="ru-RU"/>
        </w:rPr>
        <w:t>У зв’язку</w:t>
      </w:r>
      <w:r w:rsidR="001C5697" w:rsidRPr="009F6537">
        <w:rPr>
          <w:rFonts w:eastAsia="Times New Roman"/>
          <w:sz w:val="28"/>
          <w:szCs w:val="28"/>
          <w:lang w:eastAsia="ru-RU"/>
        </w:rPr>
        <w:t xml:space="preserve"> із запропонованими змінами, виконання будівельних робіт, в тому числі робіт </w:t>
      </w:r>
      <w:r w:rsidRPr="004A6D30">
        <w:rPr>
          <w:rFonts w:eastAsia="Times New Roman"/>
          <w:sz w:val="28"/>
          <w:szCs w:val="28"/>
          <w:lang w:eastAsia="ru-RU"/>
        </w:rPr>
        <w:t xml:space="preserve">з реконструкції, капітального ремонту та технічного переоснащення гідротехнічних споруд, а саме: акваторій морських портів (портових акваторій), внутрішніх підхідних, судноплавних каналів, операційних акваторій причалів, якірних стоянок, а також інших підводних гідротехнічних споруд штучного та природного походження, в тому числі розташованих в межах акваторії морського порту і призначених для забезпечення безпеки мореплавства, маневрування та </w:t>
      </w:r>
      <w:r w:rsidRPr="004A6D30">
        <w:rPr>
          <w:rFonts w:eastAsia="Times New Roman"/>
          <w:sz w:val="28"/>
          <w:szCs w:val="28"/>
          <w:lang w:eastAsia="ru-RU"/>
        </w:rPr>
        <w:lastRenderedPageBreak/>
        <w:t>стоянки суден</w:t>
      </w:r>
      <w:r>
        <w:rPr>
          <w:rFonts w:eastAsia="Times New Roman"/>
          <w:sz w:val="28"/>
          <w:szCs w:val="28"/>
          <w:lang w:eastAsia="ru-RU"/>
        </w:rPr>
        <w:t xml:space="preserve"> здійснюватиметься в коротші строки</w:t>
      </w:r>
      <w:r w:rsidR="00B34F20">
        <w:rPr>
          <w:rFonts w:eastAsia="Times New Roman"/>
          <w:sz w:val="28"/>
          <w:szCs w:val="28"/>
          <w:lang w:eastAsia="ru-RU"/>
        </w:rPr>
        <w:t>, у зв’язку з відсутністю потреби в отриманні дозвільних документів на проведення таких робіт</w:t>
      </w:r>
      <w:r w:rsidRPr="004A6D30">
        <w:rPr>
          <w:rFonts w:eastAsia="Times New Roman"/>
          <w:sz w:val="28"/>
          <w:szCs w:val="28"/>
          <w:lang w:eastAsia="ru-RU"/>
        </w:rPr>
        <w:t>.</w:t>
      </w:r>
    </w:p>
    <w:p w:rsidR="00F63CFB" w:rsidRDefault="004A6D30" w:rsidP="00F55CA1">
      <w:pPr>
        <w:pStyle w:val="ac"/>
        <w:spacing w:before="0" w:beforeAutospacing="0" w:after="0" w:afterAutospacing="0"/>
        <w:ind w:firstLine="720"/>
        <w:jc w:val="both"/>
        <w:rPr>
          <w:rFonts w:eastAsia="Times New Roman"/>
          <w:sz w:val="28"/>
          <w:szCs w:val="28"/>
          <w:lang w:eastAsia="ru-RU"/>
        </w:rPr>
      </w:pPr>
      <w:r>
        <w:rPr>
          <w:rFonts w:eastAsia="Times New Roman"/>
          <w:sz w:val="28"/>
          <w:szCs w:val="28"/>
          <w:lang w:eastAsia="ru-RU"/>
        </w:rPr>
        <w:t xml:space="preserve">Крім цього, такі об’єкти не потребуватимуть проходження процедури прийняття об’єкта в експлуатацію, що здійснюється </w:t>
      </w:r>
      <w:r w:rsidR="009263BD">
        <w:rPr>
          <w:rFonts w:eastAsia="Times New Roman"/>
          <w:sz w:val="28"/>
          <w:szCs w:val="28"/>
          <w:lang w:eastAsia="ru-RU"/>
        </w:rPr>
        <w:t xml:space="preserve">відповідно до Закону України «Про регулювання містобудівної діяльності» </w:t>
      </w:r>
      <w:r>
        <w:rPr>
          <w:rFonts w:eastAsia="Times New Roman"/>
          <w:sz w:val="28"/>
          <w:szCs w:val="28"/>
          <w:lang w:eastAsia="ru-RU"/>
        </w:rPr>
        <w:t>на підставі акта готовності об’єкта, шляхом видачі органами державног</w:t>
      </w:r>
      <w:r w:rsidR="009263BD">
        <w:rPr>
          <w:rFonts w:eastAsia="Times New Roman"/>
          <w:sz w:val="28"/>
          <w:szCs w:val="28"/>
          <w:lang w:eastAsia="ru-RU"/>
        </w:rPr>
        <w:t>о</w:t>
      </w:r>
      <w:r>
        <w:rPr>
          <w:rFonts w:eastAsia="Times New Roman"/>
          <w:sz w:val="28"/>
          <w:szCs w:val="28"/>
          <w:lang w:eastAsia="ru-RU"/>
        </w:rPr>
        <w:t xml:space="preserve"> архітектурно-будівельного контролю сертифіката</w:t>
      </w:r>
      <w:r w:rsidR="009263BD">
        <w:rPr>
          <w:rFonts w:eastAsia="Times New Roman"/>
          <w:sz w:val="28"/>
          <w:szCs w:val="28"/>
          <w:lang w:eastAsia="ru-RU"/>
        </w:rPr>
        <w:t xml:space="preserve">, а отже за результатами </w:t>
      </w:r>
      <w:r w:rsidR="00F63CFB">
        <w:rPr>
          <w:rFonts w:eastAsia="Times New Roman"/>
          <w:sz w:val="28"/>
          <w:szCs w:val="28"/>
          <w:lang w:eastAsia="ru-RU"/>
        </w:rPr>
        <w:t xml:space="preserve">виконання </w:t>
      </w:r>
      <w:r w:rsidR="009263BD">
        <w:rPr>
          <w:rFonts w:eastAsia="Times New Roman"/>
          <w:sz w:val="28"/>
          <w:szCs w:val="28"/>
          <w:lang w:eastAsia="ru-RU"/>
        </w:rPr>
        <w:t xml:space="preserve">днопоглиблювальних робіт в </w:t>
      </w:r>
      <w:r w:rsidR="009263BD" w:rsidRPr="004A6D30">
        <w:rPr>
          <w:rFonts w:eastAsia="Times New Roman"/>
          <w:sz w:val="28"/>
          <w:szCs w:val="28"/>
          <w:lang w:eastAsia="ru-RU"/>
        </w:rPr>
        <w:t>акваторі</w:t>
      </w:r>
      <w:r w:rsidR="009263BD">
        <w:rPr>
          <w:rFonts w:eastAsia="Times New Roman"/>
          <w:sz w:val="28"/>
          <w:szCs w:val="28"/>
          <w:lang w:eastAsia="ru-RU"/>
        </w:rPr>
        <w:t>ї</w:t>
      </w:r>
      <w:r w:rsidR="009263BD" w:rsidRPr="004A6D30">
        <w:rPr>
          <w:rFonts w:eastAsia="Times New Roman"/>
          <w:sz w:val="28"/>
          <w:szCs w:val="28"/>
          <w:lang w:eastAsia="ru-RU"/>
        </w:rPr>
        <w:t xml:space="preserve"> морських портів (портових акваторій), внутрішні</w:t>
      </w:r>
      <w:r w:rsidR="009263BD">
        <w:rPr>
          <w:rFonts w:eastAsia="Times New Roman"/>
          <w:sz w:val="28"/>
          <w:szCs w:val="28"/>
          <w:lang w:eastAsia="ru-RU"/>
        </w:rPr>
        <w:t>х підхідних, судноплавних канал</w:t>
      </w:r>
      <w:r w:rsidR="00F63CFB">
        <w:rPr>
          <w:rFonts w:eastAsia="Times New Roman"/>
          <w:sz w:val="28"/>
          <w:szCs w:val="28"/>
          <w:lang w:eastAsia="ru-RU"/>
        </w:rPr>
        <w:t>ах</w:t>
      </w:r>
      <w:r w:rsidR="009263BD" w:rsidRPr="004A6D30">
        <w:rPr>
          <w:rFonts w:eastAsia="Times New Roman"/>
          <w:sz w:val="28"/>
          <w:szCs w:val="28"/>
          <w:lang w:eastAsia="ru-RU"/>
        </w:rPr>
        <w:t>, операційних акваторі</w:t>
      </w:r>
      <w:r w:rsidR="00F63CFB">
        <w:rPr>
          <w:rFonts w:eastAsia="Times New Roman"/>
          <w:sz w:val="28"/>
          <w:szCs w:val="28"/>
          <w:lang w:eastAsia="ru-RU"/>
        </w:rPr>
        <w:t>ях</w:t>
      </w:r>
      <w:r w:rsidR="009263BD" w:rsidRPr="004A6D30">
        <w:rPr>
          <w:rFonts w:eastAsia="Times New Roman"/>
          <w:sz w:val="28"/>
          <w:szCs w:val="28"/>
          <w:lang w:eastAsia="ru-RU"/>
        </w:rPr>
        <w:t xml:space="preserve"> причалів, якірних стоянк</w:t>
      </w:r>
      <w:r w:rsidR="00F63CFB">
        <w:rPr>
          <w:rFonts w:eastAsia="Times New Roman"/>
          <w:sz w:val="28"/>
          <w:szCs w:val="28"/>
          <w:lang w:eastAsia="ru-RU"/>
        </w:rPr>
        <w:t>ах</w:t>
      </w:r>
      <w:r w:rsidR="009263BD" w:rsidRPr="004A6D30">
        <w:rPr>
          <w:rFonts w:eastAsia="Times New Roman"/>
          <w:sz w:val="28"/>
          <w:szCs w:val="28"/>
          <w:lang w:eastAsia="ru-RU"/>
        </w:rPr>
        <w:t>, а також інших підводних гідротехнічних споруд</w:t>
      </w:r>
      <w:r w:rsidR="00F63CFB">
        <w:rPr>
          <w:rFonts w:eastAsia="Times New Roman"/>
          <w:sz w:val="28"/>
          <w:szCs w:val="28"/>
          <w:lang w:eastAsia="ru-RU"/>
        </w:rPr>
        <w:t>ах</w:t>
      </w:r>
      <w:r w:rsidR="009263BD" w:rsidRPr="004A6D30">
        <w:rPr>
          <w:rFonts w:eastAsia="Times New Roman"/>
          <w:sz w:val="28"/>
          <w:szCs w:val="28"/>
          <w:lang w:eastAsia="ru-RU"/>
        </w:rPr>
        <w:t xml:space="preserve"> штучного та природного походження, в тому числі розташованих в межах акваторії морського порту</w:t>
      </w:r>
      <w:r w:rsidR="009263BD">
        <w:rPr>
          <w:rFonts w:eastAsia="Times New Roman"/>
          <w:sz w:val="28"/>
          <w:szCs w:val="28"/>
          <w:lang w:eastAsia="ru-RU"/>
        </w:rPr>
        <w:t xml:space="preserve">, що за своїм характером </w:t>
      </w:r>
      <w:r w:rsidR="007C497F">
        <w:rPr>
          <w:rFonts w:eastAsia="Times New Roman"/>
          <w:sz w:val="28"/>
          <w:szCs w:val="28"/>
          <w:lang w:eastAsia="ru-RU"/>
        </w:rPr>
        <w:t>належать</w:t>
      </w:r>
      <w:r w:rsidR="009263BD">
        <w:rPr>
          <w:rFonts w:eastAsia="Times New Roman"/>
          <w:sz w:val="28"/>
          <w:szCs w:val="28"/>
          <w:lang w:eastAsia="ru-RU"/>
        </w:rPr>
        <w:t xml:space="preserve"> до будівельних робіт</w:t>
      </w:r>
      <w:r w:rsidR="00B34F20">
        <w:rPr>
          <w:rFonts w:eastAsia="Times New Roman"/>
          <w:sz w:val="28"/>
          <w:szCs w:val="28"/>
          <w:lang w:eastAsia="ru-RU"/>
        </w:rPr>
        <w:t>,</w:t>
      </w:r>
      <w:r w:rsidR="00F63CFB">
        <w:rPr>
          <w:rFonts w:eastAsia="Times New Roman"/>
          <w:sz w:val="28"/>
          <w:szCs w:val="28"/>
          <w:lang w:eastAsia="ru-RU"/>
        </w:rPr>
        <w:t xml:space="preserve"> їх можна </w:t>
      </w:r>
      <w:r w:rsidR="007C497F">
        <w:rPr>
          <w:rFonts w:eastAsia="Times New Roman"/>
          <w:sz w:val="28"/>
          <w:szCs w:val="28"/>
          <w:lang w:eastAsia="ru-RU"/>
        </w:rPr>
        <w:t xml:space="preserve">буде </w:t>
      </w:r>
      <w:r w:rsidR="00F63CFB">
        <w:rPr>
          <w:rFonts w:eastAsia="Times New Roman"/>
          <w:sz w:val="28"/>
          <w:szCs w:val="28"/>
          <w:lang w:eastAsia="ru-RU"/>
        </w:rPr>
        <w:t xml:space="preserve">експлуатувати за результатами закінчення </w:t>
      </w:r>
      <w:r w:rsidR="00B34F20">
        <w:rPr>
          <w:rFonts w:eastAsia="Times New Roman"/>
          <w:sz w:val="28"/>
          <w:szCs w:val="28"/>
          <w:lang w:eastAsia="ru-RU"/>
        </w:rPr>
        <w:t xml:space="preserve">таких </w:t>
      </w:r>
      <w:r w:rsidR="00F63CFB">
        <w:rPr>
          <w:rFonts w:eastAsia="Times New Roman"/>
          <w:sz w:val="28"/>
          <w:szCs w:val="28"/>
          <w:lang w:eastAsia="ru-RU"/>
        </w:rPr>
        <w:t>робіт</w:t>
      </w:r>
      <w:r w:rsidR="001C5697">
        <w:rPr>
          <w:rFonts w:eastAsia="Times New Roman"/>
          <w:sz w:val="28"/>
          <w:szCs w:val="28"/>
          <w:lang w:eastAsia="ru-RU"/>
        </w:rPr>
        <w:t>.</w:t>
      </w:r>
    </w:p>
    <w:p w:rsidR="00F55CA1" w:rsidRDefault="00F55CA1" w:rsidP="00F55CA1">
      <w:pPr>
        <w:pStyle w:val="ac"/>
        <w:spacing w:before="0" w:beforeAutospacing="0" w:after="0" w:afterAutospacing="0"/>
        <w:ind w:firstLine="720"/>
        <w:jc w:val="both"/>
        <w:rPr>
          <w:sz w:val="28"/>
          <w:szCs w:val="28"/>
        </w:rPr>
      </w:pPr>
      <w:r w:rsidRPr="009F6537">
        <w:rPr>
          <w:sz w:val="28"/>
          <w:szCs w:val="28"/>
        </w:rPr>
        <w:t xml:space="preserve">Крім того, для впровадження акта необхідно здійснити такі організаційні заходи: забезпечити інформування громадськості про </w:t>
      </w:r>
      <w:r w:rsidR="00B34F20" w:rsidRPr="009F6537">
        <w:rPr>
          <w:sz w:val="28"/>
          <w:szCs w:val="28"/>
        </w:rPr>
        <w:t xml:space="preserve">внесення зміни до Переліку будівельних робіт, які не потребують документів, що дають право на їх виконання, та після закінчення яких об’єкт не підлягає прийняттю в експлуатацію, затвердженого постановою Кабінету Міністрів України </w:t>
      </w:r>
      <w:r w:rsidR="00A54958" w:rsidRPr="00A54958">
        <w:rPr>
          <w:sz w:val="28"/>
          <w:szCs w:val="28"/>
        </w:rPr>
        <w:t>від 07 червня 2017 р</w:t>
      </w:r>
      <w:r w:rsidR="007A1CE7">
        <w:rPr>
          <w:sz w:val="28"/>
          <w:szCs w:val="28"/>
        </w:rPr>
        <w:t>оку</w:t>
      </w:r>
      <w:r w:rsidR="00A54958" w:rsidRPr="00A54958">
        <w:rPr>
          <w:sz w:val="28"/>
          <w:szCs w:val="28"/>
        </w:rPr>
        <w:t xml:space="preserve"> № 406</w:t>
      </w:r>
      <w:r w:rsidR="00B34F20" w:rsidRPr="009F6537">
        <w:rPr>
          <w:sz w:val="28"/>
          <w:szCs w:val="28"/>
        </w:rPr>
        <w:t xml:space="preserve"> </w:t>
      </w:r>
      <w:r w:rsidRPr="009F6537">
        <w:rPr>
          <w:sz w:val="28"/>
          <w:szCs w:val="28"/>
        </w:rPr>
        <w:t>шляхом оприлюднення його в засобах масової інформації, мережі Інтернет та проведення інформаційно-роз'яснювальної роботи органами місцевого самоврядування.</w:t>
      </w:r>
      <w:r>
        <w:rPr>
          <w:sz w:val="28"/>
          <w:szCs w:val="28"/>
        </w:rPr>
        <w:t xml:space="preserve"> </w:t>
      </w:r>
    </w:p>
    <w:p w:rsidR="00E71A30" w:rsidRPr="00EE0559" w:rsidRDefault="00E71A30" w:rsidP="00E71A30">
      <w:pPr>
        <w:spacing w:after="0" w:line="240" w:lineRule="auto"/>
        <w:contextualSpacing/>
        <w:jc w:val="center"/>
        <w:rPr>
          <w:rFonts w:ascii="Times New Roman" w:hAnsi="Times New Roman" w:cs="Times New Roman"/>
          <w:b/>
          <w:sz w:val="28"/>
          <w:szCs w:val="28"/>
          <w:lang w:eastAsia="en-US"/>
        </w:rPr>
      </w:pPr>
    </w:p>
    <w:p w:rsidR="00D35279" w:rsidRDefault="00D35279" w:rsidP="00E71A30">
      <w:pPr>
        <w:spacing w:after="0" w:line="240" w:lineRule="auto"/>
        <w:contextualSpacing/>
        <w:jc w:val="center"/>
        <w:rPr>
          <w:rFonts w:ascii="Times New Roman" w:hAnsi="Times New Roman" w:cs="Times New Roman"/>
          <w:b/>
          <w:sz w:val="28"/>
          <w:szCs w:val="28"/>
          <w:lang w:eastAsia="en-US"/>
        </w:rPr>
      </w:pPr>
      <w:r w:rsidRPr="00EE0559">
        <w:rPr>
          <w:rFonts w:ascii="Times New Roman" w:hAnsi="Times New Roman" w:cs="Times New Roman"/>
          <w:b/>
          <w:sz w:val="28"/>
          <w:szCs w:val="28"/>
          <w:lang w:eastAsia="en-US"/>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B05BCE" w:rsidRPr="00EE0559" w:rsidRDefault="00B05BCE" w:rsidP="00E71A30">
      <w:pPr>
        <w:spacing w:after="0" w:line="240" w:lineRule="auto"/>
        <w:contextualSpacing/>
        <w:jc w:val="center"/>
        <w:rPr>
          <w:rFonts w:ascii="Times New Roman" w:hAnsi="Times New Roman" w:cs="Times New Roman"/>
          <w:b/>
          <w:sz w:val="28"/>
          <w:szCs w:val="28"/>
          <w:lang w:eastAsia="en-US"/>
        </w:rPr>
      </w:pPr>
    </w:p>
    <w:p w:rsidR="00D35279" w:rsidRDefault="00D35279" w:rsidP="004772DB">
      <w:pPr>
        <w:pStyle w:val="ac"/>
        <w:spacing w:before="0" w:beforeAutospacing="0" w:after="0" w:afterAutospacing="0"/>
        <w:ind w:firstLine="720"/>
        <w:jc w:val="both"/>
        <w:rPr>
          <w:sz w:val="28"/>
          <w:szCs w:val="28"/>
        </w:rPr>
      </w:pPr>
      <w:r w:rsidRPr="00EE0559">
        <w:rPr>
          <w:sz w:val="28"/>
          <w:szCs w:val="28"/>
        </w:rPr>
        <w:t>Бюджетні витрати на адміністрування регулювання для суб'єктів великого і середнього підприємництва не передбачаються.</w:t>
      </w:r>
    </w:p>
    <w:p w:rsidR="00B34F20" w:rsidRDefault="00B34F20" w:rsidP="00B34F20">
      <w:pPr>
        <w:pStyle w:val="ac"/>
        <w:spacing w:before="0" w:beforeAutospacing="0" w:after="0" w:afterAutospacing="0"/>
        <w:ind w:firstLine="720"/>
        <w:jc w:val="both"/>
        <w:rPr>
          <w:sz w:val="28"/>
          <w:szCs w:val="28"/>
        </w:rPr>
      </w:pPr>
    </w:p>
    <w:p w:rsidR="007A1CE7" w:rsidRPr="00B34F20" w:rsidRDefault="007A1CE7" w:rsidP="00B34F20">
      <w:pPr>
        <w:pStyle w:val="ac"/>
        <w:spacing w:before="0" w:beforeAutospacing="0" w:after="0" w:afterAutospacing="0"/>
        <w:ind w:firstLine="720"/>
        <w:jc w:val="both"/>
        <w:rPr>
          <w:sz w:val="28"/>
          <w:szCs w:val="28"/>
        </w:rPr>
      </w:pPr>
    </w:p>
    <w:p w:rsidR="00D35279" w:rsidRPr="00EE0559" w:rsidRDefault="00D35279" w:rsidP="00E71A30">
      <w:pPr>
        <w:spacing w:after="0" w:line="240" w:lineRule="auto"/>
        <w:contextualSpacing/>
        <w:jc w:val="center"/>
        <w:rPr>
          <w:rFonts w:ascii="Times New Roman" w:hAnsi="Times New Roman" w:cs="Times New Roman"/>
          <w:b/>
          <w:sz w:val="28"/>
          <w:szCs w:val="28"/>
          <w:lang w:eastAsia="en-US"/>
        </w:rPr>
      </w:pPr>
      <w:r w:rsidRPr="00EE0559">
        <w:rPr>
          <w:rFonts w:ascii="Times New Roman" w:hAnsi="Times New Roman" w:cs="Times New Roman"/>
          <w:b/>
          <w:sz w:val="28"/>
          <w:szCs w:val="28"/>
          <w:lang w:eastAsia="en-US"/>
        </w:rPr>
        <w:t>VII. Обґрунтування запропонованого строку дії регуляторного акта</w:t>
      </w:r>
    </w:p>
    <w:p w:rsidR="00D35279" w:rsidRPr="00EE0559" w:rsidRDefault="00D35279" w:rsidP="00E71A30">
      <w:pPr>
        <w:pStyle w:val="ac"/>
        <w:ind w:firstLine="720"/>
        <w:jc w:val="both"/>
        <w:rPr>
          <w:sz w:val="28"/>
          <w:szCs w:val="28"/>
        </w:rPr>
      </w:pPr>
      <w:r w:rsidRPr="00EE0559">
        <w:rPr>
          <w:sz w:val="28"/>
          <w:szCs w:val="28"/>
        </w:rPr>
        <w:t>Строк дії акту не обмежується у часі, що дасть змогу досягти цілей державного регулювання. Проект постанови набирає чинності з дня його офіційного опублікування.</w:t>
      </w:r>
    </w:p>
    <w:p w:rsidR="00D35279" w:rsidRPr="00EE0559" w:rsidRDefault="00D35279" w:rsidP="001D2103">
      <w:pPr>
        <w:spacing w:after="0" w:line="240" w:lineRule="auto"/>
        <w:contextualSpacing/>
        <w:jc w:val="center"/>
        <w:rPr>
          <w:rFonts w:ascii="Times New Roman" w:hAnsi="Times New Roman" w:cs="Times New Roman"/>
          <w:b/>
          <w:sz w:val="28"/>
          <w:szCs w:val="28"/>
          <w:lang w:eastAsia="en-US"/>
        </w:rPr>
      </w:pPr>
      <w:r w:rsidRPr="00EE0559">
        <w:rPr>
          <w:rFonts w:ascii="Times New Roman" w:hAnsi="Times New Roman" w:cs="Times New Roman"/>
          <w:b/>
          <w:sz w:val="28"/>
          <w:szCs w:val="28"/>
          <w:lang w:eastAsia="en-US"/>
        </w:rPr>
        <w:t>VIII. Визначення показників результативності дії регуляторного акта</w:t>
      </w:r>
    </w:p>
    <w:p w:rsidR="00D35279" w:rsidRDefault="00D35279" w:rsidP="001D2103">
      <w:pPr>
        <w:pStyle w:val="ac"/>
        <w:ind w:firstLine="720"/>
        <w:jc w:val="both"/>
        <w:rPr>
          <w:sz w:val="28"/>
          <w:szCs w:val="28"/>
        </w:rPr>
      </w:pPr>
      <w:r w:rsidRPr="00EE0559">
        <w:rPr>
          <w:sz w:val="28"/>
          <w:szCs w:val="28"/>
        </w:rPr>
        <w:t>Прогнозовані показники результативності регуляторного акта:</w:t>
      </w:r>
    </w:p>
    <w:p w:rsidR="001E47FF" w:rsidRPr="001E47FF" w:rsidRDefault="001E47FF" w:rsidP="00A54958">
      <w:pPr>
        <w:pStyle w:val="ac"/>
        <w:spacing w:before="120" w:beforeAutospacing="0" w:after="120" w:afterAutospacing="0"/>
        <w:ind w:firstLine="720"/>
        <w:jc w:val="both"/>
        <w:rPr>
          <w:sz w:val="28"/>
          <w:szCs w:val="28"/>
        </w:rPr>
      </w:pPr>
      <w:r w:rsidRPr="001E47FF">
        <w:rPr>
          <w:color w:val="000000"/>
          <w:sz w:val="28"/>
          <w:szCs w:val="28"/>
          <w:shd w:val="clear" w:color="auto" w:fill="FFFFFF"/>
        </w:rPr>
        <w:t>1) розмір надходжень до державного та місцевих бюджетів і державних цільових фондів, пов'язаних з дією акта – не передбачається додаткових надходжень;</w:t>
      </w:r>
    </w:p>
    <w:p w:rsidR="00D35279" w:rsidRPr="00EE0559" w:rsidRDefault="001E47FF" w:rsidP="00A54958">
      <w:pPr>
        <w:pStyle w:val="ac"/>
        <w:spacing w:before="120" w:beforeAutospacing="0" w:after="120" w:afterAutospacing="0"/>
        <w:ind w:firstLine="720"/>
        <w:jc w:val="both"/>
        <w:rPr>
          <w:sz w:val="28"/>
          <w:szCs w:val="28"/>
        </w:rPr>
      </w:pPr>
      <w:r>
        <w:rPr>
          <w:sz w:val="28"/>
          <w:szCs w:val="28"/>
        </w:rPr>
        <w:lastRenderedPageBreak/>
        <w:t>2</w:t>
      </w:r>
      <w:r w:rsidR="00D35279" w:rsidRPr="00EE0559">
        <w:rPr>
          <w:sz w:val="28"/>
          <w:szCs w:val="28"/>
        </w:rPr>
        <w:t xml:space="preserve">) кількість суб'єктів господарювання, на яких поширюватиметься дія акта - дія акта поширюється на суб'єктів господарювання, що мають намір виконувати роботи, передбачені </w:t>
      </w:r>
      <w:r>
        <w:rPr>
          <w:sz w:val="28"/>
          <w:szCs w:val="28"/>
        </w:rPr>
        <w:t>проектом Постанови</w:t>
      </w:r>
      <w:r w:rsidR="00D35279" w:rsidRPr="00EE0559">
        <w:rPr>
          <w:sz w:val="28"/>
          <w:szCs w:val="28"/>
        </w:rPr>
        <w:t>;</w:t>
      </w:r>
    </w:p>
    <w:p w:rsidR="00D35279" w:rsidRDefault="001E47FF" w:rsidP="00A54958">
      <w:pPr>
        <w:pStyle w:val="ac"/>
        <w:spacing w:before="120" w:beforeAutospacing="0" w:after="120" w:afterAutospacing="0"/>
        <w:ind w:firstLine="720"/>
        <w:jc w:val="both"/>
        <w:rPr>
          <w:sz w:val="28"/>
          <w:szCs w:val="28"/>
        </w:rPr>
      </w:pPr>
      <w:r>
        <w:rPr>
          <w:sz w:val="28"/>
          <w:szCs w:val="28"/>
        </w:rPr>
        <w:t>3</w:t>
      </w:r>
      <w:r w:rsidR="00D35279" w:rsidRPr="00EE0559">
        <w:rPr>
          <w:sz w:val="28"/>
          <w:szCs w:val="28"/>
        </w:rPr>
        <w:t xml:space="preserve">) рівень інформованості громадян та суб'єктів господарювання </w:t>
      </w:r>
      <w:r w:rsidR="003E136C">
        <w:rPr>
          <w:sz w:val="28"/>
          <w:szCs w:val="28"/>
        </w:rPr>
        <w:t>–</w:t>
      </w:r>
      <w:r w:rsidR="00D35279" w:rsidRPr="00EE0559">
        <w:rPr>
          <w:sz w:val="28"/>
          <w:szCs w:val="28"/>
        </w:rPr>
        <w:t xml:space="preserve"> </w:t>
      </w:r>
      <w:r w:rsidR="003E136C">
        <w:rPr>
          <w:sz w:val="28"/>
          <w:szCs w:val="28"/>
        </w:rPr>
        <w:t>середній. Проект акта розміщено на офіційному веб-сайті Мінінфраструктури у розділі «Регуляторна діяльність».</w:t>
      </w:r>
    </w:p>
    <w:p w:rsidR="001E47FF" w:rsidRDefault="001E47FF" w:rsidP="00A54958">
      <w:pPr>
        <w:pStyle w:val="rvps2"/>
        <w:shd w:val="clear" w:color="auto" w:fill="FFFFFF"/>
        <w:spacing w:before="120" w:beforeAutospacing="0" w:after="120" w:afterAutospacing="0"/>
        <w:ind w:firstLine="709"/>
        <w:jc w:val="both"/>
        <w:textAlignment w:val="baseline"/>
        <w:rPr>
          <w:color w:val="000000"/>
          <w:sz w:val="28"/>
          <w:szCs w:val="28"/>
        </w:rPr>
      </w:pPr>
      <w:r w:rsidRPr="001E47FF">
        <w:rPr>
          <w:color w:val="000000"/>
          <w:sz w:val="28"/>
          <w:szCs w:val="28"/>
        </w:rPr>
        <w:t>4) розмір коштів і час, що витрачатимуться суб'єктами господарювання, пов'язаними з виконанням вимог акта – дія акта не супроводжуватиметься додатковими витратами суб’єктів господарювання</w:t>
      </w:r>
      <w:r w:rsidR="009F6537">
        <w:rPr>
          <w:color w:val="000000"/>
          <w:sz w:val="28"/>
          <w:szCs w:val="28"/>
        </w:rPr>
        <w:t xml:space="preserve">, разом з цим вбачається зменшення часу на реалізацію інфраструктурних проектів </w:t>
      </w:r>
      <w:r w:rsidR="009F6537" w:rsidRPr="009F6537">
        <w:rPr>
          <w:sz w:val="28"/>
          <w:szCs w:val="28"/>
          <w:lang w:eastAsia="ru-RU"/>
        </w:rPr>
        <w:t>з будівництва реконструкції, капітального ремонту та технічного переоснащення гідротехнічних споруд, а саме: акваторій морських портів (портових акваторій), внутрішніх підхідних, судноплавних каналів, операційних акваторій причалів, якірних стоянок, а також інших підводних гідротехнічних споруд штучного та природного походження, в тому числі розташованих в межах акваторії морського порту і призначених для забезпечення безпеки мореплавства, маневрування та стоянки суден</w:t>
      </w:r>
      <w:r w:rsidR="009F6537">
        <w:rPr>
          <w:color w:val="000000"/>
          <w:sz w:val="28"/>
          <w:szCs w:val="28"/>
        </w:rPr>
        <w:t>.</w:t>
      </w:r>
    </w:p>
    <w:p w:rsidR="00A54958" w:rsidRPr="001E47FF" w:rsidRDefault="00A54958" w:rsidP="009F6537">
      <w:pPr>
        <w:pStyle w:val="rvps2"/>
        <w:shd w:val="clear" w:color="auto" w:fill="FFFFFF"/>
        <w:spacing w:before="0" w:beforeAutospacing="0" w:after="0" w:afterAutospacing="0"/>
        <w:ind w:firstLine="709"/>
        <w:jc w:val="both"/>
        <w:textAlignment w:val="baseline"/>
        <w:rPr>
          <w:color w:val="000000"/>
          <w:sz w:val="28"/>
          <w:szCs w:val="28"/>
        </w:rPr>
      </w:pPr>
    </w:p>
    <w:p w:rsidR="00D35279" w:rsidRDefault="00D35279" w:rsidP="00322F1F">
      <w:pPr>
        <w:spacing w:after="0" w:line="240" w:lineRule="auto"/>
        <w:contextualSpacing/>
        <w:jc w:val="center"/>
        <w:rPr>
          <w:rFonts w:ascii="Times New Roman" w:hAnsi="Times New Roman" w:cs="Times New Roman"/>
          <w:b/>
          <w:sz w:val="28"/>
          <w:szCs w:val="28"/>
          <w:lang w:eastAsia="en-US"/>
        </w:rPr>
      </w:pPr>
      <w:bookmarkStart w:id="0" w:name="n38"/>
      <w:bookmarkEnd w:id="0"/>
      <w:r w:rsidRPr="00EE0559">
        <w:rPr>
          <w:rFonts w:ascii="Times New Roman" w:hAnsi="Times New Roman" w:cs="Times New Roman"/>
          <w:b/>
          <w:sz w:val="28"/>
          <w:szCs w:val="28"/>
          <w:lang w:eastAsia="en-US"/>
        </w:rPr>
        <w:t>IX. Визначення заходів, за допомогою яких здійснюватиметься відстеження результативності дії регуляторного акта</w:t>
      </w:r>
    </w:p>
    <w:p w:rsidR="009F6537" w:rsidRPr="00EE0559" w:rsidRDefault="009F6537" w:rsidP="00322F1F">
      <w:pPr>
        <w:spacing w:after="0" w:line="240" w:lineRule="auto"/>
        <w:contextualSpacing/>
        <w:jc w:val="center"/>
        <w:rPr>
          <w:rFonts w:ascii="Times New Roman" w:hAnsi="Times New Roman" w:cs="Times New Roman"/>
          <w:b/>
          <w:sz w:val="28"/>
          <w:szCs w:val="28"/>
          <w:lang w:eastAsia="en-US"/>
        </w:rPr>
      </w:pPr>
    </w:p>
    <w:p w:rsidR="00D35279" w:rsidRPr="00EE0559" w:rsidRDefault="00D35279" w:rsidP="009F6537">
      <w:pPr>
        <w:pStyle w:val="ac"/>
        <w:spacing w:before="0" w:beforeAutospacing="0" w:after="0" w:afterAutospacing="0"/>
        <w:ind w:firstLine="720"/>
        <w:jc w:val="both"/>
        <w:rPr>
          <w:sz w:val="28"/>
          <w:szCs w:val="28"/>
        </w:rPr>
      </w:pPr>
      <w:r w:rsidRPr="00EE0559">
        <w:rPr>
          <w:sz w:val="28"/>
          <w:szCs w:val="28"/>
        </w:rPr>
        <w:t xml:space="preserve">Базове відстеження результативності регуляторного акта буде проведено після набрання чинності </w:t>
      </w:r>
      <w:r w:rsidR="009F6537">
        <w:rPr>
          <w:sz w:val="28"/>
          <w:szCs w:val="28"/>
        </w:rPr>
        <w:t>Постанови</w:t>
      </w:r>
      <w:r w:rsidRPr="00EE0559">
        <w:rPr>
          <w:sz w:val="28"/>
          <w:szCs w:val="28"/>
        </w:rPr>
        <w:t>, але не пізніше дня, з якого починається проведення повторного відстеження результативності цього акта.</w:t>
      </w:r>
    </w:p>
    <w:p w:rsidR="00D35279" w:rsidRPr="00EE0559" w:rsidRDefault="00D35279" w:rsidP="009F6537">
      <w:pPr>
        <w:pStyle w:val="ac"/>
        <w:spacing w:before="0" w:beforeAutospacing="0" w:after="0" w:afterAutospacing="0"/>
        <w:ind w:firstLine="720"/>
        <w:jc w:val="both"/>
        <w:rPr>
          <w:sz w:val="28"/>
          <w:szCs w:val="28"/>
        </w:rPr>
      </w:pPr>
      <w:r w:rsidRPr="00EE0559">
        <w:rPr>
          <w:sz w:val="28"/>
          <w:szCs w:val="28"/>
        </w:rPr>
        <w:t>Повторне відстеження результативності - через рік з дня набрання ним чинності, але не пізніше двох років з дня набрання чинності цим актом.</w:t>
      </w:r>
    </w:p>
    <w:p w:rsidR="00D35279" w:rsidRPr="00EE0559" w:rsidRDefault="00D35279" w:rsidP="009F6537">
      <w:pPr>
        <w:pStyle w:val="ac"/>
        <w:spacing w:before="0" w:beforeAutospacing="0" w:after="0" w:afterAutospacing="0"/>
        <w:ind w:firstLine="720"/>
        <w:jc w:val="both"/>
        <w:rPr>
          <w:sz w:val="28"/>
          <w:szCs w:val="28"/>
        </w:rPr>
      </w:pPr>
      <w:r w:rsidRPr="00EE0559">
        <w:rPr>
          <w:sz w:val="28"/>
          <w:szCs w:val="28"/>
        </w:rPr>
        <w:t>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акта.</w:t>
      </w:r>
    </w:p>
    <w:p w:rsidR="00D35279" w:rsidRPr="00EE0559" w:rsidRDefault="00D35279" w:rsidP="009F6537">
      <w:pPr>
        <w:pStyle w:val="ac"/>
        <w:spacing w:before="0" w:beforeAutospacing="0" w:after="0" w:afterAutospacing="0"/>
        <w:ind w:firstLine="720"/>
        <w:jc w:val="both"/>
        <w:rPr>
          <w:sz w:val="28"/>
          <w:szCs w:val="28"/>
        </w:rPr>
      </w:pPr>
      <w:r w:rsidRPr="00EE0559">
        <w:rPr>
          <w:sz w:val="28"/>
          <w:szCs w:val="28"/>
        </w:rPr>
        <w:t>Проведення відстеження результативності буде здійснюватися за допомогою статистичного методу та буде проводитись за допомогою статистичних даних.</w:t>
      </w:r>
    </w:p>
    <w:p w:rsidR="00D35279" w:rsidRDefault="00D35279" w:rsidP="009F6537">
      <w:pPr>
        <w:pStyle w:val="ac"/>
        <w:spacing w:before="0" w:beforeAutospacing="0" w:after="0" w:afterAutospacing="0"/>
        <w:ind w:firstLine="720"/>
        <w:jc w:val="both"/>
        <w:rPr>
          <w:sz w:val="28"/>
          <w:szCs w:val="28"/>
        </w:rPr>
      </w:pPr>
      <w:r w:rsidRPr="00EE0559">
        <w:rPr>
          <w:sz w:val="28"/>
          <w:szCs w:val="28"/>
        </w:rPr>
        <w:t>Відстеження результативності регуляторного акта здійснюватиметься Мін</w:t>
      </w:r>
      <w:r w:rsidR="009F6537">
        <w:rPr>
          <w:sz w:val="28"/>
          <w:szCs w:val="28"/>
        </w:rPr>
        <w:t>інфраструктури</w:t>
      </w:r>
      <w:r w:rsidRPr="00EE0559">
        <w:rPr>
          <w:sz w:val="28"/>
          <w:szCs w:val="28"/>
        </w:rPr>
        <w:t>.</w:t>
      </w:r>
    </w:p>
    <w:p w:rsidR="00F54731" w:rsidRDefault="00F54731" w:rsidP="009F6537">
      <w:pPr>
        <w:pStyle w:val="ac"/>
        <w:spacing w:before="0" w:beforeAutospacing="0" w:after="0" w:afterAutospacing="0"/>
        <w:ind w:firstLine="720"/>
        <w:jc w:val="both"/>
        <w:rPr>
          <w:sz w:val="28"/>
          <w:szCs w:val="28"/>
        </w:rPr>
      </w:pPr>
    </w:p>
    <w:p w:rsidR="00F54731" w:rsidRDefault="00F54731" w:rsidP="009F6537">
      <w:pPr>
        <w:pStyle w:val="ac"/>
        <w:spacing w:before="0" w:beforeAutospacing="0" w:after="0" w:afterAutospacing="0"/>
        <w:ind w:firstLine="720"/>
        <w:jc w:val="both"/>
        <w:rPr>
          <w:sz w:val="28"/>
          <w:szCs w:val="28"/>
        </w:rPr>
      </w:pPr>
    </w:p>
    <w:p w:rsidR="00F54731" w:rsidRDefault="00F54731" w:rsidP="009F6537">
      <w:pPr>
        <w:pStyle w:val="ac"/>
        <w:spacing w:before="0" w:beforeAutospacing="0" w:after="0" w:afterAutospacing="0"/>
        <w:ind w:firstLine="720"/>
        <w:jc w:val="both"/>
        <w:rPr>
          <w:sz w:val="28"/>
          <w:szCs w:val="28"/>
        </w:rPr>
      </w:pPr>
    </w:p>
    <w:p w:rsidR="00F54731" w:rsidRPr="00EE0559" w:rsidRDefault="00F54731" w:rsidP="009F6537">
      <w:pPr>
        <w:pStyle w:val="ac"/>
        <w:spacing w:before="0" w:beforeAutospacing="0" w:after="0" w:afterAutospacing="0"/>
        <w:ind w:firstLine="720"/>
        <w:jc w:val="both"/>
        <w:rPr>
          <w:sz w:val="28"/>
          <w:szCs w:val="28"/>
        </w:rPr>
      </w:pPr>
    </w:p>
    <w:p w:rsidR="00F30795" w:rsidRDefault="00F30795" w:rsidP="00F30795">
      <w:pPr>
        <w:spacing w:after="0" w:line="240" w:lineRule="auto"/>
        <w:ind w:firstLine="567"/>
        <w:contextualSpacing/>
        <w:jc w:val="both"/>
        <w:rPr>
          <w:rFonts w:ascii="Times New Roman" w:hAnsi="Times New Roman" w:cs="Times New Roman"/>
          <w:b/>
          <w:sz w:val="28"/>
          <w:szCs w:val="28"/>
          <w:lang w:eastAsia="en-US"/>
        </w:rPr>
      </w:pPr>
    </w:p>
    <w:p w:rsidR="009F6537" w:rsidRDefault="009F6537" w:rsidP="00F30795">
      <w:pPr>
        <w:spacing w:after="0" w:line="240" w:lineRule="auto"/>
        <w:ind w:firstLine="567"/>
        <w:contextualSpacing/>
        <w:jc w:val="both"/>
        <w:rPr>
          <w:rFonts w:ascii="Times New Roman" w:hAnsi="Times New Roman" w:cs="Times New Roman"/>
          <w:b/>
          <w:sz w:val="28"/>
          <w:szCs w:val="28"/>
          <w:lang w:eastAsia="en-US"/>
        </w:rPr>
      </w:pPr>
    </w:p>
    <w:p w:rsidR="009F6537" w:rsidRPr="00EE0559" w:rsidRDefault="009F6537" w:rsidP="00F30795">
      <w:pPr>
        <w:spacing w:after="0" w:line="240" w:lineRule="auto"/>
        <w:ind w:firstLine="567"/>
        <w:contextualSpacing/>
        <w:jc w:val="both"/>
        <w:rPr>
          <w:rFonts w:ascii="Times New Roman" w:hAnsi="Times New Roman" w:cs="Times New Roman"/>
          <w:b/>
          <w:sz w:val="28"/>
          <w:szCs w:val="28"/>
          <w:lang w:eastAsia="en-US"/>
        </w:rPr>
      </w:pPr>
    </w:p>
    <w:p w:rsidR="00C80097" w:rsidRPr="009F6537" w:rsidRDefault="007D511C" w:rsidP="009F6537">
      <w:pPr>
        <w:spacing w:after="0" w:line="240" w:lineRule="auto"/>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В.о. </w:t>
      </w:r>
      <w:r w:rsidR="00C80097" w:rsidRPr="009F6537">
        <w:rPr>
          <w:rFonts w:ascii="Times New Roman" w:hAnsi="Times New Roman" w:cs="Times New Roman"/>
          <w:sz w:val="28"/>
          <w:szCs w:val="28"/>
          <w:lang w:eastAsia="en-US"/>
        </w:rPr>
        <w:t>Міністр</w:t>
      </w:r>
      <w:r>
        <w:rPr>
          <w:rFonts w:ascii="Times New Roman" w:hAnsi="Times New Roman" w:cs="Times New Roman"/>
          <w:sz w:val="28"/>
          <w:szCs w:val="28"/>
          <w:lang w:eastAsia="en-US"/>
        </w:rPr>
        <w:t>а</w:t>
      </w:r>
      <w:r w:rsidR="00C80097" w:rsidRPr="009F6537">
        <w:rPr>
          <w:rFonts w:ascii="Times New Roman" w:hAnsi="Times New Roman" w:cs="Times New Roman"/>
          <w:sz w:val="28"/>
          <w:szCs w:val="28"/>
          <w:lang w:eastAsia="en-US"/>
        </w:rPr>
        <w:t xml:space="preserve"> інфраструктури України </w:t>
      </w:r>
      <w:r w:rsidR="00C80097" w:rsidRPr="009F6537">
        <w:rPr>
          <w:rFonts w:ascii="Times New Roman" w:hAnsi="Times New Roman" w:cs="Times New Roman"/>
          <w:sz w:val="28"/>
          <w:szCs w:val="28"/>
          <w:lang w:eastAsia="en-US"/>
        </w:rPr>
        <w:tab/>
      </w:r>
      <w:r w:rsidR="00C80097" w:rsidRPr="009F6537">
        <w:rPr>
          <w:rFonts w:ascii="Times New Roman" w:hAnsi="Times New Roman" w:cs="Times New Roman"/>
          <w:sz w:val="28"/>
          <w:szCs w:val="28"/>
          <w:lang w:eastAsia="en-US"/>
        </w:rPr>
        <w:tab/>
      </w:r>
      <w:r w:rsidR="00C80097" w:rsidRPr="009F6537">
        <w:rPr>
          <w:rFonts w:ascii="Times New Roman" w:hAnsi="Times New Roman" w:cs="Times New Roman"/>
          <w:sz w:val="28"/>
          <w:szCs w:val="28"/>
          <w:lang w:eastAsia="en-US"/>
        </w:rPr>
        <w:tab/>
      </w:r>
      <w:r w:rsidR="00C80097" w:rsidRPr="009F6537">
        <w:rPr>
          <w:rFonts w:ascii="Times New Roman" w:hAnsi="Times New Roman" w:cs="Times New Roman"/>
          <w:sz w:val="28"/>
          <w:szCs w:val="28"/>
          <w:lang w:eastAsia="en-US"/>
        </w:rPr>
        <w:tab/>
        <w:t xml:space="preserve"> </w:t>
      </w:r>
      <w:r>
        <w:rPr>
          <w:rFonts w:ascii="Times New Roman" w:hAnsi="Times New Roman" w:cs="Times New Roman"/>
          <w:sz w:val="28"/>
          <w:szCs w:val="28"/>
          <w:lang w:eastAsia="en-US"/>
        </w:rPr>
        <w:t xml:space="preserve">       </w:t>
      </w:r>
      <w:bookmarkStart w:id="1" w:name="_GoBack"/>
      <w:bookmarkEnd w:id="1"/>
      <w:r w:rsidR="007A1CE7">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Ю. ЛАВРЕНЮК</w:t>
      </w:r>
    </w:p>
    <w:p w:rsidR="0041697D" w:rsidRPr="007A1CE7" w:rsidRDefault="007A1CE7" w:rsidP="009F6537">
      <w:pPr>
        <w:pStyle w:val="ac"/>
        <w:jc w:val="both"/>
        <w:rPr>
          <w:sz w:val="28"/>
          <w:szCs w:val="28"/>
          <w:lang w:eastAsia="en-US"/>
        </w:rPr>
      </w:pPr>
      <w:r w:rsidRPr="007A1CE7">
        <w:rPr>
          <w:rFonts w:eastAsia="Calibri"/>
          <w:sz w:val="28"/>
          <w:szCs w:val="28"/>
        </w:rPr>
        <w:t>«</w:t>
      </w:r>
      <w:r w:rsidR="00C80097" w:rsidRPr="007A1CE7">
        <w:rPr>
          <w:sz w:val="28"/>
          <w:szCs w:val="28"/>
        </w:rPr>
        <w:t>___</w:t>
      </w:r>
      <w:r w:rsidRPr="007A1CE7">
        <w:rPr>
          <w:sz w:val="28"/>
          <w:szCs w:val="28"/>
        </w:rPr>
        <w:t>»</w:t>
      </w:r>
      <w:r w:rsidR="00C80097" w:rsidRPr="007A1CE7">
        <w:rPr>
          <w:sz w:val="28"/>
          <w:szCs w:val="28"/>
        </w:rPr>
        <w:t xml:space="preserve"> _________________2018 р.</w:t>
      </w:r>
    </w:p>
    <w:sectPr w:rsidR="0041697D" w:rsidRPr="007A1CE7" w:rsidSect="00764561">
      <w:headerReference w:type="default" r:id="rId8"/>
      <w:pgSz w:w="11906" w:h="16838"/>
      <w:pgMar w:top="284" w:right="851" w:bottom="1276" w:left="1134" w:header="0" w:footer="35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CCD" w:rsidRDefault="00824CCD">
      <w:pPr>
        <w:spacing w:after="0" w:line="240" w:lineRule="auto"/>
      </w:pPr>
      <w:r>
        <w:separator/>
      </w:r>
    </w:p>
  </w:endnote>
  <w:endnote w:type="continuationSeparator" w:id="0">
    <w:p w:rsidR="00824CCD" w:rsidRDefault="0082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CCD" w:rsidRDefault="00824CCD">
      <w:pPr>
        <w:spacing w:after="0" w:line="240" w:lineRule="auto"/>
      </w:pPr>
      <w:r>
        <w:separator/>
      </w:r>
    </w:p>
  </w:footnote>
  <w:footnote w:type="continuationSeparator" w:id="0">
    <w:p w:rsidR="00824CCD" w:rsidRDefault="0082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649703"/>
      <w:docPartObj>
        <w:docPartGallery w:val="Page Numbers (Top of Page)"/>
        <w:docPartUnique/>
      </w:docPartObj>
    </w:sdtPr>
    <w:sdtEndPr/>
    <w:sdtContent>
      <w:p w:rsidR="00764561" w:rsidRDefault="00764561">
        <w:pPr>
          <w:pStyle w:val="af0"/>
          <w:jc w:val="center"/>
        </w:pPr>
      </w:p>
      <w:p w:rsidR="00764561" w:rsidRDefault="00764561">
        <w:pPr>
          <w:pStyle w:val="af0"/>
          <w:jc w:val="center"/>
        </w:pPr>
      </w:p>
      <w:p w:rsidR="009F6537" w:rsidRDefault="00764561" w:rsidP="00764561">
        <w:pPr>
          <w:pStyle w:val="af0"/>
          <w:jc w:val="center"/>
        </w:pPr>
        <w:r>
          <w:fldChar w:fldCharType="begin"/>
        </w:r>
        <w:r>
          <w:instrText>PAGE   \* MERGEFORMAT</w:instrText>
        </w:r>
        <w:r>
          <w:fldChar w:fldCharType="separate"/>
        </w:r>
        <w:r w:rsidR="00D116CC" w:rsidRPr="00D116CC">
          <w:rPr>
            <w:noProof/>
            <w:lang w:val="ru-RU"/>
          </w:rPr>
          <w:t>12</w:t>
        </w:r>
        <w:r>
          <w:fldChar w:fldCharType="end"/>
        </w:r>
      </w:p>
      <w:p w:rsidR="00701FD6" w:rsidRPr="00764561" w:rsidRDefault="00824CCD" w:rsidP="00764561">
        <w:pPr>
          <w:pStyle w:val="af0"/>
          <w:jc w:val="cent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62739"/>
    <w:multiLevelType w:val="multilevel"/>
    <w:tmpl w:val="FDA8BF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9765A6"/>
    <w:multiLevelType w:val="multilevel"/>
    <w:tmpl w:val="E04C40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4CB3ABC"/>
    <w:multiLevelType w:val="multilevel"/>
    <w:tmpl w:val="DD2200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66E1327"/>
    <w:multiLevelType w:val="multilevel"/>
    <w:tmpl w:val="F86A83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78"/>
    <w:rsid w:val="00002E44"/>
    <w:rsid w:val="00012081"/>
    <w:rsid w:val="00013AC0"/>
    <w:rsid w:val="00014ADF"/>
    <w:rsid w:val="00025DEF"/>
    <w:rsid w:val="000324C9"/>
    <w:rsid w:val="00047D8B"/>
    <w:rsid w:val="000605F7"/>
    <w:rsid w:val="00062161"/>
    <w:rsid w:val="00062953"/>
    <w:rsid w:val="00074075"/>
    <w:rsid w:val="000B6E8C"/>
    <w:rsid w:val="000C439D"/>
    <w:rsid w:val="000D1572"/>
    <w:rsid w:val="000F711B"/>
    <w:rsid w:val="00105A78"/>
    <w:rsid w:val="00106A67"/>
    <w:rsid w:val="001242CF"/>
    <w:rsid w:val="001265D6"/>
    <w:rsid w:val="001277A6"/>
    <w:rsid w:val="0013139F"/>
    <w:rsid w:val="001442D5"/>
    <w:rsid w:val="0014541E"/>
    <w:rsid w:val="00146FCF"/>
    <w:rsid w:val="0015593C"/>
    <w:rsid w:val="00155C41"/>
    <w:rsid w:val="00156992"/>
    <w:rsid w:val="00176EF2"/>
    <w:rsid w:val="00196D4F"/>
    <w:rsid w:val="001B0320"/>
    <w:rsid w:val="001C27F3"/>
    <w:rsid w:val="001C5697"/>
    <w:rsid w:val="001D0306"/>
    <w:rsid w:val="001D2103"/>
    <w:rsid w:val="001E47FF"/>
    <w:rsid w:val="001F1B02"/>
    <w:rsid w:val="001F795D"/>
    <w:rsid w:val="00200058"/>
    <w:rsid w:val="00214FB9"/>
    <w:rsid w:val="00217915"/>
    <w:rsid w:val="00235BBF"/>
    <w:rsid w:val="00245E25"/>
    <w:rsid w:val="002503CB"/>
    <w:rsid w:val="00253500"/>
    <w:rsid w:val="00257560"/>
    <w:rsid w:val="00257DC7"/>
    <w:rsid w:val="002630B5"/>
    <w:rsid w:val="0026329E"/>
    <w:rsid w:val="00285778"/>
    <w:rsid w:val="0029257B"/>
    <w:rsid w:val="002978ED"/>
    <w:rsid w:val="002A7555"/>
    <w:rsid w:val="002B19EE"/>
    <w:rsid w:val="002C42E5"/>
    <w:rsid w:val="002D3380"/>
    <w:rsid w:val="002F2258"/>
    <w:rsid w:val="00321A5C"/>
    <w:rsid w:val="00322A57"/>
    <w:rsid w:val="00322F1F"/>
    <w:rsid w:val="00345749"/>
    <w:rsid w:val="00351A24"/>
    <w:rsid w:val="0035236F"/>
    <w:rsid w:val="00355B91"/>
    <w:rsid w:val="003743A9"/>
    <w:rsid w:val="003756AE"/>
    <w:rsid w:val="003773BE"/>
    <w:rsid w:val="00380230"/>
    <w:rsid w:val="0039439F"/>
    <w:rsid w:val="003A29F7"/>
    <w:rsid w:val="003A42A3"/>
    <w:rsid w:val="003C6EDB"/>
    <w:rsid w:val="003E04EA"/>
    <w:rsid w:val="003E136C"/>
    <w:rsid w:val="003E1696"/>
    <w:rsid w:val="003E1C7D"/>
    <w:rsid w:val="003E4D27"/>
    <w:rsid w:val="003E6E89"/>
    <w:rsid w:val="00402F78"/>
    <w:rsid w:val="00404B8F"/>
    <w:rsid w:val="0041081E"/>
    <w:rsid w:val="0041697D"/>
    <w:rsid w:val="00421BDC"/>
    <w:rsid w:val="0042306A"/>
    <w:rsid w:val="00433299"/>
    <w:rsid w:val="00450F92"/>
    <w:rsid w:val="004772DB"/>
    <w:rsid w:val="00481FAB"/>
    <w:rsid w:val="00482082"/>
    <w:rsid w:val="00483E85"/>
    <w:rsid w:val="004842D5"/>
    <w:rsid w:val="00484433"/>
    <w:rsid w:val="00487BCB"/>
    <w:rsid w:val="004952A1"/>
    <w:rsid w:val="004A3DA1"/>
    <w:rsid w:val="004A6D30"/>
    <w:rsid w:val="004D3F1D"/>
    <w:rsid w:val="004E2087"/>
    <w:rsid w:val="004F6F46"/>
    <w:rsid w:val="00504285"/>
    <w:rsid w:val="0052043A"/>
    <w:rsid w:val="0052168E"/>
    <w:rsid w:val="00532404"/>
    <w:rsid w:val="00574025"/>
    <w:rsid w:val="00591C5A"/>
    <w:rsid w:val="005C2E86"/>
    <w:rsid w:val="005D5925"/>
    <w:rsid w:val="005F07FE"/>
    <w:rsid w:val="00600FBA"/>
    <w:rsid w:val="0062438B"/>
    <w:rsid w:val="0063107B"/>
    <w:rsid w:val="006418F5"/>
    <w:rsid w:val="00646251"/>
    <w:rsid w:val="00661FB4"/>
    <w:rsid w:val="00684C83"/>
    <w:rsid w:val="00694959"/>
    <w:rsid w:val="00694BBD"/>
    <w:rsid w:val="006A070F"/>
    <w:rsid w:val="006A4D39"/>
    <w:rsid w:val="006A6B69"/>
    <w:rsid w:val="006B151D"/>
    <w:rsid w:val="006B1BAD"/>
    <w:rsid w:val="006C393B"/>
    <w:rsid w:val="006E3206"/>
    <w:rsid w:val="006F2DA7"/>
    <w:rsid w:val="006F51D5"/>
    <w:rsid w:val="00701FD6"/>
    <w:rsid w:val="00710358"/>
    <w:rsid w:val="007405A3"/>
    <w:rsid w:val="00742837"/>
    <w:rsid w:val="00742D69"/>
    <w:rsid w:val="0074481A"/>
    <w:rsid w:val="007601A1"/>
    <w:rsid w:val="007603BA"/>
    <w:rsid w:val="007627D5"/>
    <w:rsid w:val="00764561"/>
    <w:rsid w:val="00776D58"/>
    <w:rsid w:val="0078322A"/>
    <w:rsid w:val="00794A56"/>
    <w:rsid w:val="007A1CE7"/>
    <w:rsid w:val="007A3CEF"/>
    <w:rsid w:val="007A5D9E"/>
    <w:rsid w:val="007C1148"/>
    <w:rsid w:val="007C497F"/>
    <w:rsid w:val="007C6781"/>
    <w:rsid w:val="007D511C"/>
    <w:rsid w:val="007D67A5"/>
    <w:rsid w:val="007E6661"/>
    <w:rsid w:val="00815D44"/>
    <w:rsid w:val="00824CCD"/>
    <w:rsid w:val="00833904"/>
    <w:rsid w:val="00841817"/>
    <w:rsid w:val="008557F7"/>
    <w:rsid w:val="00855EEC"/>
    <w:rsid w:val="00873403"/>
    <w:rsid w:val="0088209F"/>
    <w:rsid w:val="00887EF4"/>
    <w:rsid w:val="008969AE"/>
    <w:rsid w:val="008B3BCB"/>
    <w:rsid w:val="008C2E10"/>
    <w:rsid w:val="008C678D"/>
    <w:rsid w:val="008D6653"/>
    <w:rsid w:val="008E230D"/>
    <w:rsid w:val="008E5903"/>
    <w:rsid w:val="008E5BE1"/>
    <w:rsid w:val="008E6047"/>
    <w:rsid w:val="00902C9C"/>
    <w:rsid w:val="0091356A"/>
    <w:rsid w:val="009263BD"/>
    <w:rsid w:val="009275A8"/>
    <w:rsid w:val="00927B11"/>
    <w:rsid w:val="009562E4"/>
    <w:rsid w:val="00957CEC"/>
    <w:rsid w:val="00973E94"/>
    <w:rsid w:val="009871E9"/>
    <w:rsid w:val="00987F60"/>
    <w:rsid w:val="00990DFD"/>
    <w:rsid w:val="00994E40"/>
    <w:rsid w:val="009A5E27"/>
    <w:rsid w:val="009A6D5E"/>
    <w:rsid w:val="009B6098"/>
    <w:rsid w:val="009C1978"/>
    <w:rsid w:val="009C4A8D"/>
    <w:rsid w:val="009C7F19"/>
    <w:rsid w:val="009E545C"/>
    <w:rsid w:val="009F6537"/>
    <w:rsid w:val="00A0099F"/>
    <w:rsid w:val="00A079B7"/>
    <w:rsid w:val="00A31F38"/>
    <w:rsid w:val="00A33BEA"/>
    <w:rsid w:val="00A41A9B"/>
    <w:rsid w:val="00A45958"/>
    <w:rsid w:val="00A4607A"/>
    <w:rsid w:val="00A46575"/>
    <w:rsid w:val="00A54958"/>
    <w:rsid w:val="00A6419B"/>
    <w:rsid w:val="00A64BD1"/>
    <w:rsid w:val="00A67B8A"/>
    <w:rsid w:val="00A730E3"/>
    <w:rsid w:val="00A732E1"/>
    <w:rsid w:val="00A7442A"/>
    <w:rsid w:val="00A85B3A"/>
    <w:rsid w:val="00A943E2"/>
    <w:rsid w:val="00AA3586"/>
    <w:rsid w:val="00AB710D"/>
    <w:rsid w:val="00AE7575"/>
    <w:rsid w:val="00AF0581"/>
    <w:rsid w:val="00AF7047"/>
    <w:rsid w:val="00B05BCE"/>
    <w:rsid w:val="00B07296"/>
    <w:rsid w:val="00B26443"/>
    <w:rsid w:val="00B333B9"/>
    <w:rsid w:val="00B34F20"/>
    <w:rsid w:val="00B54B77"/>
    <w:rsid w:val="00B55245"/>
    <w:rsid w:val="00B56C66"/>
    <w:rsid w:val="00B63604"/>
    <w:rsid w:val="00B75B85"/>
    <w:rsid w:val="00B82501"/>
    <w:rsid w:val="00B83010"/>
    <w:rsid w:val="00BB44D0"/>
    <w:rsid w:val="00BD3968"/>
    <w:rsid w:val="00BE1212"/>
    <w:rsid w:val="00BE2458"/>
    <w:rsid w:val="00BE4573"/>
    <w:rsid w:val="00BF462F"/>
    <w:rsid w:val="00C0662E"/>
    <w:rsid w:val="00C2545D"/>
    <w:rsid w:val="00C3297A"/>
    <w:rsid w:val="00C5038C"/>
    <w:rsid w:val="00C50BA8"/>
    <w:rsid w:val="00C62270"/>
    <w:rsid w:val="00C65894"/>
    <w:rsid w:val="00C679C4"/>
    <w:rsid w:val="00C80097"/>
    <w:rsid w:val="00C871D9"/>
    <w:rsid w:val="00C92957"/>
    <w:rsid w:val="00CA2D60"/>
    <w:rsid w:val="00CB0D73"/>
    <w:rsid w:val="00CB1801"/>
    <w:rsid w:val="00CB7EC3"/>
    <w:rsid w:val="00CC1E28"/>
    <w:rsid w:val="00CC2EE5"/>
    <w:rsid w:val="00CC4746"/>
    <w:rsid w:val="00CD5F85"/>
    <w:rsid w:val="00CE5B55"/>
    <w:rsid w:val="00CF1C15"/>
    <w:rsid w:val="00CF2073"/>
    <w:rsid w:val="00CF55A7"/>
    <w:rsid w:val="00D116CC"/>
    <w:rsid w:val="00D21427"/>
    <w:rsid w:val="00D30E10"/>
    <w:rsid w:val="00D35279"/>
    <w:rsid w:val="00D403AF"/>
    <w:rsid w:val="00D50FD5"/>
    <w:rsid w:val="00D5774B"/>
    <w:rsid w:val="00D60443"/>
    <w:rsid w:val="00D633CA"/>
    <w:rsid w:val="00D642CF"/>
    <w:rsid w:val="00D77B24"/>
    <w:rsid w:val="00D8535F"/>
    <w:rsid w:val="00DA1AB4"/>
    <w:rsid w:val="00DB479E"/>
    <w:rsid w:val="00DC3DC8"/>
    <w:rsid w:val="00DC402E"/>
    <w:rsid w:val="00DE2656"/>
    <w:rsid w:val="00DE39C1"/>
    <w:rsid w:val="00DE56A8"/>
    <w:rsid w:val="00DE797B"/>
    <w:rsid w:val="00DF4A7F"/>
    <w:rsid w:val="00DF724C"/>
    <w:rsid w:val="00E05843"/>
    <w:rsid w:val="00E20EB5"/>
    <w:rsid w:val="00E422DE"/>
    <w:rsid w:val="00E468A1"/>
    <w:rsid w:val="00E46DC1"/>
    <w:rsid w:val="00E472DC"/>
    <w:rsid w:val="00E633C3"/>
    <w:rsid w:val="00E652D0"/>
    <w:rsid w:val="00E65AA9"/>
    <w:rsid w:val="00E6794C"/>
    <w:rsid w:val="00E71A30"/>
    <w:rsid w:val="00E7537E"/>
    <w:rsid w:val="00E80D07"/>
    <w:rsid w:val="00E8187A"/>
    <w:rsid w:val="00E81B38"/>
    <w:rsid w:val="00E81BF4"/>
    <w:rsid w:val="00E97D2B"/>
    <w:rsid w:val="00EB7DFA"/>
    <w:rsid w:val="00EE0559"/>
    <w:rsid w:val="00EE367C"/>
    <w:rsid w:val="00EE36E0"/>
    <w:rsid w:val="00EF5349"/>
    <w:rsid w:val="00EF7F13"/>
    <w:rsid w:val="00F11DA5"/>
    <w:rsid w:val="00F223CC"/>
    <w:rsid w:val="00F30795"/>
    <w:rsid w:val="00F317A6"/>
    <w:rsid w:val="00F34CF1"/>
    <w:rsid w:val="00F35FD7"/>
    <w:rsid w:val="00F36A12"/>
    <w:rsid w:val="00F54731"/>
    <w:rsid w:val="00F55CA1"/>
    <w:rsid w:val="00F6140E"/>
    <w:rsid w:val="00F63CFB"/>
    <w:rsid w:val="00F7082A"/>
    <w:rsid w:val="00F7511C"/>
    <w:rsid w:val="00F77976"/>
    <w:rsid w:val="00FA6058"/>
    <w:rsid w:val="00FC2FDB"/>
    <w:rsid w:val="00FD4E7E"/>
    <w:rsid w:val="00FD4FB3"/>
    <w:rsid w:val="00FF11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56A14"/>
  <w15:docId w15:val="{C1A8B6CE-8614-49CC-A862-81208ACE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1697D"/>
  </w:style>
  <w:style w:type="paragraph" w:styleId="1">
    <w:name w:val="heading 1"/>
    <w:basedOn w:val="a"/>
    <w:next w:val="a"/>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sz w:val="20"/>
      <w:szCs w:val="20"/>
    </w:rPr>
  </w:style>
  <w:style w:type="character" w:styleId="a8">
    <w:name w:val="annotation reference"/>
    <w:basedOn w:val="a0"/>
    <w:uiPriority w:val="99"/>
    <w:semiHidden/>
    <w:unhideWhenUsed/>
    <w:rPr>
      <w:sz w:val="16"/>
      <w:szCs w:val="16"/>
    </w:rPr>
  </w:style>
  <w:style w:type="paragraph" w:styleId="a9">
    <w:name w:val="Balloon Text"/>
    <w:basedOn w:val="a"/>
    <w:link w:val="aa"/>
    <w:uiPriority w:val="99"/>
    <w:semiHidden/>
    <w:unhideWhenUsed/>
    <w:rsid w:val="006B151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B151D"/>
    <w:rPr>
      <w:rFonts w:ascii="Segoe UI" w:hAnsi="Segoe UI" w:cs="Segoe UI"/>
      <w:sz w:val="18"/>
      <w:szCs w:val="18"/>
    </w:rPr>
  </w:style>
  <w:style w:type="paragraph" w:styleId="ab">
    <w:name w:val="List Paragraph"/>
    <w:basedOn w:val="a"/>
    <w:uiPriority w:val="34"/>
    <w:qFormat/>
    <w:rsid w:val="00833904"/>
    <w:pPr>
      <w:ind w:left="720"/>
      <w:contextualSpacing/>
    </w:pPr>
  </w:style>
  <w:style w:type="paragraph" w:styleId="ac">
    <w:name w:val="Normal (Web)"/>
    <w:basedOn w:val="a"/>
    <w:uiPriority w:val="99"/>
    <w:unhideWhenUsed/>
    <w:rsid w:val="00D35279"/>
    <w:pPr>
      <w:spacing w:before="100" w:beforeAutospacing="1" w:after="100" w:afterAutospacing="1" w:line="240" w:lineRule="auto"/>
    </w:pPr>
    <w:rPr>
      <w:rFonts w:ascii="Times New Roman" w:eastAsiaTheme="minorEastAsia" w:hAnsi="Times New Roman" w:cs="Times New Roman"/>
      <w:sz w:val="24"/>
      <w:szCs w:val="24"/>
    </w:rPr>
  </w:style>
  <w:style w:type="paragraph" w:styleId="ad">
    <w:name w:val="annotation subject"/>
    <w:basedOn w:val="a6"/>
    <w:next w:val="a6"/>
    <w:link w:val="ae"/>
    <w:uiPriority w:val="99"/>
    <w:semiHidden/>
    <w:unhideWhenUsed/>
    <w:rsid w:val="00701FD6"/>
    <w:rPr>
      <w:b/>
      <w:bCs/>
    </w:rPr>
  </w:style>
  <w:style w:type="character" w:customStyle="1" w:styleId="ae">
    <w:name w:val="Тема примечания Знак"/>
    <w:basedOn w:val="a7"/>
    <w:link w:val="ad"/>
    <w:uiPriority w:val="99"/>
    <w:semiHidden/>
    <w:rsid w:val="00701FD6"/>
    <w:rPr>
      <w:b/>
      <w:bCs/>
      <w:sz w:val="20"/>
      <w:szCs w:val="20"/>
    </w:rPr>
  </w:style>
  <w:style w:type="table" w:styleId="af">
    <w:name w:val="Table Grid"/>
    <w:basedOn w:val="a1"/>
    <w:uiPriority w:val="39"/>
    <w:rsid w:val="00701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764561"/>
    <w:pPr>
      <w:tabs>
        <w:tab w:val="center" w:pos="4819"/>
        <w:tab w:val="right" w:pos="9639"/>
      </w:tabs>
      <w:spacing w:after="0" w:line="240" w:lineRule="auto"/>
    </w:pPr>
  </w:style>
  <w:style w:type="character" w:customStyle="1" w:styleId="af1">
    <w:name w:val="Верхний колонтитул Знак"/>
    <w:basedOn w:val="a0"/>
    <w:link w:val="af0"/>
    <w:uiPriority w:val="99"/>
    <w:rsid w:val="00764561"/>
  </w:style>
  <w:style w:type="paragraph" w:styleId="af2">
    <w:name w:val="footer"/>
    <w:basedOn w:val="a"/>
    <w:link w:val="af3"/>
    <w:uiPriority w:val="99"/>
    <w:unhideWhenUsed/>
    <w:rsid w:val="00764561"/>
    <w:pPr>
      <w:tabs>
        <w:tab w:val="center" w:pos="4819"/>
        <w:tab w:val="right" w:pos="9639"/>
      </w:tabs>
      <w:spacing w:after="0" w:line="240" w:lineRule="auto"/>
    </w:pPr>
  </w:style>
  <w:style w:type="character" w:customStyle="1" w:styleId="af3">
    <w:name w:val="Нижний колонтитул Знак"/>
    <w:basedOn w:val="a0"/>
    <w:link w:val="af2"/>
    <w:uiPriority w:val="99"/>
    <w:rsid w:val="00764561"/>
  </w:style>
  <w:style w:type="paragraph" w:customStyle="1" w:styleId="rvps2">
    <w:name w:val="rvps2"/>
    <w:basedOn w:val="a"/>
    <w:rsid w:val="001E47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46124">
      <w:bodyDiv w:val="1"/>
      <w:marLeft w:val="0"/>
      <w:marRight w:val="0"/>
      <w:marTop w:val="0"/>
      <w:marBottom w:val="0"/>
      <w:divBdr>
        <w:top w:val="none" w:sz="0" w:space="0" w:color="auto"/>
        <w:left w:val="none" w:sz="0" w:space="0" w:color="auto"/>
        <w:bottom w:val="none" w:sz="0" w:space="0" w:color="auto"/>
        <w:right w:val="none" w:sz="0" w:space="0" w:color="auto"/>
      </w:divBdr>
    </w:div>
    <w:div w:id="865673855">
      <w:bodyDiv w:val="1"/>
      <w:marLeft w:val="0"/>
      <w:marRight w:val="0"/>
      <w:marTop w:val="0"/>
      <w:marBottom w:val="0"/>
      <w:divBdr>
        <w:top w:val="none" w:sz="0" w:space="0" w:color="auto"/>
        <w:left w:val="none" w:sz="0" w:space="0" w:color="auto"/>
        <w:bottom w:val="none" w:sz="0" w:space="0" w:color="auto"/>
        <w:right w:val="none" w:sz="0" w:space="0" w:color="auto"/>
      </w:divBdr>
    </w:div>
    <w:div w:id="981930066">
      <w:bodyDiv w:val="1"/>
      <w:marLeft w:val="0"/>
      <w:marRight w:val="0"/>
      <w:marTop w:val="0"/>
      <w:marBottom w:val="0"/>
      <w:divBdr>
        <w:top w:val="none" w:sz="0" w:space="0" w:color="auto"/>
        <w:left w:val="none" w:sz="0" w:space="0" w:color="auto"/>
        <w:bottom w:val="none" w:sz="0" w:space="0" w:color="auto"/>
        <w:right w:val="none" w:sz="0" w:space="0" w:color="auto"/>
      </w:divBdr>
    </w:div>
    <w:div w:id="1058432449">
      <w:bodyDiv w:val="1"/>
      <w:marLeft w:val="0"/>
      <w:marRight w:val="0"/>
      <w:marTop w:val="0"/>
      <w:marBottom w:val="0"/>
      <w:divBdr>
        <w:top w:val="none" w:sz="0" w:space="0" w:color="auto"/>
        <w:left w:val="none" w:sz="0" w:space="0" w:color="auto"/>
        <w:bottom w:val="none" w:sz="0" w:space="0" w:color="auto"/>
        <w:right w:val="none" w:sz="0" w:space="0" w:color="auto"/>
      </w:divBdr>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 w:id="2064058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4BCA9-333A-4272-9A3B-559D83F04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3610</Words>
  <Characters>20580</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Brain</dc:creator>
  <cp:lastModifiedBy>Гайдабрус Тамара Михайлівна</cp:lastModifiedBy>
  <cp:revision>2</cp:revision>
  <cp:lastPrinted>2018-08-28T13:16:00Z</cp:lastPrinted>
  <dcterms:created xsi:type="dcterms:W3CDTF">2018-08-28T13:22:00Z</dcterms:created>
  <dcterms:modified xsi:type="dcterms:W3CDTF">2018-08-28T13:22:00Z</dcterms:modified>
</cp:coreProperties>
</file>