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D9E31" w14:textId="77777777" w:rsidR="00BC2D5D" w:rsidRPr="0049044B" w:rsidRDefault="00BC2D5D" w:rsidP="00BC2D5D">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АНАЛІЗ РЕГУЛЯТОРНОГО ВПЛИВУ </w:t>
      </w:r>
    </w:p>
    <w:p w14:paraId="575A85F5" w14:textId="77777777" w:rsidR="00BC2D5D" w:rsidRPr="0049044B" w:rsidRDefault="00BC2D5D" w:rsidP="00BC2D5D">
      <w:pPr>
        <w:pBdr>
          <w:top w:val="nil"/>
          <w:left w:val="nil"/>
          <w:bottom w:val="nil"/>
          <w:right w:val="nil"/>
          <w:between w:val="nil"/>
        </w:pBdr>
        <w:tabs>
          <w:tab w:val="left" w:pos="1260"/>
        </w:tabs>
        <w:jc w:val="center"/>
        <w:rPr>
          <w:rFonts w:ascii="Times New Roman" w:eastAsia="Times New Roman" w:hAnsi="Times New Roman" w:cs="Times New Roman"/>
          <w:color w:val="000000"/>
          <w:sz w:val="28"/>
          <w:szCs w:val="28"/>
        </w:rPr>
      </w:pPr>
      <w:proofErr w:type="spellStart"/>
      <w:r w:rsidRPr="0049044B">
        <w:rPr>
          <w:rFonts w:ascii="Times New Roman" w:eastAsia="Times New Roman" w:hAnsi="Times New Roman" w:cs="Times New Roman"/>
          <w:b/>
          <w:color w:val="000000"/>
          <w:sz w:val="28"/>
          <w:szCs w:val="28"/>
        </w:rPr>
        <w:t>проєкту</w:t>
      </w:r>
      <w:proofErr w:type="spellEnd"/>
      <w:r w:rsidRPr="0049044B">
        <w:rPr>
          <w:rFonts w:ascii="Times New Roman" w:eastAsia="Times New Roman" w:hAnsi="Times New Roman" w:cs="Times New Roman"/>
          <w:b/>
          <w:color w:val="000000"/>
          <w:sz w:val="28"/>
          <w:szCs w:val="28"/>
        </w:rPr>
        <w:t xml:space="preserve"> наказу Міністерства інфраструктури України </w:t>
      </w:r>
    </w:p>
    <w:p w14:paraId="46D1DEC5" w14:textId="77777777" w:rsidR="00BC2D5D" w:rsidRPr="0049044B" w:rsidRDefault="00BC2D5D" w:rsidP="00BC2D5D">
      <w:pPr>
        <w:pBdr>
          <w:top w:val="nil"/>
          <w:left w:val="nil"/>
          <w:bottom w:val="nil"/>
          <w:right w:val="nil"/>
          <w:between w:val="nil"/>
        </w:pBdr>
        <w:ind w:left="283"/>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«Про внесення змін у додаток до Правил перевезення </w:t>
      </w:r>
    </w:p>
    <w:p w14:paraId="7C5C1271" w14:textId="77777777" w:rsidR="00BC2D5D" w:rsidRPr="0049044B" w:rsidRDefault="00BC2D5D" w:rsidP="00BC2D5D">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вантажів у вагонах відкритого типу»</w:t>
      </w:r>
    </w:p>
    <w:p w14:paraId="733C61F3" w14:textId="77777777" w:rsidR="00BC2D5D" w:rsidRPr="0049044B" w:rsidRDefault="00BC2D5D" w:rsidP="00BC2D5D">
      <w:pPr>
        <w:pBdr>
          <w:top w:val="nil"/>
          <w:left w:val="nil"/>
          <w:bottom w:val="nil"/>
          <w:right w:val="nil"/>
          <w:between w:val="nil"/>
        </w:pBdr>
        <w:jc w:val="center"/>
        <w:rPr>
          <w:rFonts w:ascii="Times New Roman" w:eastAsia="Times New Roman" w:hAnsi="Times New Roman" w:cs="Times New Roman"/>
          <w:color w:val="000000"/>
          <w:sz w:val="28"/>
          <w:szCs w:val="28"/>
        </w:rPr>
      </w:pPr>
    </w:p>
    <w:p w14:paraId="6E868C81" w14:textId="77777777" w:rsidR="00BC2D5D" w:rsidRPr="0049044B" w:rsidRDefault="00BC2D5D" w:rsidP="00BC2D5D">
      <w:pPr>
        <w:numPr>
          <w:ilvl w:val="0"/>
          <w:numId w:val="2"/>
        </w:numPr>
        <w:pBdr>
          <w:top w:val="nil"/>
          <w:left w:val="nil"/>
          <w:bottom w:val="nil"/>
          <w:right w:val="nil"/>
          <w:between w:val="nil"/>
        </w:pBdr>
        <w:spacing w:line="252" w:lineRule="auto"/>
        <w:ind w:left="0" w:firstLine="70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Визначення проблеми </w:t>
      </w:r>
    </w:p>
    <w:p w14:paraId="3AC919FD" w14:textId="77777777" w:rsidR="00BC2D5D" w:rsidRPr="0049044B" w:rsidRDefault="00BC2D5D" w:rsidP="00BC2D5D">
      <w:pPr>
        <w:pBdr>
          <w:top w:val="nil"/>
          <w:left w:val="nil"/>
          <w:bottom w:val="nil"/>
          <w:right w:val="nil"/>
          <w:between w:val="nil"/>
        </w:pBdr>
        <w:spacing w:line="252" w:lineRule="auto"/>
        <w:ind w:left="709"/>
        <w:jc w:val="both"/>
        <w:rPr>
          <w:rFonts w:ascii="Times New Roman" w:eastAsia="Times New Roman" w:hAnsi="Times New Roman" w:cs="Times New Roman"/>
          <w:color w:val="000000"/>
          <w:sz w:val="28"/>
          <w:szCs w:val="28"/>
        </w:rPr>
      </w:pPr>
    </w:p>
    <w:p w14:paraId="4FF6D2C1" w14:textId="77777777" w:rsidR="00BC2D5D" w:rsidRPr="0049044B" w:rsidRDefault="00BC2D5D" w:rsidP="00BC2D5D">
      <w:pPr>
        <w:pBdr>
          <w:top w:val="nil"/>
          <w:left w:val="nil"/>
          <w:bottom w:val="nil"/>
          <w:right w:val="nil"/>
          <w:between w:val="nil"/>
        </w:pBdr>
        <w:tabs>
          <w:tab w:val="left" w:pos="1260"/>
        </w:tabs>
        <w:ind w:firstLine="709"/>
        <w:jc w:val="both"/>
        <w:rPr>
          <w:rFonts w:ascii="Times New Roman" w:eastAsia="Times New Roman" w:hAnsi="Times New Roman" w:cs="Times New Roman"/>
          <w:color w:val="000000"/>
          <w:sz w:val="28"/>
          <w:szCs w:val="28"/>
        </w:rPr>
      </w:pPr>
      <w:proofErr w:type="spellStart"/>
      <w:r w:rsidRPr="0049044B">
        <w:rPr>
          <w:rFonts w:ascii="Times New Roman" w:eastAsia="Times New Roman" w:hAnsi="Times New Roman" w:cs="Times New Roman"/>
          <w:color w:val="000000"/>
          <w:sz w:val="28"/>
          <w:szCs w:val="28"/>
        </w:rPr>
        <w:t>Проєкт</w:t>
      </w:r>
      <w:proofErr w:type="spellEnd"/>
      <w:r w:rsidRPr="0049044B">
        <w:rPr>
          <w:rFonts w:ascii="Times New Roman" w:eastAsia="Times New Roman" w:hAnsi="Times New Roman" w:cs="Times New Roman"/>
          <w:color w:val="000000"/>
          <w:sz w:val="28"/>
          <w:szCs w:val="28"/>
        </w:rPr>
        <w:t xml:space="preserve"> наказу Міністерства інфраструктури України «Про внесення змін у додаток до Правил перевезення вантажів у вагонах відкритого типу» (далі – </w:t>
      </w:r>
      <w:proofErr w:type="spellStart"/>
      <w:r w:rsidRPr="0049044B">
        <w:rPr>
          <w:rFonts w:ascii="Times New Roman" w:eastAsia="Times New Roman" w:hAnsi="Times New Roman" w:cs="Times New Roman"/>
          <w:color w:val="000000"/>
          <w:sz w:val="28"/>
          <w:szCs w:val="28"/>
        </w:rPr>
        <w:t>проєкт</w:t>
      </w:r>
      <w:proofErr w:type="spellEnd"/>
      <w:r w:rsidRPr="0049044B">
        <w:rPr>
          <w:rFonts w:ascii="Times New Roman" w:eastAsia="Times New Roman" w:hAnsi="Times New Roman" w:cs="Times New Roman"/>
          <w:color w:val="000000"/>
          <w:sz w:val="28"/>
          <w:szCs w:val="28"/>
        </w:rPr>
        <w:t xml:space="preserve"> наказу) розроблено Міністерством інфраструктури України з власної ініціативи. </w:t>
      </w:r>
    </w:p>
    <w:p w14:paraId="4B0019C4" w14:textId="77777777" w:rsidR="003C2D5A" w:rsidRPr="0049044B" w:rsidRDefault="00BC2D5D" w:rsidP="003C2D5A">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Правилами перевезення вантажів у вагонах відкритого типу, затверджених наказом Міністерства транспорту України від 20 серпня 2001</w:t>
      </w:r>
      <w:r w:rsidR="003A79B9" w:rsidRPr="0049044B">
        <w:rPr>
          <w:rFonts w:ascii="Times New Roman" w:eastAsia="Times New Roman" w:hAnsi="Times New Roman" w:cs="Times New Roman"/>
          <w:color w:val="000000"/>
          <w:sz w:val="28"/>
          <w:szCs w:val="28"/>
        </w:rPr>
        <w:t> </w:t>
      </w:r>
      <w:r w:rsidRPr="0049044B">
        <w:rPr>
          <w:rFonts w:ascii="Times New Roman" w:eastAsia="Times New Roman" w:hAnsi="Times New Roman" w:cs="Times New Roman"/>
          <w:color w:val="000000"/>
          <w:sz w:val="28"/>
          <w:szCs w:val="28"/>
        </w:rPr>
        <w:t xml:space="preserve">року № 542, зареєстрованих у Міністерстві юстиції України 10 вересня 2001 року за № 796/5987) (далі – Правила), передбачено перевезення солі здійснювати у напіввагонах навалом. </w:t>
      </w:r>
      <w:r w:rsidR="003C2D5A" w:rsidRPr="0049044B">
        <w:rPr>
          <w:rFonts w:ascii="Times New Roman" w:eastAsia="Times New Roman" w:hAnsi="Times New Roman" w:cs="Times New Roman"/>
          <w:color w:val="000000"/>
          <w:sz w:val="28"/>
          <w:szCs w:val="28"/>
        </w:rPr>
        <w:t xml:space="preserve">При такому способі перевезення через конструктивні зазори люків напіввагона </w:t>
      </w:r>
      <w:r w:rsidR="001802B2" w:rsidRPr="0049044B">
        <w:rPr>
          <w:rFonts w:ascii="Times New Roman" w:eastAsia="Times New Roman" w:hAnsi="Times New Roman" w:cs="Times New Roman"/>
          <w:color w:val="000000"/>
          <w:sz w:val="28"/>
          <w:szCs w:val="28"/>
        </w:rPr>
        <w:t xml:space="preserve">можлива </w:t>
      </w:r>
      <w:r w:rsidR="003C2D5A" w:rsidRPr="0049044B">
        <w:rPr>
          <w:rFonts w:ascii="Times New Roman" w:eastAsia="Times New Roman" w:hAnsi="Times New Roman" w:cs="Times New Roman"/>
          <w:color w:val="000000"/>
          <w:sz w:val="28"/>
          <w:szCs w:val="28"/>
        </w:rPr>
        <w:t>втрата вантажу до 2 % від маси вантажу, що перевозиться.</w:t>
      </w:r>
    </w:p>
    <w:p w14:paraId="5DE9645F"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При довготривалих опадах, внаслідок розчинності солі у воді (35,9 г/100 мл; при +25°C) з вагона починає текти насичений розчин солі, що призводить до втрати вантажу та забруднення навколишнього середовища (засолювання землі). Також, висихаючи на ходових частинах вагона, сольовий розчин утворює шар солі на візках та елементах гальмівної системи, що може негативно вплинути на ефективність </w:t>
      </w:r>
      <w:r w:rsidR="00DF44AC">
        <w:rPr>
          <w:rFonts w:ascii="Times New Roman" w:eastAsia="Times New Roman" w:hAnsi="Times New Roman" w:cs="Times New Roman"/>
          <w:color w:val="000000"/>
          <w:sz w:val="28"/>
          <w:szCs w:val="28"/>
        </w:rPr>
        <w:t>її</w:t>
      </w:r>
      <w:r w:rsidR="00DF44AC"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роботи.</w:t>
      </w:r>
    </w:p>
    <w:p w14:paraId="5DBC6721"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Крім того, постійний контакт стінок та підлоги вагонів з сіллю прискорює їх корозію, що при тривалому використанні вагонів для таких перевезень призводить до їх псування.</w:t>
      </w:r>
    </w:p>
    <w:p w14:paraId="1FCD35EE" w14:textId="77777777" w:rsidR="00BC2D5D" w:rsidRPr="0049044B" w:rsidRDefault="00BC2D5D"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У результаті такого перевезення вагон із сіллю, завантажений до повної вантажопідйомності, внаслідок опадів стане завантаженим понад вантажопідйомність, що, у свою чергу, може мати негативний вплив на безпеку перевезення. </w:t>
      </w:r>
    </w:p>
    <w:p w14:paraId="1E9AB63E" w14:textId="77777777" w:rsidR="00BC2D5D" w:rsidRPr="0049044B" w:rsidRDefault="00BC2D5D"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 метою виключення негативних ризиків та гармонізації умов перевезення з міжнародними правилами </w:t>
      </w:r>
      <w:proofErr w:type="spellStart"/>
      <w:r w:rsidRPr="0049044B">
        <w:rPr>
          <w:rFonts w:ascii="Times New Roman" w:eastAsia="Times New Roman" w:hAnsi="Times New Roman" w:cs="Times New Roman"/>
          <w:color w:val="000000"/>
          <w:sz w:val="28"/>
          <w:szCs w:val="28"/>
        </w:rPr>
        <w:t>проєктом</w:t>
      </w:r>
      <w:proofErr w:type="spellEnd"/>
      <w:r w:rsidRPr="0049044B">
        <w:rPr>
          <w:rFonts w:ascii="Times New Roman" w:eastAsia="Times New Roman" w:hAnsi="Times New Roman" w:cs="Times New Roman"/>
          <w:color w:val="000000"/>
          <w:sz w:val="28"/>
          <w:szCs w:val="28"/>
        </w:rPr>
        <w:t xml:space="preserve"> наказу передбачено доповнити умови перевезення солі у вагонах відкритого типу шляхом використання вагонних вкладишів та м’яких контейнерів (біг-</w:t>
      </w:r>
      <w:proofErr w:type="spellStart"/>
      <w:r w:rsidRPr="0049044B">
        <w:rPr>
          <w:rFonts w:ascii="Times New Roman" w:eastAsia="Times New Roman" w:hAnsi="Times New Roman" w:cs="Times New Roman"/>
          <w:color w:val="000000"/>
          <w:sz w:val="28"/>
          <w:szCs w:val="28"/>
        </w:rPr>
        <w:t>бег</w:t>
      </w:r>
      <w:proofErr w:type="spellEnd"/>
      <w:r w:rsidRPr="0049044B">
        <w:rPr>
          <w:rFonts w:ascii="Times New Roman" w:eastAsia="Times New Roman" w:hAnsi="Times New Roman" w:cs="Times New Roman"/>
          <w:color w:val="000000"/>
          <w:sz w:val="28"/>
          <w:szCs w:val="28"/>
        </w:rPr>
        <w:t xml:space="preserve">). </w:t>
      </w:r>
    </w:p>
    <w:p w14:paraId="304E26A4" w14:textId="77777777" w:rsidR="00BC2D5D" w:rsidRPr="0049044B" w:rsidRDefault="00112C37"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Звертаємо увагу</w:t>
      </w:r>
      <w:r w:rsidR="00BC2D5D" w:rsidRPr="0049044B">
        <w:rPr>
          <w:rFonts w:ascii="Times New Roman" w:eastAsia="Times New Roman" w:hAnsi="Times New Roman" w:cs="Times New Roman"/>
          <w:color w:val="000000"/>
          <w:sz w:val="28"/>
          <w:szCs w:val="28"/>
        </w:rPr>
        <w:t xml:space="preserve">, що правилами перевезення вантажів у вагонах відкритого типу, які діють в Республіці Білорусь, Республіці Казахстан, Росії передбачено здійснювати перевезення солі та концентрату мінерального «Галіт» у </w:t>
      </w:r>
      <w:proofErr w:type="spellStart"/>
      <w:r w:rsidR="00BC2D5D" w:rsidRPr="0049044B">
        <w:rPr>
          <w:rFonts w:ascii="Times New Roman" w:eastAsia="Times New Roman" w:hAnsi="Times New Roman" w:cs="Times New Roman"/>
          <w:color w:val="000000"/>
          <w:sz w:val="28"/>
          <w:szCs w:val="28"/>
        </w:rPr>
        <w:t>спецконтейнерах</w:t>
      </w:r>
      <w:proofErr w:type="spellEnd"/>
      <w:r w:rsidR="00BC2D5D" w:rsidRPr="0049044B">
        <w:rPr>
          <w:rFonts w:ascii="Times New Roman" w:eastAsia="Times New Roman" w:hAnsi="Times New Roman" w:cs="Times New Roman"/>
          <w:color w:val="000000"/>
          <w:sz w:val="28"/>
          <w:szCs w:val="28"/>
        </w:rPr>
        <w:t>.</w:t>
      </w:r>
    </w:p>
    <w:p w14:paraId="412D2B4F" w14:textId="77777777" w:rsidR="00112C37" w:rsidRDefault="00BC2D5D" w:rsidP="00BC2D5D">
      <w:pPr>
        <w:pBdr>
          <w:top w:val="nil"/>
          <w:left w:val="nil"/>
          <w:bottom w:val="nil"/>
          <w:right w:val="nil"/>
          <w:between w:val="nil"/>
        </w:pBdr>
        <w:tabs>
          <w:tab w:val="left" w:pos="993"/>
        </w:tabs>
        <w:ind w:firstLine="567"/>
        <w:jc w:val="both"/>
        <w:rPr>
          <w:rFonts w:ascii="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Також слід зазначити, що підприємствами України перевозяться нові види продукції, найменування яких відсутні в </w:t>
      </w:r>
      <w:r w:rsidR="000A36E1" w:rsidRPr="0049044B">
        <w:rPr>
          <w:rFonts w:ascii="Times New Roman" w:eastAsia="Times New Roman" w:hAnsi="Times New Roman" w:cs="Times New Roman"/>
          <w:color w:val="000000"/>
          <w:sz w:val="28"/>
          <w:szCs w:val="28"/>
        </w:rPr>
        <w:t>П</w:t>
      </w:r>
      <w:r w:rsidRPr="0049044B">
        <w:rPr>
          <w:rFonts w:ascii="Times New Roman" w:eastAsia="Times New Roman" w:hAnsi="Times New Roman" w:cs="Times New Roman"/>
          <w:color w:val="000000"/>
          <w:sz w:val="28"/>
          <w:szCs w:val="28"/>
        </w:rPr>
        <w:t>равилах.</w:t>
      </w:r>
      <w:r w:rsidRPr="0049044B">
        <w:rPr>
          <w:rFonts w:ascii="Times New Roman" w:hAnsi="Times New Roman" w:cs="Times New Roman"/>
          <w:color w:val="000000"/>
          <w:sz w:val="28"/>
          <w:szCs w:val="28"/>
        </w:rPr>
        <w:t xml:space="preserve"> На </w:t>
      </w:r>
      <w:r w:rsidR="0029268B">
        <w:rPr>
          <w:rFonts w:ascii="Times New Roman" w:hAnsi="Times New Roman" w:cs="Times New Roman"/>
          <w:color w:val="000000"/>
          <w:sz w:val="28"/>
          <w:szCs w:val="28"/>
        </w:rPr>
        <w:t>цей</w:t>
      </w:r>
      <w:r w:rsidRPr="0049044B">
        <w:rPr>
          <w:rFonts w:ascii="Times New Roman" w:hAnsi="Times New Roman" w:cs="Times New Roman"/>
          <w:color w:val="000000"/>
          <w:sz w:val="28"/>
          <w:szCs w:val="28"/>
        </w:rPr>
        <w:t xml:space="preserve"> час вантаж «Концентрат мінеральний «Галіт» (сировина, з якої добувають сіль) </w:t>
      </w:r>
      <w:r w:rsidRPr="0049044B">
        <w:rPr>
          <w:rFonts w:ascii="Times New Roman" w:eastAsia="Times New Roman" w:hAnsi="Times New Roman" w:cs="Times New Roman"/>
          <w:color w:val="000000"/>
          <w:sz w:val="28"/>
          <w:szCs w:val="28"/>
        </w:rPr>
        <w:t xml:space="preserve">«Маса електродна» </w:t>
      </w:r>
      <w:r w:rsidRPr="0049044B">
        <w:rPr>
          <w:rFonts w:ascii="Times New Roman" w:hAnsi="Times New Roman" w:cs="Times New Roman"/>
          <w:color w:val="000000"/>
          <w:sz w:val="28"/>
          <w:szCs w:val="28"/>
        </w:rPr>
        <w:t xml:space="preserve">відсутні у переліку вантажів, перевезення яких допускається у вагонах відкритого типу. </w:t>
      </w:r>
    </w:p>
    <w:p w14:paraId="7CE34558" w14:textId="77777777" w:rsidR="00BC2D5D" w:rsidRPr="0049044B" w:rsidRDefault="00BC2D5D"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6E5025">
        <w:rPr>
          <w:rFonts w:ascii="Times New Roman" w:eastAsia="Times New Roman" w:hAnsi="Times New Roman" w:cs="Times New Roman"/>
          <w:sz w:val="28"/>
          <w:szCs w:val="28"/>
        </w:rPr>
        <w:lastRenderedPageBreak/>
        <w:t>Так, у 20</w:t>
      </w:r>
      <w:r w:rsidR="00AA0353" w:rsidRPr="006E5025">
        <w:rPr>
          <w:rFonts w:ascii="Times New Roman" w:eastAsia="Times New Roman" w:hAnsi="Times New Roman" w:cs="Times New Roman"/>
          <w:sz w:val="28"/>
          <w:szCs w:val="28"/>
        </w:rPr>
        <w:t>20</w:t>
      </w:r>
      <w:r w:rsidRPr="006E5025">
        <w:rPr>
          <w:rFonts w:ascii="Times New Roman" w:eastAsia="Times New Roman" w:hAnsi="Times New Roman" w:cs="Times New Roman"/>
          <w:sz w:val="28"/>
          <w:szCs w:val="28"/>
        </w:rPr>
        <w:t xml:space="preserve"> році було перевезено близько </w:t>
      </w:r>
      <w:r w:rsidR="003E399D" w:rsidRPr="006E5025">
        <w:rPr>
          <w:rFonts w:ascii="Times New Roman" w:eastAsia="Times New Roman" w:hAnsi="Times New Roman" w:cs="Times New Roman"/>
          <w:sz w:val="28"/>
          <w:szCs w:val="28"/>
        </w:rPr>
        <w:t>27</w:t>
      </w:r>
      <w:r w:rsidRPr="006E5025">
        <w:rPr>
          <w:rFonts w:ascii="Times New Roman" w:eastAsia="Times New Roman" w:hAnsi="Times New Roman" w:cs="Times New Roman"/>
          <w:sz w:val="28"/>
          <w:szCs w:val="28"/>
        </w:rPr>
        <w:t xml:space="preserve"> тис</w:t>
      </w:r>
      <w:r w:rsidR="0029268B" w:rsidRPr="006E5025">
        <w:rPr>
          <w:rFonts w:ascii="Times New Roman" w:eastAsia="Times New Roman" w:hAnsi="Times New Roman" w:cs="Times New Roman"/>
          <w:sz w:val="28"/>
          <w:szCs w:val="28"/>
        </w:rPr>
        <w:t>.</w:t>
      </w:r>
      <w:r w:rsidRPr="006E5025">
        <w:rPr>
          <w:rFonts w:ascii="Times New Roman" w:eastAsia="Times New Roman" w:hAnsi="Times New Roman" w:cs="Times New Roman"/>
          <w:sz w:val="28"/>
          <w:szCs w:val="28"/>
        </w:rPr>
        <w:t xml:space="preserve"> т</w:t>
      </w:r>
      <w:r w:rsidR="00C722AC" w:rsidRPr="006E5025">
        <w:rPr>
          <w:rFonts w:ascii="Times New Roman" w:eastAsia="Times New Roman" w:hAnsi="Times New Roman" w:cs="Times New Roman"/>
          <w:sz w:val="28"/>
          <w:szCs w:val="28"/>
        </w:rPr>
        <w:t>он</w:t>
      </w:r>
      <w:r w:rsidR="0029268B" w:rsidRPr="006E5025">
        <w:rPr>
          <w:rFonts w:ascii="Times New Roman" w:eastAsia="Times New Roman" w:hAnsi="Times New Roman" w:cs="Times New Roman"/>
          <w:sz w:val="28"/>
          <w:szCs w:val="28"/>
        </w:rPr>
        <w:t>н</w:t>
      </w:r>
      <w:r w:rsidRPr="006E5025">
        <w:rPr>
          <w:rFonts w:ascii="Times New Roman" w:eastAsia="Times New Roman" w:hAnsi="Times New Roman" w:cs="Times New Roman"/>
          <w:sz w:val="28"/>
          <w:szCs w:val="28"/>
        </w:rPr>
        <w:t xml:space="preserve"> вантажів «Маса електродна» та «Концентрат мінеральний «Галіт</w:t>
      </w:r>
      <w:r w:rsidRPr="0049044B">
        <w:rPr>
          <w:rFonts w:ascii="Times New Roman" w:eastAsia="Times New Roman" w:hAnsi="Times New Roman" w:cs="Times New Roman"/>
          <w:color w:val="000000"/>
          <w:sz w:val="28"/>
          <w:szCs w:val="28"/>
        </w:rPr>
        <w:t xml:space="preserve">» на погоджених між перевізником та відправником умовах. Тому, пропонується доповнити Перелік вантажів, перевезення яких допускається у вагонах відкритого типу (додаток до пункту 1 Правил), новими найменуваннями вантажів: «Концентрат мінеральний «Галіт» (код ЄТСНВ 242128) у вагонних вкладишах та м'яких контейнерах </w:t>
      </w:r>
      <w:r w:rsidR="00146B94" w:rsidRPr="0049044B">
        <w:rPr>
          <w:rFonts w:ascii="Times New Roman" w:eastAsia="Times New Roman" w:hAnsi="Times New Roman" w:cs="Times New Roman"/>
          <w:color w:val="000000"/>
          <w:sz w:val="28"/>
          <w:szCs w:val="28"/>
        </w:rPr>
        <w:t>та «Маса електродна» (код ЄТСНВ 47308)</w:t>
      </w:r>
      <w:r w:rsidR="00146B94">
        <w:rPr>
          <w:rFonts w:ascii="Times New Roman" w:eastAsia="Times New Roman" w:hAnsi="Times New Roman" w:cs="Times New Roman"/>
          <w:color w:val="000000"/>
          <w:sz w:val="28"/>
          <w:szCs w:val="28"/>
        </w:rPr>
        <w:t>.</w:t>
      </w:r>
    </w:p>
    <w:p w14:paraId="35E84465" w14:textId="77777777" w:rsidR="00F56302" w:rsidRDefault="00336D0D" w:rsidP="00F56302">
      <w:pPr>
        <w:pBdr>
          <w:top w:val="nil"/>
          <w:left w:val="nil"/>
          <w:bottom w:val="nil"/>
          <w:right w:val="nil"/>
          <w:between w:val="nil"/>
        </w:pBdr>
        <w:tabs>
          <w:tab w:val="left" w:pos="-3686"/>
        </w:tabs>
        <w:ind w:right="45" w:firstLine="70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Внесення змін до Правил, у разі вибору відправниками умов перевезення вантажів у відкритих вагонах, може призвести до збільшення витрат за рахунок вартості вагонних вкладишів та м’яких контейнерів. Однак, </w:t>
      </w:r>
      <w:r w:rsidR="00F56302" w:rsidRPr="0049044B">
        <w:rPr>
          <w:rFonts w:ascii="Times New Roman" w:eastAsia="Times New Roman" w:hAnsi="Times New Roman" w:cs="Times New Roman"/>
          <w:color w:val="000000"/>
          <w:sz w:val="28"/>
          <w:szCs w:val="28"/>
        </w:rPr>
        <w:t>ці зміни</w:t>
      </w:r>
      <w:r w:rsidRPr="0049044B">
        <w:rPr>
          <w:rFonts w:ascii="Times New Roman" w:eastAsia="Times New Roman" w:hAnsi="Times New Roman" w:cs="Times New Roman"/>
          <w:color w:val="000000"/>
          <w:sz w:val="28"/>
          <w:szCs w:val="28"/>
        </w:rPr>
        <w:t xml:space="preserve"> дозвол</w:t>
      </w:r>
      <w:r w:rsidR="00F56302" w:rsidRPr="0049044B">
        <w:rPr>
          <w:rFonts w:ascii="Times New Roman" w:eastAsia="Times New Roman" w:hAnsi="Times New Roman" w:cs="Times New Roman"/>
          <w:color w:val="000000"/>
          <w:sz w:val="28"/>
          <w:szCs w:val="28"/>
        </w:rPr>
        <w:t>ять</w:t>
      </w:r>
      <w:r w:rsidRPr="0049044B">
        <w:rPr>
          <w:rFonts w:ascii="Times New Roman" w:eastAsia="Times New Roman" w:hAnsi="Times New Roman" w:cs="Times New Roman"/>
          <w:color w:val="000000"/>
          <w:sz w:val="28"/>
          <w:szCs w:val="28"/>
        </w:rPr>
        <w:t xml:space="preserve"> покращити збереженість рухомого складу, зменшит</w:t>
      </w:r>
      <w:r w:rsidR="00F56302" w:rsidRPr="0049044B">
        <w:rPr>
          <w:rFonts w:ascii="Times New Roman" w:eastAsia="Times New Roman" w:hAnsi="Times New Roman" w:cs="Times New Roman"/>
          <w:color w:val="000000"/>
          <w:sz w:val="28"/>
          <w:szCs w:val="28"/>
        </w:rPr>
        <w:t>и</w:t>
      </w:r>
      <w:r w:rsidRPr="0049044B">
        <w:rPr>
          <w:rFonts w:ascii="Times New Roman" w:eastAsia="Times New Roman" w:hAnsi="Times New Roman" w:cs="Times New Roman"/>
          <w:color w:val="000000"/>
          <w:sz w:val="28"/>
          <w:szCs w:val="28"/>
        </w:rPr>
        <w:t xml:space="preserve"> ризик виникнення аварійних ситуацій та забруднення навколишнього природного середовища</w:t>
      </w:r>
      <w:r w:rsidR="00EF67D7" w:rsidRPr="0049044B">
        <w:rPr>
          <w:rFonts w:ascii="Times New Roman" w:eastAsia="Times New Roman" w:hAnsi="Times New Roman" w:cs="Times New Roman"/>
          <w:color w:val="000000"/>
          <w:sz w:val="28"/>
          <w:szCs w:val="28"/>
        </w:rPr>
        <w:t>, забезпечать схоронність вантажів</w:t>
      </w:r>
      <w:r w:rsidRPr="0049044B">
        <w:rPr>
          <w:rFonts w:ascii="Times New Roman" w:eastAsia="Times New Roman" w:hAnsi="Times New Roman" w:cs="Times New Roman"/>
          <w:color w:val="000000"/>
          <w:sz w:val="28"/>
          <w:szCs w:val="28"/>
        </w:rPr>
        <w:t xml:space="preserve"> </w:t>
      </w:r>
      <w:r w:rsidR="00EF67D7" w:rsidRPr="0049044B">
        <w:rPr>
          <w:rFonts w:ascii="Times New Roman" w:eastAsia="Times New Roman" w:hAnsi="Times New Roman" w:cs="Times New Roman"/>
          <w:color w:val="000000"/>
          <w:sz w:val="28"/>
          <w:szCs w:val="28"/>
        </w:rPr>
        <w:t xml:space="preserve">при перевезенні </w:t>
      </w:r>
      <w:r w:rsidRPr="0049044B">
        <w:rPr>
          <w:rFonts w:ascii="Times New Roman" w:eastAsia="Times New Roman" w:hAnsi="Times New Roman" w:cs="Times New Roman"/>
          <w:color w:val="000000"/>
          <w:sz w:val="28"/>
          <w:szCs w:val="28"/>
        </w:rPr>
        <w:t>та забезпеч</w:t>
      </w:r>
      <w:r w:rsidR="00EF67D7" w:rsidRPr="0049044B">
        <w:rPr>
          <w:rFonts w:ascii="Times New Roman" w:eastAsia="Times New Roman" w:hAnsi="Times New Roman" w:cs="Times New Roman"/>
          <w:color w:val="000000"/>
          <w:sz w:val="28"/>
          <w:szCs w:val="28"/>
        </w:rPr>
        <w:t>ать</w:t>
      </w:r>
      <w:r w:rsidRPr="0049044B">
        <w:rPr>
          <w:rFonts w:ascii="Times New Roman" w:eastAsia="Times New Roman" w:hAnsi="Times New Roman" w:cs="Times New Roman"/>
          <w:color w:val="000000"/>
          <w:sz w:val="28"/>
          <w:szCs w:val="28"/>
        </w:rPr>
        <w:t xml:space="preserve"> </w:t>
      </w:r>
      <w:r w:rsidR="00F56302" w:rsidRPr="0049044B">
        <w:rPr>
          <w:rFonts w:ascii="Times New Roman" w:eastAsia="Times New Roman" w:hAnsi="Times New Roman" w:cs="Times New Roman"/>
          <w:color w:val="000000"/>
          <w:sz w:val="28"/>
          <w:szCs w:val="28"/>
        </w:rPr>
        <w:t>гармонізацію умов перевезення вантажів у внутрішньому та міжнародному перевезеннях.</w:t>
      </w:r>
    </w:p>
    <w:p w14:paraId="2A94A13F" w14:textId="77777777" w:rsidR="00112C37" w:rsidRPr="0049044B" w:rsidRDefault="00112C37" w:rsidP="00112C3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B00EF4">
        <w:rPr>
          <w:rFonts w:ascii="Times New Roman" w:eastAsia="Times New Roman" w:hAnsi="Times New Roman" w:cs="Times New Roman"/>
          <w:color w:val="000000"/>
          <w:sz w:val="28"/>
          <w:szCs w:val="28"/>
        </w:rPr>
        <w:t>Водночас під час громадськи</w:t>
      </w:r>
      <w:r w:rsidR="006B3BB0" w:rsidRPr="00B00EF4">
        <w:rPr>
          <w:rFonts w:ascii="Times New Roman" w:eastAsia="Times New Roman" w:hAnsi="Times New Roman" w:cs="Times New Roman"/>
          <w:color w:val="000000"/>
          <w:sz w:val="28"/>
          <w:szCs w:val="28"/>
        </w:rPr>
        <w:t xml:space="preserve">х обговорень регуляторного акта, які відбувались 09.06.2020-09.07.2020 та 28.11.2020-28.12.2020 зауважень та пропозицій до </w:t>
      </w:r>
      <w:proofErr w:type="spellStart"/>
      <w:r w:rsidR="006B3BB0" w:rsidRPr="00B00EF4">
        <w:rPr>
          <w:rFonts w:ascii="Times New Roman" w:eastAsia="Times New Roman" w:hAnsi="Times New Roman" w:cs="Times New Roman"/>
          <w:color w:val="000000"/>
          <w:sz w:val="28"/>
          <w:szCs w:val="28"/>
        </w:rPr>
        <w:t>проєкт</w:t>
      </w:r>
      <w:proofErr w:type="spellEnd"/>
      <w:r w:rsidR="006B3BB0" w:rsidRPr="00B00EF4">
        <w:rPr>
          <w:rFonts w:ascii="Times New Roman" w:eastAsia="Times New Roman" w:hAnsi="Times New Roman" w:cs="Times New Roman"/>
          <w:color w:val="000000"/>
          <w:sz w:val="28"/>
          <w:szCs w:val="28"/>
        </w:rPr>
        <w:t xml:space="preserve"> наказу від суб’єктів господарювання до  Мінінфраструктури не надходило.</w:t>
      </w:r>
    </w:p>
    <w:p w14:paraId="22FABD76" w14:textId="77777777" w:rsidR="00BC2D5D" w:rsidRPr="0049044B" w:rsidRDefault="00BC2D5D" w:rsidP="00BC2D5D">
      <w:pPr>
        <w:keepNext/>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Визначення основних груп (підгруп), на які проблема справляє вплив</w:t>
      </w:r>
      <w:r w:rsidR="00CB415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p>
    <w:p w14:paraId="08432DF7" w14:textId="77777777" w:rsidR="00BC2D5D" w:rsidRPr="0049044B" w:rsidRDefault="00BC2D5D" w:rsidP="00BC2D5D">
      <w:pPr>
        <w:keepNext/>
        <w:pBdr>
          <w:top w:val="nil"/>
          <w:left w:val="nil"/>
          <w:bottom w:val="nil"/>
          <w:right w:val="nil"/>
          <w:between w:val="nil"/>
        </w:pBdr>
        <w:ind w:firstLine="709"/>
        <w:jc w:val="both"/>
        <w:rPr>
          <w:rFonts w:ascii="Times New Roman" w:eastAsia="Times New Roman" w:hAnsi="Times New Roman" w:cs="Times New Roman"/>
          <w:color w:val="000000"/>
          <w:sz w:val="28"/>
          <w:szCs w:val="28"/>
        </w:rPr>
      </w:pPr>
    </w:p>
    <w:tbl>
      <w:tblPr>
        <w:tblStyle w:val="9"/>
        <w:tblW w:w="97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3"/>
        <w:gridCol w:w="3212"/>
        <w:gridCol w:w="3204"/>
      </w:tblGrid>
      <w:tr w:rsidR="00BC2D5D" w:rsidRPr="0049044B" w14:paraId="25E5A605" w14:textId="77777777" w:rsidTr="003A79B9">
        <w:trPr>
          <w:trHeight w:val="439"/>
        </w:trPr>
        <w:tc>
          <w:tcPr>
            <w:tcW w:w="3304" w:type="dxa"/>
          </w:tcPr>
          <w:p w14:paraId="144704E5"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Групи (підгрупи)</w:t>
            </w:r>
          </w:p>
        </w:tc>
        <w:tc>
          <w:tcPr>
            <w:tcW w:w="3212" w:type="dxa"/>
          </w:tcPr>
          <w:p w14:paraId="03938675"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Так</w:t>
            </w:r>
          </w:p>
        </w:tc>
        <w:tc>
          <w:tcPr>
            <w:tcW w:w="3204" w:type="dxa"/>
          </w:tcPr>
          <w:p w14:paraId="4D99F1FF"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Ні</w:t>
            </w:r>
          </w:p>
        </w:tc>
      </w:tr>
      <w:tr w:rsidR="00BC2D5D" w:rsidRPr="0049044B" w14:paraId="4308BD3C" w14:textId="77777777" w:rsidTr="003A79B9">
        <w:trPr>
          <w:trHeight w:val="423"/>
        </w:trPr>
        <w:tc>
          <w:tcPr>
            <w:tcW w:w="3304" w:type="dxa"/>
          </w:tcPr>
          <w:p w14:paraId="761ED43F"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Громадяни</w:t>
            </w:r>
          </w:p>
        </w:tc>
        <w:tc>
          <w:tcPr>
            <w:tcW w:w="3212" w:type="dxa"/>
          </w:tcPr>
          <w:p w14:paraId="17C16B34"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14:paraId="723A562C" w14:textId="77777777" w:rsidR="00BC2D5D" w:rsidRPr="0049044B" w:rsidRDefault="00F56302"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r w:rsidR="00BC2D5D" w:rsidRPr="0049044B" w14:paraId="2E18F66B" w14:textId="77777777" w:rsidTr="003A79B9">
        <w:trPr>
          <w:trHeight w:val="439"/>
        </w:trPr>
        <w:tc>
          <w:tcPr>
            <w:tcW w:w="3304" w:type="dxa"/>
          </w:tcPr>
          <w:p w14:paraId="41508C53"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Держава</w:t>
            </w:r>
          </w:p>
        </w:tc>
        <w:tc>
          <w:tcPr>
            <w:tcW w:w="3212" w:type="dxa"/>
          </w:tcPr>
          <w:p w14:paraId="4A242AB6"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14:paraId="68876ACC"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r w:rsidR="00BC2D5D" w:rsidRPr="0049044B" w14:paraId="374A67C8" w14:textId="77777777" w:rsidTr="003A79B9">
        <w:trPr>
          <w:trHeight w:val="687"/>
        </w:trPr>
        <w:tc>
          <w:tcPr>
            <w:tcW w:w="3304" w:type="dxa"/>
          </w:tcPr>
          <w:p w14:paraId="0EB22657"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Суб’єкти господарювання </w:t>
            </w:r>
          </w:p>
        </w:tc>
        <w:tc>
          <w:tcPr>
            <w:tcW w:w="3212" w:type="dxa"/>
          </w:tcPr>
          <w:p w14:paraId="6375854F"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14:paraId="2E882043"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r w:rsidR="00BC2D5D" w:rsidRPr="0049044B" w14:paraId="5BF9E167" w14:textId="77777777" w:rsidTr="003A79B9">
        <w:trPr>
          <w:trHeight w:val="687"/>
        </w:trPr>
        <w:tc>
          <w:tcPr>
            <w:tcW w:w="3304" w:type="dxa"/>
          </w:tcPr>
          <w:p w14:paraId="3C7C3B66"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у тому числі й суб’єкти малого підприємництва*</w:t>
            </w:r>
          </w:p>
        </w:tc>
        <w:tc>
          <w:tcPr>
            <w:tcW w:w="3212" w:type="dxa"/>
          </w:tcPr>
          <w:p w14:paraId="04FF866F"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14:paraId="59D503A6"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bl>
    <w:p w14:paraId="1C490E0D"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*Проблема не впливає на суб’єктів малого підприємництва, у подальших таблицях конкретизовано питому вагу суб’єктів підприємництва у загальній кількості суб’єктів господарювання, на яких проблема справляє вплив.</w:t>
      </w:r>
    </w:p>
    <w:p w14:paraId="39ACD633"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36A23553"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ІІ. Цілі державного регулювання</w:t>
      </w:r>
    </w:p>
    <w:p w14:paraId="07E47FFB"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640E76F4" w14:textId="77777777"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Ціллю </w:t>
      </w:r>
      <w:proofErr w:type="spellStart"/>
      <w:r w:rsidRPr="0049044B">
        <w:rPr>
          <w:rFonts w:ascii="Times New Roman" w:eastAsia="Times New Roman" w:hAnsi="Times New Roman" w:cs="Times New Roman"/>
          <w:color w:val="000000"/>
          <w:sz w:val="28"/>
          <w:szCs w:val="28"/>
        </w:rPr>
        <w:t>проєкту</w:t>
      </w:r>
      <w:proofErr w:type="spellEnd"/>
      <w:r w:rsidRPr="0049044B">
        <w:rPr>
          <w:rFonts w:ascii="Times New Roman" w:eastAsia="Times New Roman" w:hAnsi="Times New Roman" w:cs="Times New Roman"/>
          <w:color w:val="000000"/>
          <w:sz w:val="28"/>
          <w:szCs w:val="28"/>
        </w:rPr>
        <w:t xml:space="preserve"> наказу є:</w:t>
      </w:r>
    </w:p>
    <w:p w14:paraId="19F66661" w14:textId="77777777"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виключення негативних ризиків від впливу розчину солі, що утворюється під дією атмосферних опадів при перевезенні у відкритих вагонах, що буде сприяти зменшенню ризику виникнення аварійних ситуацій;</w:t>
      </w:r>
    </w:p>
    <w:p w14:paraId="1CC254C2" w14:textId="77777777" w:rsidR="00EF67D7" w:rsidRPr="0049044B" w:rsidRDefault="00EF67D7"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забезпечення схоронності вантажів;</w:t>
      </w:r>
    </w:p>
    <w:p w14:paraId="663A4ED2" w14:textId="77777777"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уникнення потрапляння розчину солі до навколишнього середовища на шляху прямування вагона;</w:t>
      </w:r>
    </w:p>
    <w:p w14:paraId="65EEBEE7" w14:textId="77777777"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забезпечення однакових умов перевезення солі та «Концентрату мінерального «Галіт» у внутрішньому та міжнародному сполученнях;</w:t>
      </w:r>
    </w:p>
    <w:p w14:paraId="131EA459" w14:textId="77777777"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створення сприятливих умов для відправників при перевезенні вантажів «Маса електродна» та </w:t>
      </w:r>
      <w:r w:rsidRPr="0049044B">
        <w:rPr>
          <w:rFonts w:ascii="Times New Roman" w:hAnsi="Times New Roman" w:cs="Times New Roman"/>
          <w:color w:val="000000"/>
          <w:sz w:val="28"/>
          <w:szCs w:val="28"/>
        </w:rPr>
        <w:t>«Концентрат мінеральний «Галіт» без додаткового погодження умов перевезення з залізницею</w:t>
      </w:r>
      <w:r w:rsidRPr="0049044B">
        <w:rPr>
          <w:rFonts w:ascii="Times New Roman" w:eastAsia="Times New Roman" w:hAnsi="Times New Roman" w:cs="Times New Roman"/>
          <w:color w:val="000000"/>
          <w:sz w:val="28"/>
          <w:szCs w:val="28"/>
        </w:rPr>
        <w:t>.</w:t>
      </w:r>
    </w:p>
    <w:p w14:paraId="1993AA8C"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510289E3" w14:textId="77777777"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ІІІ. Визначення та оцінка альтернативних способів досягнення цілей</w:t>
      </w:r>
    </w:p>
    <w:p w14:paraId="697098D0" w14:textId="77777777"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p>
    <w:p w14:paraId="1FA34B1E" w14:textId="77777777" w:rsidR="00BC2D5D" w:rsidRPr="0049044B" w:rsidRDefault="00BC2D5D" w:rsidP="00BC2D5D">
      <w:pPr>
        <w:numPr>
          <w:ilvl w:val="0"/>
          <w:numId w:val="3"/>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Визначення альтернативних способів здійснено на підставі досліджень ринку збуту солі та вартості вагонних вкладишів і м’яких контейнерів, обсягів перевезення вантажу.</w:t>
      </w:r>
    </w:p>
    <w:p w14:paraId="5685726C" w14:textId="77777777" w:rsidR="00BC2D5D" w:rsidRPr="0049044B" w:rsidRDefault="00BC2D5D" w:rsidP="00BC2D5D">
      <w:pPr>
        <w:pBdr>
          <w:top w:val="nil"/>
          <w:left w:val="nil"/>
          <w:bottom w:val="nil"/>
          <w:right w:val="nil"/>
          <w:between w:val="nil"/>
        </w:pBdr>
        <w:ind w:left="1068"/>
        <w:jc w:val="both"/>
        <w:rPr>
          <w:rFonts w:ascii="Times New Roman" w:eastAsia="Times New Roman" w:hAnsi="Times New Roman" w:cs="Times New Roman"/>
          <w:color w:val="000000"/>
          <w:sz w:val="28"/>
          <w:szCs w:val="28"/>
        </w:rPr>
      </w:pPr>
    </w:p>
    <w:tbl>
      <w:tblPr>
        <w:tblStyle w:val="8"/>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9"/>
        <w:gridCol w:w="5235"/>
      </w:tblGrid>
      <w:tr w:rsidR="00BC2D5D" w:rsidRPr="0049044B" w14:paraId="67A7D550" w14:textId="77777777" w:rsidTr="003A79B9">
        <w:tc>
          <w:tcPr>
            <w:tcW w:w="4619" w:type="dxa"/>
          </w:tcPr>
          <w:p w14:paraId="58837FBC"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альтернативи</w:t>
            </w:r>
          </w:p>
        </w:tc>
        <w:tc>
          <w:tcPr>
            <w:tcW w:w="5235" w:type="dxa"/>
          </w:tcPr>
          <w:p w14:paraId="47C83BB8"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Опис альтернативи</w:t>
            </w:r>
          </w:p>
        </w:tc>
      </w:tr>
      <w:tr w:rsidR="00BC2D5D" w:rsidRPr="0049044B" w14:paraId="19CBC94D" w14:textId="77777777" w:rsidTr="003A79B9">
        <w:tc>
          <w:tcPr>
            <w:tcW w:w="4619" w:type="dxa"/>
          </w:tcPr>
          <w:p w14:paraId="2CAF453E"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1 </w:t>
            </w:r>
          </w:p>
        </w:tc>
        <w:tc>
          <w:tcPr>
            <w:tcW w:w="5235" w:type="dxa"/>
          </w:tcPr>
          <w:p w14:paraId="5B001392"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Збереження існуючої ситуації</w:t>
            </w:r>
          </w:p>
          <w:p w14:paraId="2CFB9CC9"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Вантаж сіль при перевезенні у напіввагонах зазнає впливу атмосферних опадів. Розчиняючись у воді – витікає з вагона. Сольовий розчин прискорює корозію кузова вагона; випаровуючись на ходових та гальмівних частинах вагона, залишає шар солі, що збільшує ризик виникнення аварійної ситуації.</w:t>
            </w:r>
          </w:p>
          <w:p w14:paraId="4BBA8F34" w14:textId="77777777" w:rsidR="003C2D5A" w:rsidRPr="0049044B" w:rsidRDefault="001802B2" w:rsidP="003C2D5A">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Можлива в</w:t>
            </w:r>
            <w:r w:rsidR="003C2D5A" w:rsidRPr="0049044B">
              <w:rPr>
                <w:rFonts w:ascii="Times New Roman" w:eastAsia="Times New Roman" w:hAnsi="Times New Roman" w:cs="Times New Roman"/>
                <w:color w:val="000000"/>
                <w:sz w:val="28"/>
                <w:szCs w:val="28"/>
              </w:rPr>
              <w:t>трата вантажу через конструктивні зазори люків напіввагона.</w:t>
            </w:r>
          </w:p>
          <w:p w14:paraId="4F14A2F8"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Умови перевезення солі та концентрату мінерального «Галіт» будуть мати відмінності з міжнародними правилами.</w:t>
            </w:r>
          </w:p>
          <w:p w14:paraId="65BCDF34" w14:textId="77777777" w:rsidR="00BC2D5D" w:rsidRPr="0049044B" w:rsidRDefault="00BC2D5D" w:rsidP="00AA035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«Концентрат мінеральний «Галіт»</w:t>
            </w:r>
            <w:r w:rsidRPr="0049044B">
              <w:rPr>
                <w:rFonts w:ascii="Times New Roman" w:eastAsia="Times New Roman" w:hAnsi="Times New Roman" w:cs="Times New Roman"/>
                <w:color w:val="000000"/>
                <w:sz w:val="28"/>
                <w:szCs w:val="28"/>
              </w:rPr>
              <w:t xml:space="preserve"> у Правилах призводить до погодження 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r>
      <w:tr w:rsidR="00BC2D5D" w:rsidRPr="0049044B" w14:paraId="35759EB4" w14:textId="77777777" w:rsidTr="003A79B9">
        <w:tc>
          <w:tcPr>
            <w:tcW w:w="4619" w:type="dxa"/>
          </w:tcPr>
          <w:p w14:paraId="39F648AB"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2 </w:t>
            </w:r>
          </w:p>
        </w:tc>
        <w:tc>
          <w:tcPr>
            <w:tcW w:w="5235" w:type="dxa"/>
          </w:tcPr>
          <w:p w14:paraId="384E9CB7" w14:textId="77777777" w:rsidR="00BC2D5D" w:rsidRPr="0049044B" w:rsidRDefault="0049044B" w:rsidP="00BA3B72">
            <w:pPr>
              <w:pBdr>
                <w:top w:val="nil"/>
                <w:left w:val="nil"/>
                <w:bottom w:val="nil"/>
                <w:right w:val="nil"/>
                <w:between w:val="nil"/>
              </w:pBdr>
              <w:tabs>
                <w:tab w:val="left" w:pos="993"/>
              </w:tabs>
              <w:spacing w:before="240"/>
              <w:ind w:firstLine="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В</w:t>
            </w:r>
            <w:r w:rsidR="00BC2D5D" w:rsidRPr="0049044B">
              <w:rPr>
                <w:rFonts w:ascii="Times New Roman" w:eastAsia="Times New Roman" w:hAnsi="Times New Roman" w:cs="Times New Roman"/>
                <w:color w:val="000000"/>
                <w:sz w:val="28"/>
                <w:szCs w:val="28"/>
              </w:rPr>
              <w:t xml:space="preserve">нести зміни у Перелік вантажів, перевезення яких </w:t>
            </w:r>
            <w:proofErr w:type="gramStart"/>
            <w:r w:rsidR="00BC2D5D" w:rsidRPr="0049044B">
              <w:rPr>
                <w:rFonts w:ascii="Times New Roman" w:eastAsia="Times New Roman" w:hAnsi="Times New Roman" w:cs="Times New Roman"/>
                <w:color w:val="000000"/>
                <w:sz w:val="28"/>
                <w:szCs w:val="28"/>
              </w:rPr>
              <w:t>допускається</w:t>
            </w:r>
            <w:proofErr w:type="gramEnd"/>
            <w:r w:rsidR="00BC2D5D" w:rsidRPr="0049044B">
              <w:rPr>
                <w:rFonts w:ascii="Times New Roman" w:eastAsia="Times New Roman" w:hAnsi="Times New Roman" w:cs="Times New Roman"/>
                <w:color w:val="000000"/>
                <w:sz w:val="28"/>
                <w:szCs w:val="28"/>
              </w:rPr>
              <w:t xml:space="preserve"> у вагонах відкритого типу (додаток до пункту 1 Правил</w:t>
            </w:r>
            <w:r w:rsidR="00BA3B72" w:rsidRPr="0049044B">
              <w:rPr>
                <w:rFonts w:ascii="Times New Roman" w:eastAsia="Times New Roman" w:hAnsi="Times New Roman" w:cs="Times New Roman"/>
                <w:color w:val="000000"/>
                <w:sz w:val="28"/>
                <w:szCs w:val="28"/>
              </w:rPr>
              <w:t>)</w:t>
            </w:r>
            <w:r w:rsidR="00BC2D5D" w:rsidRPr="0049044B">
              <w:rPr>
                <w:rFonts w:ascii="Times New Roman" w:eastAsia="Times New Roman" w:hAnsi="Times New Roman" w:cs="Times New Roman"/>
                <w:color w:val="000000"/>
                <w:sz w:val="28"/>
                <w:szCs w:val="28"/>
              </w:rPr>
              <w:t xml:space="preserve">. </w:t>
            </w:r>
          </w:p>
          <w:p w14:paraId="3ADEF518" w14:textId="77777777" w:rsidR="00BC2D5D" w:rsidRPr="0049044B" w:rsidRDefault="00BC2D5D" w:rsidP="0095099E">
            <w:pPr>
              <w:pBdr>
                <w:top w:val="nil"/>
                <w:left w:val="nil"/>
                <w:bottom w:val="nil"/>
                <w:right w:val="nil"/>
                <w:between w:val="nil"/>
              </w:pBdr>
              <w:tabs>
                <w:tab w:val="left" w:pos="993"/>
              </w:tabs>
              <w:ind w:firstLine="5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Для солі </w:t>
            </w:r>
            <w:proofErr w:type="spellStart"/>
            <w:r w:rsidRPr="0049044B">
              <w:rPr>
                <w:rFonts w:ascii="Times New Roman" w:eastAsia="Times New Roman" w:hAnsi="Times New Roman" w:cs="Times New Roman"/>
                <w:color w:val="000000"/>
                <w:sz w:val="28"/>
                <w:szCs w:val="28"/>
              </w:rPr>
              <w:t>комової</w:t>
            </w:r>
            <w:proofErr w:type="spellEnd"/>
            <w:r w:rsidRPr="0049044B">
              <w:rPr>
                <w:rFonts w:ascii="Times New Roman" w:eastAsia="Times New Roman" w:hAnsi="Times New Roman" w:cs="Times New Roman"/>
                <w:color w:val="000000"/>
                <w:sz w:val="28"/>
                <w:szCs w:val="28"/>
              </w:rPr>
              <w:t xml:space="preserve"> та солі технічної доповнити умови перевезення шляхом використання вагонних вкладишів та м’яких контейнерів (біг-</w:t>
            </w:r>
            <w:proofErr w:type="spellStart"/>
            <w:r w:rsidRPr="0049044B">
              <w:rPr>
                <w:rFonts w:ascii="Times New Roman" w:eastAsia="Times New Roman" w:hAnsi="Times New Roman" w:cs="Times New Roman"/>
                <w:color w:val="000000"/>
                <w:sz w:val="28"/>
                <w:szCs w:val="28"/>
              </w:rPr>
              <w:t>бег</w:t>
            </w:r>
            <w:proofErr w:type="spellEnd"/>
            <w:r w:rsidRPr="0049044B">
              <w:rPr>
                <w:rFonts w:ascii="Times New Roman" w:eastAsia="Times New Roman" w:hAnsi="Times New Roman" w:cs="Times New Roman"/>
                <w:color w:val="000000"/>
                <w:sz w:val="28"/>
                <w:szCs w:val="28"/>
              </w:rPr>
              <w:t xml:space="preserve">); </w:t>
            </w:r>
          </w:p>
          <w:p w14:paraId="166D60AE" w14:textId="77777777" w:rsidR="00BC2D5D" w:rsidRPr="0049044B" w:rsidRDefault="00BC2D5D" w:rsidP="0095099E">
            <w:pPr>
              <w:pBdr>
                <w:top w:val="nil"/>
                <w:left w:val="nil"/>
                <w:bottom w:val="nil"/>
                <w:right w:val="nil"/>
                <w:between w:val="nil"/>
              </w:pBdr>
              <w:tabs>
                <w:tab w:val="left" w:pos="993"/>
              </w:tabs>
              <w:ind w:firstLine="5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Перелік вантажів доповнити новими найменуваннями вантажів: «Концентрат </w:t>
            </w:r>
            <w:r w:rsidRPr="0049044B">
              <w:rPr>
                <w:rFonts w:ascii="Times New Roman" w:eastAsia="Times New Roman" w:hAnsi="Times New Roman" w:cs="Times New Roman"/>
                <w:color w:val="000000"/>
                <w:sz w:val="28"/>
                <w:szCs w:val="28"/>
              </w:rPr>
              <w:lastRenderedPageBreak/>
              <w:t xml:space="preserve">мінеральний «Галіт» (код ЄТСНВ 242128) </w:t>
            </w:r>
            <w:r w:rsidR="00DF44AC" w:rsidRPr="0049044B">
              <w:rPr>
                <w:rFonts w:ascii="Times New Roman" w:eastAsia="Times New Roman" w:hAnsi="Times New Roman" w:cs="Times New Roman"/>
                <w:color w:val="000000"/>
                <w:sz w:val="28"/>
                <w:szCs w:val="28"/>
              </w:rPr>
              <w:t xml:space="preserve">у вагонних вкладишах та м'яких контейнерах </w:t>
            </w:r>
            <w:r w:rsidRPr="0049044B">
              <w:rPr>
                <w:rFonts w:ascii="Times New Roman" w:eastAsia="Times New Roman" w:hAnsi="Times New Roman" w:cs="Times New Roman"/>
                <w:color w:val="000000"/>
                <w:sz w:val="28"/>
                <w:szCs w:val="28"/>
              </w:rPr>
              <w:t xml:space="preserve">та «Маса електродна» (код ЄТСНВ 47308). </w:t>
            </w:r>
          </w:p>
          <w:p w14:paraId="7D22A735" w14:textId="77777777" w:rsidR="00BC2D5D" w:rsidRPr="0049044B" w:rsidRDefault="00BC2D5D" w:rsidP="006B309B">
            <w:pPr>
              <w:pBdr>
                <w:top w:val="nil"/>
                <w:left w:val="nil"/>
                <w:bottom w:val="nil"/>
                <w:right w:val="nil"/>
                <w:between w:val="nil"/>
              </w:pBdr>
              <w:ind w:firstLine="5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Прийняття запропонованих змін дозволить покращити збереженість рухомого складу, зменшить ризик виникнення аварійних ситуацій та забруднення навколишнього природного середовища</w:t>
            </w:r>
            <w:r w:rsidR="006B309B" w:rsidRPr="0049044B">
              <w:rPr>
                <w:rFonts w:ascii="Times New Roman" w:eastAsia="Times New Roman" w:hAnsi="Times New Roman" w:cs="Times New Roman"/>
                <w:color w:val="000000"/>
                <w:sz w:val="28"/>
                <w:szCs w:val="28"/>
              </w:rPr>
              <w:t>, схоронність вантажу</w:t>
            </w:r>
            <w:r w:rsidRPr="0049044B">
              <w:rPr>
                <w:rFonts w:ascii="Times New Roman" w:eastAsia="Times New Roman" w:hAnsi="Times New Roman" w:cs="Times New Roman"/>
                <w:color w:val="000000"/>
                <w:sz w:val="28"/>
                <w:szCs w:val="28"/>
              </w:rPr>
              <w:t xml:space="preserve"> та забезпечить безперебійне перевезення вантажів у внутрішньому та міжнародному сполученнях без додаткового погодження умов перевезення</w:t>
            </w:r>
          </w:p>
        </w:tc>
      </w:tr>
    </w:tbl>
    <w:p w14:paraId="7C56425E" w14:textId="77777777" w:rsidR="00BC2D5D" w:rsidRPr="0049044B" w:rsidRDefault="00BC2D5D" w:rsidP="00BC2D5D">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143D0E55"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Інші способи, що не передбачають розроблення та прийняття наказу, є неприйнятними, оскільки вирішення проблеми лежить передусім у правовій площині. </w:t>
      </w:r>
    </w:p>
    <w:p w14:paraId="055B81DD"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2291AA7E" w14:textId="77777777" w:rsidR="00BC2D5D" w:rsidRPr="0049044B" w:rsidRDefault="00BC2D5D" w:rsidP="00BC2D5D">
      <w:pPr>
        <w:numPr>
          <w:ilvl w:val="0"/>
          <w:numId w:val="3"/>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Оцінка вибраних альтернативних способів досягнення цілей. </w:t>
      </w:r>
    </w:p>
    <w:p w14:paraId="494667E2"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2D0C2737" w14:textId="77777777" w:rsidR="00BC2D5D" w:rsidRPr="0049044B" w:rsidRDefault="00BC2D5D" w:rsidP="00BC2D5D">
      <w:pPr>
        <w:pBdr>
          <w:top w:val="nil"/>
          <w:left w:val="nil"/>
          <w:bottom w:val="nil"/>
          <w:right w:val="nil"/>
          <w:between w:val="nil"/>
        </w:pBdr>
        <w:ind w:firstLine="567"/>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впливу на сферу інтересів держави</w:t>
      </w:r>
    </w:p>
    <w:p w14:paraId="464921DA" w14:textId="77777777" w:rsidR="00CB415F" w:rsidRPr="0049044B" w:rsidRDefault="00CB415F" w:rsidP="00BC2D5D">
      <w:pPr>
        <w:pBdr>
          <w:top w:val="nil"/>
          <w:left w:val="nil"/>
          <w:bottom w:val="nil"/>
          <w:right w:val="nil"/>
          <w:between w:val="nil"/>
        </w:pBdr>
        <w:ind w:firstLine="567"/>
        <w:rPr>
          <w:rFonts w:ascii="Times New Roman" w:eastAsia="Times New Roman" w:hAnsi="Times New Roman" w:cs="Times New Roman"/>
          <w:color w:val="000000"/>
          <w:sz w:val="28"/>
          <w:szCs w:val="28"/>
        </w:rPr>
      </w:pPr>
    </w:p>
    <w:tbl>
      <w:tblPr>
        <w:tblStyle w:val="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4"/>
        <w:gridCol w:w="3491"/>
        <w:gridCol w:w="3283"/>
      </w:tblGrid>
      <w:tr w:rsidR="00BC2D5D" w:rsidRPr="0049044B" w14:paraId="0AD70FA9" w14:textId="77777777" w:rsidTr="003A79B9">
        <w:tc>
          <w:tcPr>
            <w:tcW w:w="2854" w:type="dxa"/>
          </w:tcPr>
          <w:p w14:paraId="7EA47CDC"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альтернативи</w:t>
            </w:r>
          </w:p>
        </w:tc>
        <w:tc>
          <w:tcPr>
            <w:tcW w:w="3491" w:type="dxa"/>
          </w:tcPr>
          <w:p w14:paraId="07570DDE"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Вигоди</w:t>
            </w:r>
          </w:p>
        </w:tc>
        <w:tc>
          <w:tcPr>
            <w:tcW w:w="3283" w:type="dxa"/>
          </w:tcPr>
          <w:p w14:paraId="31BBC090"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Витрати</w:t>
            </w:r>
          </w:p>
        </w:tc>
      </w:tr>
      <w:tr w:rsidR="00BC2D5D" w:rsidRPr="0049044B" w14:paraId="2EAAC2A4" w14:textId="77777777" w:rsidTr="003A79B9">
        <w:tc>
          <w:tcPr>
            <w:tcW w:w="2854" w:type="dxa"/>
          </w:tcPr>
          <w:p w14:paraId="77807479"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p w14:paraId="16013AFF"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491" w:type="dxa"/>
          </w:tcPr>
          <w:p w14:paraId="484117FC" w14:textId="77777777"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Відсутні</w:t>
            </w:r>
          </w:p>
        </w:tc>
        <w:tc>
          <w:tcPr>
            <w:tcW w:w="3283" w:type="dxa"/>
          </w:tcPr>
          <w:p w14:paraId="0442061A" w14:textId="77777777" w:rsidR="00F56302" w:rsidRPr="0049044B" w:rsidRDefault="003D0CF1" w:rsidP="00026487">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w:t>
            </w:r>
            <w:r w:rsidR="00F56302" w:rsidRPr="0049044B">
              <w:rPr>
                <w:rFonts w:ascii="Times New Roman" w:eastAsia="Times New Roman" w:hAnsi="Times New Roman" w:cs="Times New Roman"/>
                <w:color w:val="000000"/>
                <w:sz w:val="28"/>
                <w:szCs w:val="28"/>
              </w:rPr>
              <w:t>еревезенн</w:t>
            </w:r>
            <w:r w:rsidRPr="0049044B">
              <w:rPr>
                <w:rFonts w:ascii="Times New Roman" w:eastAsia="Times New Roman" w:hAnsi="Times New Roman" w:cs="Times New Roman"/>
                <w:color w:val="000000"/>
                <w:sz w:val="28"/>
                <w:szCs w:val="28"/>
              </w:rPr>
              <w:t>я</w:t>
            </w:r>
            <w:r w:rsidR="00F56302" w:rsidRPr="0049044B">
              <w:rPr>
                <w:rFonts w:ascii="Times New Roman" w:eastAsia="Times New Roman" w:hAnsi="Times New Roman" w:cs="Times New Roman"/>
                <w:color w:val="000000"/>
                <w:sz w:val="28"/>
                <w:szCs w:val="28"/>
              </w:rPr>
              <w:t xml:space="preserve"> у відкритих вагонах с</w:t>
            </w:r>
            <w:r w:rsidR="00DE14D4">
              <w:rPr>
                <w:rFonts w:ascii="Times New Roman" w:eastAsia="Times New Roman" w:hAnsi="Times New Roman" w:cs="Times New Roman"/>
                <w:color w:val="000000"/>
                <w:sz w:val="28"/>
                <w:szCs w:val="28"/>
              </w:rPr>
              <w:t>олі</w:t>
            </w:r>
            <w:r w:rsidR="00F56302"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при</w:t>
            </w:r>
            <w:r w:rsidR="00F56302"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потраплянні</w:t>
            </w:r>
            <w:r w:rsidR="00F56302" w:rsidRPr="0049044B">
              <w:rPr>
                <w:rFonts w:ascii="Times New Roman" w:eastAsia="Times New Roman" w:hAnsi="Times New Roman" w:cs="Times New Roman"/>
                <w:color w:val="000000"/>
                <w:sz w:val="28"/>
                <w:szCs w:val="28"/>
              </w:rPr>
              <w:t xml:space="preserve"> опадів внаслідок її розчинності у воді (35,9 г/100 мл; при +25°C) </w:t>
            </w:r>
            <w:r w:rsidRPr="0049044B">
              <w:rPr>
                <w:rFonts w:ascii="Times New Roman" w:eastAsia="Times New Roman" w:hAnsi="Times New Roman" w:cs="Times New Roman"/>
                <w:color w:val="000000"/>
                <w:sz w:val="28"/>
                <w:szCs w:val="28"/>
              </w:rPr>
              <w:t xml:space="preserve">спричиняє утворення </w:t>
            </w:r>
            <w:r w:rsidR="00F56302" w:rsidRPr="0049044B">
              <w:rPr>
                <w:rFonts w:ascii="Times New Roman" w:eastAsia="Times New Roman" w:hAnsi="Times New Roman" w:cs="Times New Roman"/>
                <w:color w:val="000000"/>
                <w:sz w:val="28"/>
                <w:szCs w:val="28"/>
              </w:rPr>
              <w:t>насичен</w:t>
            </w:r>
            <w:r w:rsidRPr="0049044B">
              <w:rPr>
                <w:rFonts w:ascii="Times New Roman" w:eastAsia="Times New Roman" w:hAnsi="Times New Roman" w:cs="Times New Roman"/>
                <w:color w:val="000000"/>
                <w:sz w:val="28"/>
                <w:szCs w:val="28"/>
              </w:rPr>
              <w:t>ого</w:t>
            </w:r>
            <w:r w:rsidR="00F56302" w:rsidRPr="0049044B">
              <w:rPr>
                <w:rFonts w:ascii="Times New Roman" w:eastAsia="Times New Roman" w:hAnsi="Times New Roman" w:cs="Times New Roman"/>
                <w:color w:val="000000"/>
                <w:sz w:val="28"/>
                <w:szCs w:val="28"/>
              </w:rPr>
              <w:t xml:space="preserve"> розчин</w:t>
            </w:r>
            <w:r w:rsidRPr="0049044B">
              <w:rPr>
                <w:rFonts w:ascii="Times New Roman" w:eastAsia="Times New Roman" w:hAnsi="Times New Roman" w:cs="Times New Roman"/>
                <w:color w:val="000000"/>
                <w:sz w:val="28"/>
                <w:szCs w:val="28"/>
              </w:rPr>
              <w:t>у</w:t>
            </w:r>
            <w:r w:rsidR="00F56302" w:rsidRPr="0049044B">
              <w:rPr>
                <w:rFonts w:ascii="Times New Roman" w:eastAsia="Times New Roman" w:hAnsi="Times New Roman" w:cs="Times New Roman"/>
                <w:color w:val="000000"/>
                <w:sz w:val="28"/>
                <w:szCs w:val="28"/>
              </w:rPr>
              <w:t xml:space="preserve"> солі, що призводить до втрати вантажу та забруднення навколишнього середовища.</w:t>
            </w:r>
            <w:r w:rsidRPr="0049044B">
              <w:rPr>
                <w:rFonts w:ascii="Times New Roman" w:eastAsia="Times New Roman" w:hAnsi="Times New Roman" w:cs="Times New Roman"/>
                <w:color w:val="000000"/>
                <w:sz w:val="28"/>
                <w:szCs w:val="28"/>
              </w:rPr>
              <w:t xml:space="preserve"> Розчин солі, потрапляючи на ходову та гальмівну частину вагона</w:t>
            </w:r>
            <w:r w:rsidR="00F56302" w:rsidRPr="0049044B">
              <w:rPr>
                <w:rFonts w:ascii="Times New Roman" w:eastAsia="Times New Roman" w:hAnsi="Times New Roman" w:cs="Times New Roman"/>
                <w:color w:val="000000"/>
                <w:sz w:val="28"/>
                <w:szCs w:val="28"/>
              </w:rPr>
              <w:t xml:space="preserve">  висихаючи утворює шар солі на елементах </w:t>
            </w:r>
            <w:r w:rsidRPr="0049044B">
              <w:rPr>
                <w:rFonts w:ascii="Times New Roman" w:eastAsia="Times New Roman" w:hAnsi="Times New Roman" w:cs="Times New Roman"/>
                <w:color w:val="000000"/>
                <w:sz w:val="28"/>
                <w:szCs w:val="28"/>
              </w:rPr>
              <w:t>вагона</w:t>
            </w:r>
            <w:r w:rsidR="00F56302" w:rsidRPr="0049044B">
              <w:rPr>
                <w:rFonts w:ascii="Times New Roman" w:eastAsia="Times New Roman" w:hAnsi="Times New Roman" w:cs="Times New Roman"/>
                <w:color w:val="000000"/>
                <w:sz w:val="28"/>
                <w:szCs w:val="28"/>
              </w:rPr>
              <w:t xml:space="preserve">, що може негативно вплинути на </w:t>
            </w:r>
            <w:r w:rsidRPr="0049044B">
              <w:rPr>
                <w:rFonts w:ascii="Times New Roman" w:eastAsia="Times New Roman" w:hAnsi="Times New Roman" w:cs="Times New Roman"/>
                <w:color w:val="000000"/>
                <w:sz w:val="28"/>
                <w:szCs w:val="28"/>
              </w:rPr>
              <w:t>безпеку перевезення</w:t>
            </w:r>
            <w:r w:rsidR="00F56302" w:rsidRPr="0049044B">
              <w:rPr>
                <w:rFonts w:ascii="Times New Roman" w:eastAsia="Times New Roman" w:hAnsi="Times New Roman" w:cs="Times New Roman"/>
                <w:color w:val="000000"/>
                <w:sz w:val="28"/>
                <w:szCs w:val="28"/>
              </w:rPr>
              <w:t>.</w:t>
            </w:r>
          </w:p>
          <w:p w14:paraId="73F0C7F8" w14:textId="77777777" w:rsidR="00F56302" w:rsidRPr="0049044B" w:rsidRDefault="00F56302" w:rsidP="00026487">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Крім того, постійний </w:t>
            </w:r>
            <w:r w:rsidRPr="0049044B">
              <w:rPr>
                <w:rFonts w:ascii="Times New Roman" w:eastAsia="Times New Roman" w:hAnsi="Times New Roman" w:cs="Times New Roman"/>
                <w:color w:val="000000"/>
                <w:sz w:val="28"/>
                <w:szCs w:val="28"/>
              </w:rPr>
              <w:lastRenderedPageBreak/>
              <w:t>контакт стінок та підлоги вагонів з сіллю прискорює їх корозію, що при тривалому використанні вагонів для таких перевезень призводить до їх псування.</w:t>
            </w:r>
          </w:p>
          <w:p w14:paraId="77345B98" w14:textId="77777777" w:rsidR="00BC2D5D" w:rsidRPr="0049044B" w:rsidRDefault="001802B2" w:rsidP="003E399D">
            <w:pPr>
              <w:rPr>
                <w:rFonts w:ascii="Times New Roman" w:eastAsia="Times New Roman" w:hAnsi="Times New Roman" w:cs="Times New Roman"/>
                <w:color w:val="000000"/>
                <w:sz w:val="28"/>
                <w:szCs w:val="28"/>
              </w:rPr>
            </w:pPr>
            <w:r w:rsidRPr="0049044B">
              <w:rPr>
                <w:rFonts w:ascii="Times New Roman" w:hAnsi="Times New Roman" w:cs="Times New Roman"/>
                <w:sz w:val="28"/>
                <w:szCs w:val="28"/>
              </w:rPr>
              <w:t>Можлива в</w:t>
            </w:r>
            <w:r w:rsidR="006B309B" w:rsidRPr="0049044B">
              <w:rPr>
                <w:rFonts w:ascii="Times New Roman" w:hAnsi="Times New Roman" w:cs="Times New Roman"/>
                <w:sz w:val="28"/>
                <w:szCs w:val="28"/>
              </w:rPr>
              <w:t>трата вантажу при</w:t>
            </w:r>
            <w:r w:rsidR="00291CD5" w:rsidRPr="0049044B">
              <w:rPr>
                <w:rFonts w:ascii="Times New Roman" w:hAnsi="Times New Roman" w:cs="Times New Roman"/>
                <w:sz w:val="28"/>
                <w:szCs w:val="28"/>
              </w:rPr>
              <w:t xml:space="preserve"> перевезенні</w:t>
            </w:r>
            <w:r w:rsidRPr="0049044B">
              <w:rPr>
                <w:rFonts w:ascii="Times New Roman" w:hAnsi="Times New Roman" w:cs="Times New Roman"/>
                <w:sz w:val="28"/>
                <w:szCs w:val="28"/>
              </w:rPr>
              <w:t xml:space="preserve">. </w:t>
            </w:r>
            <w:r w:rsidR="0015186C" w:rsidRPr="0049044B">
              <w:rPr>
                <w:rFonts w:ascii="Times New Roman" w:hAnsi="Times New Roman" w:cs="Times New Roman"/>
                <w:sz w:val="28"/>
                <w:szCs w:val="28"/>
              </w:rPr>
              <w:t>При обсязі перевезення солі у 20</w:t>
            </w:r>
            <w:r w:rsidR="00B02C6F">
              <w:rPr>
                <w:rFonts w:ascii="Times New Roman" w:hAnsi="Times New Roman" w:cs="Times New Roman"/>
                <w:sz w:val="28"/>
                <w:szCs w:val="28"/>
              </w:rPr>
              <w:t>20</w:t>
            </w:r>
            <w:r w:rsidR="0015186C" w:rsidRPr="0049044B">
              <w:rPr>
                <w:rFonts w:ascii="Times New Roman" w:hAnsi="Times New Roman" w:cs="Times New Roman"/>
                <w:sz w:val="28"/>
                <w:szCs w:val="28"/>
              </w:rPr>
              <w:t> </w:t>
            </w:r>
            <w:r w:rsidR="0015186C" w:rsidRPr="006E5025">
              <w:rPr>
                <w:rFonts w:ascii="Times New Roman" w:hAnsi="Times New Roman" w:cs="Times New Roman"/>
                <w:sz w:val="28"/>
                <w:szCs w:val="28"/>
              </w:rPr>
              <w:t xml:space="preserve">році </w:t>
            </w:r>
            <w:r w:rsidR="00291CD5" w:rsidRPr="006E5025">
              <w:rPr>
                <w:rFonts w:ascii="Times New Roman" w:hAnsi="Times New Roman" w:cs="Times New Roman"/>
                <w:sz w:val="28"/>
                <w:szCs w:val="28"/>
              </w:rPr>
              <w:t>51</w:t>
            </w:r>
            <w:r w:rsidR="003E399D" w:rsidRPr="006E5025">
              <w:rPr>
                <w:rFonts w:ascii="Times New Roman" w:hAnsi="Times New Roman" w:cs="Times New Roman"/>
                <w:sz w:val="28"/>
                <w:szCs w:val="28"/>
              </w:rPr>
              <w:t>2</w:t>
            </w:r>
            <w:r w:rsidR="00291CD5" w:rsidRPr="006E5025">
              <w:rPr>
                <w:rFonts w:ascii="Times New Roman" w:hAnsi="Times New Roman" w:cs="Times New Roman"/>
                <w:sz w:val="28"/>
                <w:szCs w:val="28"/>
              </w:rPr>
              <w:t xml:space="preserve"> тис</w:t>
            </w:r>
            <w:r w:rsidR="0006204C">
              <w:rPr>
                <w:rFonts w:ascii="Times New Roman" w:hAnsi="Times New Roman" w:cs="Times New Roman"/>
                <w:sz w:val="28"/>
                <w:szCs w:val="28"/>
              </w:rPr>
              <w:t>.</w:t>
            </w:r>
            <w:r w:rsidR="00291CD5" w:rsidRPr="006E5025">
              <w:rPr>
                <w:rFonts w:ascii="Times New Roman" w:hAnsi="Times New Roman" w:cs="Times New Roman"/>
                <w:sz w:val="28"/>
                <w:szCs w:val="28"/>
              </w:rPr>
              <w:t xml:space="preserve"> т </w:t>
            </w:r>
            <w:r w:rsidR="0015186C" w:rsidRPr="006E5025">
              <w:rPr>
                <w:rFonts w:ascii="Times New Roman" w:hAnsi="Times New Roman" w:cs="Times New Roman"/>
                <w:sz w:val="28"/>
                <w:szCs w:val="28"/>
              </w:rPr>
              <w:t xml:space="preserve">втрата вантажу </w:t>
            </w:r>
            <w:r w:rsidR="00291CD5" w:rsidRPr="006E5025">
              <w:rPr>
                <w:rFonts w:ascii="Times New Roman" w:hAnsi="Times New Roman" w:cs="Times New Roman"/>
                <w:sz w:val="28"/>
                <w:szCs w:val="28"/>
              </w:rPr>
              <w:t>може досягати більше 10 тис</w:t>
            </w:r>
            <w:r w:rsidR="0006204C">
              <w:rPr>
                <w:rFonts w:ascii="Times New Roman" w:hAnsi="Times New Roman" w:cs="Times New Roman"/>
                <w:sz w:val="28"/>
                <w:szCs w:val="28"/>
              </w:rPr>
              <w:t>.</w:t>
            </w:r>
            <w:r w:rsidR="00291CD5" w:rsidRPr="006E5025">
              <w:rPr>
                <w:rFonts w:ascii="Times New Roman" w:hAnsi="Times New Roman" w:cs="Times New Roman"/>
                <w:sz w:val="28"/>
                <w:szCs w:val="28"/>
              </w:rPr>
              <w:t xml:space="preserve"> т</w:t>
            </w:r>
          </w:p>
        </w:tc>
      </w:tr>
      <w:tr w:rsidR="003D0CF1" w:rsidRPr="0049044B" w14:paraId="7E55D4EB" w14:textId="77777777" w:rsidTr="003A79B9">
        <w:tc>
          <w:tcPr>
            <w:tcW w:w="2854" w:type="dxa"/>
          </w:tcPr>
          <w:p w14:paraId="67F9E11F" w14:textId="77777777"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p w14:paraId="783E5067" w14:textId="77777777"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491" w:type="dxa"/>
          </w:tcPr>
          <w:p w14:paraId="099F8013" w14:textId="77777777"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Забезпечення вимог законодавства у частині перевезення вантажів (сіль </w:t>
            </w:r>
            <w:proofErr w:type="spellStart"/>
            <w:r w:rsidRPr="0049044B">
              <w:rPr>
                <w:rFonts w:ascii="Times New Roman" w:eastAsia="Times New Roman" w:hAnsi="Times New Roman" w:cs="Times New Roman"/>
                <w:color w:val="000000"/>
                <w:sz w:val="28"/>
                <w:szCs w:val="28"/>
              </w:rPr>
              <w:t>комова</w:t>
            </w:r>
            <w:proofErr w:type="spellEnd"/>
            <w:r w:rsidRPr="0049044B">
              <w:rPr>
                <w:rFonts w:ascii="Times New Roman" w:eastAsia="Times New Roman" w:hAnsi="Times New Roman" w:cs="Times New Roman"/>
                <w:color w:val="000000"/>
                <w:sz w:val="28"/>
                <w:szCs w:val="28"/>
              </w:rPr>
              <w:t xml:space="preserve">, сіль технічна, «Концентрат мінеральний «Галіт» та «Маса електродна») у вагонах відкритого типу у внутрішньому та міжнародному сполученні </w:t>
            </w:r>
            <w:r w:rsidR="00860281" w:rsidRPr="0049044B">
              <w:rPr>
                <w:rFonts w:ascii="Times New Roman" w:eastAsia="Times New Roman" w:hAnsi="Times New Roman" w:cs="Times New Roman"/>
                <w:color w:val="000000"/>
                <w:sz w:val="28"/>
                <w:szCs w:val="28"/>
              </w:rPr>
              <w:t>покращу</w:t>
            </w:r>
            <w:r w:rsidRPr="0049044B">
              <w:rPr>
                <w:rFonts w:ascii="Times New Roman" w:eastAsia="Times New Roman" w:hAnsi="Times New Roman" w:cs="Times New Roman"/>
                <w:color w:val="000000"/>
                <w:sz w:val="28"/>
                <w:szCs w:val="28"/>
              </w:rPr>
              <w:t>є імідж держави.</w:t>
            </w:r>
          </w:p>
          <w:p w14:paraId="470107BC" w14:textId="77777777" w:rsidR="003D0CF1" w:rsidRPr="0049044B" w:rsidRDefault="003D0CF1" w:rsidP="003D0CF1">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вантажів на кузов вагона і, як наслідок, покращення збереженості рухомого складу.</w:t>
            </w:r>
          </w:p>
          <w:p w14:paraId="0D927EEF" w14:textId="77777777" w:rsidR="003D0CF1" w:rsidRPr="0049044B" w:rsidRDefault="003D0CF1" w:rsidP="006B309B">
            <w:pPr>
              <w:pBdr>
                <w:top w:val="nil"/>
                <w:left w:val="nil"/>
                <w:bottom w:val="nil"/>
                <w:right w:val="nil"/>
                <w:between w:val="nil"/>
              </w:pBdr>
              <w:rPr>
                <w:rFonts w:ascii="Times New Roman" w:eastAsia="Times New Roman" w:hAnsi="Times New Roman" w:cs="Times New Roman"/>
                <w:strike/>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r w:rsidR="006B309B" w:rsidRPr="0049044B">
              <w:rPr>
                <w:rFonts w:ascii="Times New Roman" w:eastAsia="Times New Roman" w:hAnsi="Times New Roman" w:cs="Times New Roman"/>
                <w:color w:val="000000"/>
                <w:sz w:val="28"/>
                <w:szCs w:val="28"/>
              </w:rPr>
              <w:t>. Покращується схоронність вантажу</w:t>
            </w:r>
            <w:r w:rsidR="001802B2" w:rsidRPr="0049044B">
              <w:rPr>
                <w:rFonts w:ascii="Times New Roman" w:eastAsia="Times New Roman" w:hAnsi="Times New Roman" w:cs="Times New Roman"/>
                <w:color w:val="000000"/>
                <w:sz w:val="28"/>
                <w:szCs w:val="28"/>
              </w:rPr>
              <w:t xml:space="preserve"> при перевезенні</w:t>
            </w:r>
          </w:p>
        </w:tc>
        <w:tc>
          <w:tcPr>
            <w:tcW w:w="3283" w:type="dxa"/>
          </w:tcPr>
          <w:p w14:paraId="481C3CD0" w14:textId="77777777"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Відсутні</w:t>
            </w:r>
          </w:p>
        </w:tc>
      </w:tr>
    </w:tbl>
    <w:p w14:paraId="3DD64803" w14:textId="77777777" w:rsidR="00BC2D5D" w:rsidRPr="0049044B" w:rsidRDefault="00BC2D5D" w:rsidP="00BC2D5D">
      <w:pPr>
        <w:pBdr>
          <w:top w:val="nil"/>
          <w:left w:val="nil"/>
          <w:bottom w:val="nil"/>
          <w:right w:val="nil"/>
          <w:between w:val="nil"/>
        </w:pBdr>
        <w:ind w:firstLine="708"/>
        <w:jc w:val="both"/>
        <w:rPr>
          <w:rFonts w:ascii="Times New Roman" w:eastAsia="Times New Roman" w:hAnsi="Times New Roman" w:cs="Times New Roman"/>
          <w:color w:val="000000"/>
          <w:sz w:val="28"/>
          <w:szCs w:val="28"/>
        </w:rPr>
      </w:pPr>
    </w:p>
    <w:p w14:paraId="609572AE"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впливу на сферу інтересів громадян</w:t>
      </w:r>
      <w:r w:rsidR="00860281" w:rsidRPr="0049044B">
        <w:rPr>
          <w:rFonts w:ascii="Times New Roman" w:eastAsia="Times New Roman" w:hAnsi="Times New Roman" w:cs="Times New Roman"/>
          <w:color w:val="000000"/>
          <w:sz w:val="28"/>
          <w:szCs w:val="28"/>
        </w:rPr>
        <w:t xml:space="preserve"> відсутня, тому що зміни до регуляторного акта не зачіпають інтересів громадян.</w:t>
      </w:r>
    </w:p>
    <w:p w14:paraId="605D6403" w14:textId="77777777" w:rsidR="00442262" w:rsidRDefault="00442262"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79D2A905"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впливу на сферу інтересів суб’єктів господарювання.</w:t>
      </w:r>
    </w:p>
    <w:p w14:paraId="21AB0E2B"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tbl>
      <w:tblPr>
        <w:tblStyle w:val="5"/>
        <w:tblW w:w="9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276"/>
        <w:gridCol w:w="1417"/>
        <w:gridCol w:w="1423"/>
        <w:gridCol w:w="1423"/>
        <w:gridCol w:w="1423"/>
      </w:tblGrid>
      <w:tr w:rsidR="00BC2D5D" w:rsidRPr="0049044B" w14:paraId="48AF8CDB" w14:textId="77777777" w:rsidTr="00026487">
        <w:tc>
          <w:tcPr>
            <w:tcW w:w="2972" w:type="dxa"/>
          </w:tcPr>
          <w:p w14:paraId="3A4B4A15" w14:textId="77777777"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Показник</w:t>
            </w:r>
          </w:p>
        </w:tc>
        <w:tc>
          <w:tcPr>
            <w:tcW w:w="1276" w:type="dxa"/>
          </w:tcPr>
          <w:p w14:paraId="7565E5E3" w14:textId="77777777" w:rsidR="00BC2D5D" w:rsidRPr="0049044B" w:rsidRDefault="00BC2D5D" w:rsidP="003A79B9">
            <w:pPr>
              <w:pBdr>
                <w:top w:val="nil"/>
                <w:left w:val="nil"/>
                <w:bottom w:val="nil"/>
                <w:right w:val="nil"/>
                <w:between w:val="nil"/>
              </w:pBdr>
              <w:spacing w:line="259" w:lineRule="auto"/>
              <w:ind w:firstLine="15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Великі</w:t>
            </w:r>
          </w:p>
        </w:tc>
        <w:tc>
          <w:tcPr>
            <w:tcW w:w="1417" w:type="dxa"/>
          </w:tcPr>
          <w:p w14:paraId="613122A2" w14:textId="77777777" w:rsidR="00BC2D5D" w:rsidRPr="0049044B" w:rsidRDefault="00BC2D5D" w:rsidP="003A79B9">
            <w:pPr>
              <w:pBdr>
                <w:top w:val="nil"/>
                <w:left w:val="nil"/>
                <w:bottom w:val="nil"/>
                <w:right w:val="nil"/>
                <w:between w:val="nil"/>
              </w:pBdr>
              <w:spacing w:line="259" w:lineRule="auto"/>
              <w:ind w:firstLine="191"/>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Середні</w:t>
            </w:r>
          </w:p>
        </w:tc>
        <w:tc>
          <w:tcPr>
            <w:tcW w:w="1423" w:type="dxa"/>
          </w:tcPr>
          <w:p w14:paraId="350A93B8" w14:textId="77777777" w:rsidR="00BC2D5D" w:rsidRPr="0049044B" w:rsidRDefault="00BC2D5D" w:rsidP="003A79B9">
            <w:pPr>
              <w:pBdr>
                <w:top w:val="nil"/>
                <w:left w:val="nil"/>
                <w:bottom w:val="nil"/>
                <w:right w:val="nil"/>
                <w:between w:val="nil"/>
              </w:pBdr>
              <w:spacing w:line="259" w:lineRule="auto"/>
              <w:ind w:firstLine="22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Малі</w:t>
            </w:r>
          </w:p>
        </w:tc>
        <w:tc>
          <w:tcPr>
            <w:tcW w:w="1423" w:type="dxa"/>
          </w:tcPr>
          <w:p w14:paraId="71D1BEC6" w14:textId="77777777" w:rsidR="00BC2D5D" w:rsidRPr="0049044B" w:rsidRDefault="00BC2D5D" w:rsidP="003A79B9">
            <w:pPr>
              <w:pBdr>
                <w:top w:val="nil"/>
                <w:left w:val="nil"/>
                <w:bottom w:val="nil"/>
                <w:right w:val="nil"/>
                <w:between w:val="nil"/>
              </w:pBdr>
              <w:spacing w:line="259" w:lineRule="auto"/>
              <w:ind w:firstLine="8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Мікро</w:t>
            </w:r>
          </w:p>
        </w:tc>
        <w:tc>
          <w:tcPr>
            <w:tcW w:w="1423" w:type="dxa"/>
          </w:tcPr>
          <w:p w14:paraId="1690B655" w14:textId="77777777" w:rsidR="00BC2D5D" w:rsidRPr="0049044B" w:rsidRDefault="00BC2D5D" w:rsidP="003A79B9">
            <w:pPr>
              <w:pBdr>
                <w:top w:val="nil"/>
                <w:left w:val="nil"/>
                <w:bottom w:val="nil"/>
                <w:right w:val="nil"/>
                <w:between w:val="nil"/>
              </w:pBdr>
              <w:spacing w:line="259" w:lineRule="auto"/>
              <w:ind w:firstLine="74"/>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Разом</w:t>
            </w:r>
          </w:p>
        </w:tc>
      </w:tr>
      <w:tr w:rsidR="00BC2D5D" w:rsidRPr="0049044B" w14:paraId="608B6D68" w14:textId="77777777" w:rsidTr="00026487">
        <w:tc>
          <w:tcPr>
            <w:tcW w:w="2972" w:type="dxa"/>
          </w:tcPr>
          <w:p w14:paraId="11BB8D52" w14:textId="77777777" w:rsidR="00BC2D5D" w:rsidRPr="0049044B" w:rsidRDefault="00BC2D5D" w:rsidP="00B02C6F">
            <w:pPr>
              <w:pBdr>
                <w:top w:val="nil"/>
                <w:left w:val="nil"/>
                <w:bottom w:val="nil"/>
                <w:right w:val="nil"/>
                <w:between w:val="nil"/>
              </w:pBdr>
              <w:spacing w:line="259" w:lineRule="auto"/>
              <w:ind w:firstLine="284"/>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Кількість суб’єктів</w:t>
            </w:r>
            <w:r w:rsidR="003A79B9"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lastRenderedPageBreak/>
              <w:t>господарювання, що підпадають під дію регулювання, одиниць (за фактом 2</w:t>
            </w:r>
            <w:r w:rsidRPr="006E5025">
              <w:rPr>
                <w:rFonts w:ascii="Times New Roman" w:eastAsia="Times New Roman" w:hAnsi="Times New Roman" w:cs="Times New Roman"/>
                <w:sz w:val="28"/>
                <w:szCs w:val="28"/>
              </w:rPr>
              <w:t>0</w:t>
            </w:r>
            <w:r w:rsidR="00B02C6F" w:rsidRPr="006E5025">
              <w:rPr>
                <w:rFonts w:ascii="Times New Roman" w:eastAsia="Times New Roman" w:hAnsi="Times New Roman" w:cs="Times New Roman"/>
                <w:sz w:val="28"/>
                <w:szCs w:val="28"/>
              </w:rPr>
              <w:t>20</w:t>
            </w:r>
            <w:r w:rsidRPr="006E5025">
              <w:rPr>
                <w:rFonts w:ascii="Times New Roman" w:eastAsia="Times New Roman" w:hAnsi="Times New Roman" w:cs="Times New Roman"/>
                <w:sz w:val="28"/>
                <w:szCs w:val="28"/>
              </w:rPr>
              <w:t xml:space="preserve"> </w:t>
            </w:r>
            <w:r w:rsidRPr="0049044B">
              <w:rPr>
                <w:rFonts w:ascii="Times New Roman" w:eastAsia="Times New Roman" w:hAnsi="Times New Roman" w:cs="Times New Roman"/>
                <w:color w:val="000000"/>
                <w:sz w:val="28"/>
                <w:szCs w:val="28"/>
              </w:rPr>
              <w:t>року)</w:t>
            </w:r>
          </w:p>
        </w:tc>
        <w:tc>
          <w:tcPr>
            <w:tcW w:w="1276" w:type="dxa"/>
          </w:tcPr>
          <w:p w14:paraId="63293B82" w14:textId="77777777"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3</w:t>
            </w:r>
          </w:p>
        </w:tc>
        <w:tc>
          <w:tcPr>
            <w:tcW w:w="1417" w:type="dxa"/>
          </w:tcPr>
          <w:p w14:paraId="3FDCD753" w14:textId="77777777" w:rsidR="00BC2D5D" w:rsidRPr="0049044B" w:rsidRDefault="003E399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23" w:type="dxa"/>
          </w:tcPr>
          <w:p w14:paraId="163D509D" w14:textId="77777777"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14:paraId="494A591F" w14:textId="77777777"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14:paraId="4449DC0B" w14:textId="77777777" w:rsidR="00BC2D5D" w:rsidRPr="0049044B" w:rsidRDefault="003E399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BC2D5D" w:rsidRPr="0049044B" w14:paraId="24F03F59" w14:textId="77777777" w:rsidTr="00026487">
        <w:tc>
          <w:tcPr>
            <w:tcW w:w="2972" w:type="dxa"/>
          </w:tcPr>
          <w:p w14:paraId="5FF11FB2" w14:textId="77777777" w:rsidR="00BC2D5D" w:rsidRPr="0049044B" w:rsidRDefault="00BC2D5D" w:rsidP="003A79B9">
            <w:pPr>
              <w:pBdr>
                <w:top w:val="nil"/>
                <w:left w:val="nil"/>
                <w:bottom w:val="nil"/>
                <w:right w:val="nil"/>
                <w:between w:val="nil"/>
              </w:pBdr>
              <w:spacing w:line="259" w:lineRule="auto"/>
              <w:ind w:firstLine="284"/>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Питома вага групи у загальній кількості, відсотків</w:t>
            </w:r>
          </w:p>
        </w:tc>
        <w:tc>
          <w:tcPr>
            <w:tcW w:w="1276" w:type="dxa"/>
          </w:tcPr>
          <w:p w14:paraId="4059E59A" w14:textId="77777777" w:rsidR="00BC2D5D" w:rsidRPr="0049044B" w:rsidRDefault="003E399D" w:rsidP="00026487">
            <w:pPr>
              <w:pBdr>
                <w:top w:val="nil"/>
                <w:left w:val="nil"/>
                <w:bottom w:val="nil"/>
                <w:right w:val="nil"/>
                <w:between w:val="nil"/>
              </w:pBdr>
              <w:spacing w:line="259" w:lineRule="auto"/>
              <w:ind w:firstLine="4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BC2D5D" w:rsidRPr="0049044B">
              <w:rPr>
                <w:rFonts w:ascii="Times New Roman" w:eastAsia="Times New Roman" w:hAnsi="Times New Roman" w:cs="Times New Roman"/>
                <w:color w:val="000000"/>
                <w:sz w:val="28"/>
                <w:szCs w:val="28"/>
              </w:rPr>
              <w:t>3%</w:t>
            </w:r>
          </w:p>
        </w:tc>
        <w:tc>
          <w:tcPr>
            <w:tcW w:w="1417" w:type="dxa"/>
          </w:tcPr>
          <w:p w14:paraId="53CA1B09" w14:textId="77777777" w:rsidR="00BC2D5D" w:rsidRPr="0049044B" w:rsidRDefault="003E399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BC2D5D" w:rsidRPr="0049044B">
              <w:rPr>
                <w:rFonts w:ascii="Times New Roman" w:eastAsia="Times New Roman" w:hAnsi="Times New Roman" w:cs="Times New Roman"/>
                <w:color w:val="000000"/>
                <w:sz w:val="28"/>
                <w:szCs w:val="28"/>
              </w:rPr>
              <w:t>7%</w:t>
            </w:r>
          </w:p>
        </w:tc>
        <w:tc>
          <w:tcPr>
            <w:tcW w:w="1423" w:type="dxa"/>
          </w:tcPr>
          <w:p w14:paraId="0B7C1D29" w14:textId="77777777"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14:paraId="33776F28" w14:textId="77777777"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14:paraId="07F03364" w14:textId="77777777" w:rsidR="00BC2D5D" w:rsidRPr="0049044B" w:rsidRDefault="00BC2D5D" w:rsidP="003A79B9">
            <w:pPr>
              <w:pBdr>
                <w:top w:val="nil"/>
                <w:left w:val="nil"/>
                <w:bottom w:val="nil"/>
                <w:right w:val="nil"/>
                <w:between w:val="nil"/>
              </w:pBdr>
              <w:spacing w:line="259" w:lineRule="auto"/>
              <w:ind w:firstLine="216"/>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100%</w:t>
            </w:r>
          </w:p>
        </w:tc>
      </w:tr>
    </w:tbl>
    <w:p w14:paraId="2FBAFFC4" w14:textId="77777777" w:rsidR="00BC2D5D" w:rsidRPr="0049044B" w:rsidRDefault="003A79B9"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roofErr w:type="spellStart"/>
      <w:r w:rsidRPr="0049044B">
        <w:rPr>
          <w:rFonts w:ascii="Times New Roman" w:eastAsia="Times New Roman" w:hAnsi="Times New Roman" w:cs="Times New Roman"/>
          <w:color w:val="000000"/>
          <w:sz w:val="28"/>
          <w:szCs w:val="28"/>
        </w:rPr>
        <w:t>Інфоромація</w:t>
      </w:r>
      <w:proofErr w:type="spellEnd"/>
      <w:r w:rsidRPr="0049044B">
        <w:rPr>
          <w:rFonts w:ascii="Times New Roman" w:eastAsia="Times New Roman" w:hAnsi="Times New Roman" w:cs="Times New Roman"/>
          <w:color w:val="000000"/>
          <w:sz w:val="28"/>
          <w:szCs w:val="28"/>
        </w:rPr>
        <w:t xml:space="preserve"> надана Головним інформаційно-обчислювальним центром АТ «Укрзалізниця» з масиву </w:t>
      </w:r>
      <w:proofErr w:type="spellStart"/>
      <w:r w:rsidRPr="0049044B">
        <w:rPr>
          <w:rFonts w:ascii="Times New Roman" w:eastAsia="Times New Roman" w:hAnsi="Times New Roman" w:cs="Times New Roman"/>
          <w:color w:val="000000"/>
          <w:sz w:val="28"/>
          <w:szCs w:val="28"/>
        </w:rPr>
        <w:t>дорожних</w:t>
      </w:r>
      <w:proofErr w:type="spellEnd"/>
      <w:r w:rsidRPr="0049044B">
        <w:rPr>
          <w:rFonts w:ascii="Times New Roman" w:eastAsia="Times New Roman" w:hAnsi="Times New Roman" w:cs="Times New Roman"/>
          <w:color w:val="000000"/>
          <w:sz w:val="28"/>
          <w:szCs w:val="28"/>
        </w:rPr>
        <w:t xml:space="preserve"> відомостей та носить довідковий характер.</w:t>
      </w:r>
    </w:p>
    <w:p w14:paraId="33F2D227" w14:textId="77777777" w:rsidR="003A79B9" w:rsidRPr="0049044B" w:rsidRDefault="003A79B9" w:rsidP="00BC2D5D">
      <w:pPr>
        <w:pBdr>
          <w:top w:val="nil"/>
          <w:left w:val="nil"/>
          <w:bottom w:val="nil"/>
          <w:right w:val="nil"/>
          <w:between w:val="nil"/>
        </w:pBdr>
        <w:spacing w:line="259" w:lineRule="auto"/>
        <w:ind w:firstLine="567"/>
        <w:jc w:val="center"/>
        <w:rPr>
          <w:rFonts w:ascii="Times New Roman" w:eastAsia="Times New Roman" w:hAnsi="Times New Roman" w:cs="Times New Roman"/>
          <w:color w:val="000000"/>
          <w:sz w:val="28"/>
          <w:szCs w:val="28"/>
        </w:rPr>
      </w:pPr>
    </w:p>
    <w:p w14:paraId="0574F4BE" w14:textId="77777777" w:rsidR="00BC2D5D" w:rsidRPr="0049044B" w:rsidRDefault="00BC2D5D" w:rsidP="00BC2D5D">
      <w:pPr>
        <w:pBdr>
          <w:top w:val="nil"/>
          <w:left w:val="nil"/>
          <w:bottom w:val="nil"/>
          <w:right w:val="nil"/>
          <w:between w:val="nil"/>
        </w:pBdr>
        <w:spacing w:line="259" w:lineRule="auto"/>
        <w:ind w:firstLine="567"/>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Вплив на інтереси суб’єктів господарювання на ринку залізничних вантажних перевезень</w:t>
      </w:r>
    </w:p>
    <w:p w14:paraId="72DDD6F1" w14:textId="77777777" w:rsidR="00BC2D5D" w:rsidRPr="0049044B" w:rsidRDefault="00BC2D5D" w:rsidP="00BC2D5D">
      <w:pPr>
        <w:pBdr>
          <w:top w:val="nil"/>
          <w:left w:val="nil"/>
          <w:bottom w:val="nil"/>
          <w:right w:val="nil"/>
          <w:between w:val="nil"/>
        </w:pBdr>
        <w:spacing w:line="259" w:lineRule="auto"/>
        <w:ind w:firstLine="567"/>
        <w:jc w:val="center"/>
        <w:rPr>
          <w:rFonts w:ascii="Times New Roman" w:eastAsia="Times New Roman" w:hAnsi="Times New Roman" w:cs="Times New Roman"/>
          <w:color w:val="000000"/>
          <w:sz w:val="28"/>
          <w:szCs w:val="28"/>
        </w:rPr>
      </w:pPr>
    </w:p>
    <w:tbl>
      <w:tblPr>
        <w:tblStyle w:val="4"/>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3360"/>
        <w:gridCol w:w="3220"/>
      </w:tblGrid>
      <w:tr w:rsidR="00BC2D5D" w:rsidRPr="0049044B" w14:paraId="305760EF" w14:textId="77777777" w:rsidTr="003A79B9">
        <w:tc>
          <w:tcPr>
            <w:tcW w:w="2800" w:type="dxa"/>
          </w:tcPr>
          <w:p w14:paraId="438BC50D"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альтернативи</w:t>
            </w:r>
          </w:p>
        </w:tc>
        <w:tc>
          <w:tcPr>
            <w:tcW w:w="3360" w:type="dxa"/>
            <w:vAlign w:val="center"/>
          </w:tcPr>
          <w:p w14:paraId="641353F8"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Вигоди</w:t>
            </w:r>
          </w:p>
        </w:tc>
        <w:tc>
          <w:tcPr>
            <w:tcW w:w="3220" w:type="dxa"/>
          </w:tcPr>
          <w:p w14:paraId="54893F8A"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Витрати</w:t>
            </w:r>
          </w:p>
        </w:tc>
      </w:tr>
      <w:tr w:rsidR="00BC2D5D" w:rsidRPr="0049044B" w14:paraId="2E37DA44" w14:textId="77777777" w:rsidTr="003A79B9">
        <w:tc>
          <w:tcPr>
            <w:tcW w:w="2800" w:type="dxa"/>
          </w:tcPr>
          <w:p w14:paraId="232E7576"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p w14:paraId="485CF207"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360" w:type="dxa"/>
          </w:tcPr>
          <w:p w14:paraId="30BDDF4B" w14:textId="77777777"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Відсутнє</w:t>
            </w:r>
          </w:p>
        </w:tc>
        <w:tc>
          <w:tcPr>
            <w:tcW w:w="3220" w:type="dxa"/>
          </w:tcPr>
          <w:p w14:paraId="7F2C1789" w14:textId="77777777" w:rsidR="00BC2D5D" w:rsidRPr="0049044B" w:rsidRDefault="00BC2D5D"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Погіршення якості вантажу за рахунок впливу атмосферних опадів.</w:t>
            </w:r>
          </w:p>
          <w:p w14:paraId="598FD40F" w14:textId="77777777" w:rsidR="00BC2D5D" w:rsidRPr="0049044B" w:rsidRDefault="00BC2D5D"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Розчиняючись у воді </w:t>
            </w:r>
            <w:r w:rsidR="00026487" w:rsidRPr="0049044B">
              <w:rPr>
                <w:rFonts w:ascii="Times New Roman" w:eastAsia="Times New Roman" w:hAnsi="Times New Roman" w:cs="Times New Roman"/>
                <w:color w:val="000000"/>
                <w:sz w:val="28"/>
                <w:szCs w:val="28"/>
              </w:rPr>
              <w:t xml:space="preserve">сольовий розчин </w:t>
            </w:r>
            <w:r w:rsidRPr="0049044B">
              <w:rPr>
                <w:rFonts w:ascii="Times New Roman" w:eastAsia="Times New Roman" w:hAnsi="Times New Roman" w:cs="Times New Roman"/>
                <w:color w:val="000000"/>
                <w:sz w:val="28"/>
                <w:szCs w:val="28"/>
              </w:rPr>
              <w:t>витікає з вагона</w:t>
            </w:r>
            <w:r w:rsidR="00026487"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прискорює корозію кузова вагона. Випаровуючись на ходових та гальмівних частинах вагона, сольовий розчин залишає шар солі, що збільшує ризик виникнення аварійної ситуації</w:t>
            </w:r>
            <w:r w:rsidR="003C2D5A" w:rsidRPr="0049044B">
              <w:rPr>
                <w:rFonts w:ascii="Times New Roman" w:eastAsia="Times New Roman" w:hAnsi="Times New Roman" w:cs="Times New Roman"/>
                <w:color w:val="000000"/>
                <w:sz w:val="28"/>
                <w:szCs w:val="28"/>
              </w:rPr>
              <w:t>.</w:t>
            </w:r>
          </w:p>
          <w:p w14:paraId="7DC735DC" w14:textId="77777777" w:rsidR="003C2D5A" w:rsidRPr="0049044B" w:rsidRDefault="00B74F89" w:rsidP="003C2D5A">
            <w:pPr>
              <w:rPr>
                <w:rFonts w:ascii="Times New Roman" w:hAnsi="Times New Roman" w:cs="Times New Roman"/>
                <w:sz w:val="28"/>
                <w:szCs w:val="28"/>
              </w:rPr>
            </w:pPr>
            <w:r w:rsidRPr="0049044B">
              <w:rPr>
                <w:rFonts w:ascii="Times New Roman" w:hAnsi="Times New Roman" w:cs="Times New Roman"/>
                <w:sz w:val="28"/>
                <w:szCs w:val="28"/>
              </w:rPr>
              <w:t>Можлива в</w:t>
            </w:r>
            <w:r w:rsidR="003C2D5A" w:rsidRPr="0049044B">
              <w:rPr>
                <w:rFonts w:ascii="Times New Roman" w:hAnsi="Times New Roman" w:cs="Times New Roman"/>
                <w:sz w:val="28"/>
                <w:szCs w:val="28"/>
              </w:rPr>
              <w:t>трата вантажів через конструктивні зазори кузова вагона</w:t>
            </w:r>
            <w:r w:rsidRPr="0049044B">
              <w:rPr>
                <w:rFonts w:ascii="Times New Roman" w:hAnsi="Times New Roman" w:cs="Times New Roman"/>
                <w:sz w:val="28"/>
                <w:szCs w:val="28"/>
              </w:rPr>
              <w:t xml:space="preserve">. </w:t>
            </w:r>
            <w:r w:rsidR="003C2D5A" w:rsidRPr="0049044B">
              <w:rPr>
                <w:rFonts w:ascii="Times New Roman" w:hAnsi="Times New Roman" w:cs="Times New Roman"/>
                <w:sz w:val="28"/>
                <w:szCs w:val="28"/>
              </w:rPr>
              <w:t xml:space="preserve">При перевезенні </w:t>
            </w:r>
            <w:r w:rsidR="003C2D5A" w:rsidRPr="003C2EB7">
              <w:rPr>
                <w:rFonts w:ascii="Times New Roman" w:hAnsi="Times New Roman" w:cs="Times New Roman"/>
                <w:sz w:val="28"/>
                <w:szCs w:val="28"/>
              </w:rPr>
              <w:t>51</w:t>
            </w:r>
            <w:r w:rsidR="003E399D" w:rsidRPr="003C2EB7">
              <w:rPr>
                <w:rFonts w:ascii="Times New Roman" w:hAnsi="Times New Roman" w:cs="Times New Roman"/>
                <w:sz w:val="28"/>
                <w:szCs w:val="28"/>
              </w:rPr>
              <w:t>2</w:t>
            </w:r>
            <w:r w:rsidR="003C2D5A" w:rsidRPr="003C2EB7">
              <w:rPr>
                <w:rFonts w:ascii="Times New Roman" w:hAnsi="Times New Roman" w:cs="Times New Roman"/>
                <w:sz w:val="28"/>
                <w:szCs w:val="28"/>
              </w:rPr>
              <w:t xml:space="preserve"> тис</w:t>
            </w:r>
            <w:r w:rsidR="007443B5">
              <w:rPr>
                <w:rFonts w:ascii="Times New Roman" w:hAnsi="Times New Roman" w:cs="Times New Roman"/>
                <w:sz w:val="28"/>
                <w:szCs w:val="28"/>
              </w:rPr>
              <w:t>.</w:t>
            </w:r>
            <w:r w:rsidR="003C2D5A" w:rsidRPr="003C2EB7">
              <w:rPr>
                <w:rFonts w:ascii="Times New Roman" w:hAnsi="Times New Roman" w:cs="Times New Roman"/>
                <w:sz w:val="28"/>
                <w:szCs w:val="28"/>
              </w:rPr>
              <w:t xml:space="preserve"> т </w:t>
            </w:r>
            <w:r w:rsidR="003C2EB7">
              <w:rPr>
                <w:rFonts w:ascii="Times New Roman" w:hAnsi="Times New Roman" w:cs="Times New Roman"/>
                <w:sz w:val="28"/>
                <w:szCs w:val="28"/>
              </w:rPr>
              <w:t>(</w:t>
            </w:r>
            <w:r w:rsidR="003C2EB7" w:rsidRPr="003C2EB7">
              <w:rPr>
                <w:rFonts w:ascii="Times New Roman" w:hAnsi="Times New Roman" w:cs="Times New Roman"/>
                <w:sz w:val="28"/>
                <w:szCs w:val="28"/>
              </w:rPr>
              <w:t>7382 вагона</w:t>
            </w:r>
            <w:r w:rsidR="003C2EB7">
              <w:rPr>
                <w:rFonts w:ascii="Times New Roman" w:hAnsi="Times New Roman" w:cs="Times New Roman"/>
                <w:sz w:val="28"/>
                <w:szCs w:val="28"/>
              </w:rPr>
              <w:t>)</w:t>
            </w:r>
            <w:r w:rsidR="003C2EB7" w:rsidRPr="003C2EB7">
              <w:rPr>
                <w:rFonts w:ascii="Times New Roman" w:hAnsi="Times New Roman" w:cs="Times New Roman"/>
                <w:sz w:val="28"/>
                <w:szCs w:val="28"/>
              </w:rPr>
              <w:t xml:space="preserve"> </w:t>
            </w:r>
            <w:r w:rsidRPr="003C2EB7">
              <w:rPr>
                <w:rFonts w:ascii="Times New Roman" w:hAnsi="Times New Roman" w:cs="Times New Roman"/>
                <w:sz w:val="28"/>
                <w:szCs w:val="28"/>
              </w:rPr>
              <w:t>солі у 20</w:t>
            </w:r>
            <w:r w:rsidR="00B02C6F" w:rsidRPr="003C2EB7">
              <w:rPr>
                <w:rFonts w:ascii="Times New Roman" w:hAnsi="Times New Roman" w:cs="Times New Roman"/>
                <w:sz w:val="28"/>
                <w:szCs w:val="28"/>
              </w:rPr>
              <w:t>20</w:t>
            </w:r>
            <w:r w:rsidRPr="003C2EB7">
              <w:rPr>
                <w:rFonts w:ascii="Times New Roman" w:hAnsi="Times New Roman" w:cs="Times New Roman"/>
                <w:sz w:val="28"/>
                <w:szCs w:val="28"/>
              </w:rPr>
              <w:t xml:space="preserve"> році </w:t>
            </w:r>
            <w:r w:rsidR="003C2D5A" w:rsidRPr="003C2EB7">
              <w:rPr>
                <w:rFonts w:ascii="Times New Roman" w:hAnsi="Times New Roman" w:cs="Times New Roman"/>
                <w:sz w:val="28"/>
                <w:szCs w:val="28"/>
              </w:rPr>
              <w:t>втрата вантажу може досягати більше 10 тис</w:t>
            </w:r>
            <w:r w:rsidR="007443B5">
              <w:rPr>
                <w:rFonts w:ascii="Times New Roman" w:hAnsi="Times New Roman" w:cs="Times New Roman"/>
                <w:sz w:val="28"/>
                <w:szCs w:val="28"/>
              </w:rPr>
              <w:t>.</w:t>
            </w:r>
            <w:r w:rsidR="003C2D5A" w:rsidRPr="003C2EB7">
              <w:rPr>
                <w:rFonts w:ascii="Times New Roman" w:hAnsi="Times New Roman" w:cs="Times New Roman"/>
                <w:sz w:val="28"/>
                <w:szCs w:val="28"/>
              </w:rPr>
              <w:t xml:space="preserve"> т.</w:t>
            </w:r>
          </w:p>
          <w:p w14:paraId="5E6A4722" w14:textId="77777777" w:rsidR="00BC2D5D" w:rsidRPr="0049044B" w:rsidRDefault="00BC2D5D" w:rsidP="00B74F8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мінеральний «Галіт» </w:t>
            </w:r>
            <w:r w:rsidRPr="0049044B">
              <w:rPr>
                <w:rFonts w:ascii="Times New Roman" w:eastAsia="Times New Roman" w:hAnsi="Times New Roman" w:cs="Times New Roman"/>
                <w:color w:val="000000"/>
                <w:sz w:val="28"/>
                <w:szCs w:val="28"/>
              </w:rPr>
              <w:t xml:space="preserve"> у </w:t>
            </w:r>
            <w:r w:rsidRPr="0049044B">
              <w:rPr>
                <w:rFonts w:ascii="Times New Roman" w:eastAsia="Times New Roman" w:hAnsi="Times New Roman" w:cs="Times New Roman"/>
                <w:color w:val="000000"/>
                <w:sz w:val="28"/>
                <w:szCs w:val="28"/>
              </w:rPr>
              <w:lastRenderedPageBreak/>
              <w:t>Правилах вимагає погодження</w:t>
            </w:r>
            <w:r w:rsidR="004E6C02"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 xml:space="preserve">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r>
      <w:tr w:rsidR="00BC2D5D" w:rsidRPr="0049044B" w14:paraId="55E533D5" w14:textId="77777777" w:rsidTr="003A79B9">
        <w:tc>
          <w:tcPr>
            <w:tcW w:w="2800" w:type="dxa"/>
          </w:tcPr>
          <w:p w14:paraId="2FBD204C"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tc>
        <w:tc>
          <w:tcPr>
            <w:tcW w:w="3360" w:type="dxa"/>
          </w:tcPr>
          <w:p w14:paraId="058CC2ED"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Забезпечення вимог законодавства у частині перевезення вантажів </w:t>
            </w:r>
            <w:r w:rsidR="00CB415F" w:rsidRPr="0049044B">
              <w:rPr>
                <w:rFonts w:ascii="Times New Roman" w:eastAsia="Times New Roman" w:hAnsi="Times New Roman" w:cs="Times New Roman"/>
                <w:color w:val="000000"/>
                <w:sz w:val="28"/>
                <w:szCs w:val="28"/>
              </w:rPr>
              <w:t xml:space="preserve">(сіль </w:t>
            </w:r>
            <w:proofErr w:type="spellStart"/>
            <w:r w:rsidR="00CB415F" w:rsidRPr="0049044B">
              <w:rPr>
                <w:rFonts w:ascii="Times New Roman" w:eastAsia="Times New Roman" w:hAnsi="Times New Roman" w:cs="Times New Roman"/>
                <w:color w:val="000000"/>
                <w:sz w:val="28"/>
                <w:szCs w:val="28"/>
              </w:rPr>
              <w:t>комова</w:t>
            </w:r>
            <w:proofErr w:type="spellEnd"/>
            <w:r w:rsidR="00CB415F" w:rsidRPr="0049044B">
              <w:rPr>
                <w:rFonts w:ascii="Times New Roman" w:eastAsia="Times New Roman" w:hAnsi="Times New Roman" w:cs="Times New Roman"/>
                <w:color w:val="000000"/>
                <w:sz w:val="28"/>
                <w:szCs w:val="28"/>
              </w:rPr>
              <w:t xml:space="preserve">, сіль технічна, «Концентрат мінеральний «Галіт» та «Маса електродна») </w:t>
            </w:r>
            <w:r w:rsidRPr="0049044B">
              <w:rPr>
                <w:rFonts w:ascii="Times New Roman" w:eastAsia="Times New Roman" w:hAnsi="Times New Roman" w:cs="Times New Roman"/>
                <w:color w:val="000000"/>
                <w:sz w:val="28"/>
                <w:szCs w:val="28"/>
              </w:rPr>
              <w:t>у вагонах відкритого типу у внутрішньому та міжнародному сполученні.</w:t>
            </w:r>
          </w:p>
          <w:p w14:paraId="041EC43C" w14:textId="77777777" w:rsidR="00BC2D5D"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Покращення схоронності вантаж</w:t>
            </w:r>
            <w:r w:rsidR="004E6C02" w:rsidRPr="0049044B">
              <w:rPr>
                <w:rFonts w:ascii="Times New Roman" w:eastAsia="Times New Roman" w:hAnsi="Times New Roman" w:cs="Times New Roman"/>
                <w:color w:val="000000"/>
                <w:sz w:val="28"/>
                <w:szCs w:val="28"/>
              </w:rPr>
              <w:t>у</w:t>
            </w:r>
            <w:r w:rsidRPr="0049044B">
              <w:rPr>
                <w:rFonts w:ascii="Times New Roman" w:eastAsia="Times New Roman" w:hAnsi="Times New Roman" w:cs="Times New Roman"/>
                <w:color w:val="000000"/>
                <w:sz w:val="28"/>
                <w:szCs w:val="28"/>
              </w:rPr>
              <w:t xml:space="preserve"> під час перевезення.</w:t>
            </w:r>
          </w:p>
          <w:p w14:paraId="2B5AE5E0" w14:textId="77777777" w:rsidR="00A52F4F" w:rsidRPr="00A52F4F" w:rsidRDefault="00A52F4F" w:rsidP="00A52F4F">
            <w:pPr>
              <w:pBdr>
                <w:top w:val="nil"/>
                <w:left w:val="nil"/>
                <w:bottom w:val="nil"/>
                <w:right w:val="nil"/>
                <w:between w:val="nil"/>
              </w:pBdr>
              <w:rPr>
                <w:rFonts w:ascii="Times New Roman" w:eastAsia="Times New Roman" w:hAnsi="Times New Roman" w:cs="Times New Roman"/>
                <w:color w:val="000000"/>
                <w:sz w:val="28"/>
                <w:szCs w:val="28"/>
              </w:rPr>
            </w:pPr>
            <w:r w:rsidRPr="00A52F4F">
              <w:rPr>
                <w:rFonts w:ascii="Times New Roman" w:eastAsia="Times New Roman" w:hAnsi="Times New Roman" w:cs="Times New Roman"/>
                <w:color w:val="000000"/>
                <w:sz w:val="28"/>
                <w:szCs w:val="28"/>
              </w:rPr>
              <w:t>Під час перевезення 512 тис т солі із використанням вагонних вкладишів та м’яких контейнерів (біг-</w:t>
            </w:r>
            <w:proofErr w:type="spellStart"/>
            <w:r w:rsidRPr="00A52F4F">
              <w:rPr>
                <w:rFonts w:ascii="Times New Roman" w:eastAsia="Times New Roman" w:hAnsi="Times New Roman" w:cs="Times New Roman"/>
                <w:color w:val="000000"/>
                <w:sz w:val="28"/>
                <w:szCs w:val="28"/>
              </w:rPr>
              <w:t>бег</w:t>
            </w:r>
            <w:proofErr w:type="spellEnd"/>
            <w:r w:rsidRPr="00A52F4F">
              <w:rPr>
                <w:rFonts w:ascii="Times New Roman" w:eastAsia="Times New Roman" w:hAnsi="Times New Roman" w:cs="Times New Roman"/>
                <w:color w:val="000000"/>
                <w:sz w:val="28"/>
                <w:szCs w:val="28"/>
              </w:rPr>
              <w:t xml:space="preserve">) буде упереджено втрату більше 10 тис т. вантажу, що складе в грошовому вираженні </w:t>
            </w:r>
            <w:r w:rsidRPr="000F26AF">
              <w:rPr>
                <w:rFonts w:ascii="Times New Roman" w:eastAsia="Times New Roman" w:hAnsi="Times New Roman" w:cs="Times New Roman"/>
                <w:sz w:val="28"/>
                <w:szCs w:val="28"/>
              </w:rPr>
              <w:t>(</w:t>
            </w:r>
            <w:hyperlink r:id="rId9" w:history="1">
              <w:r w:rsidRPr="000F26AF">
                <w:rPr>
                  <w:rStyle w:val="aa"/>
                  <w:rFonts w:ascii="Times New Roman" w:eastAsia="Times New Roman" w:hAnsi="Times New Roman" w:cs="Times New Roman"/>
                  <w:color w:val="auto"/>
                  <w:sz w:val="28"/>
                  <w:szCs w:val="28"/>
                </w:rPr>
                <w:t>https://prom.ua/ua/p1065499884-tehnicheskaya-sol-navalom.html?&amp;primelead=Mi4wNg</w:t>
              </w:r>
            </w:hyperlink>
            <w:r w:rsidRPr="00A52F4F">
              <w:rPr>
                <w:rFonts w:ascii="Times New Roman" w:eastAsia="Times New Roman" w:hAnsi="Times New Roman" w:cs="Times New Roman"/>
                <w:color w:val="000000"/>
                <w:sz w:val="28"/>
                <w:szCs w:val="28"/>
              </w:rPr>
              <w:t>) ціна солі технічної 1360 грн/тонна * 10 000 т = 13 600 тис.</w:t>
            </w:r>
            <w:r>
              <w:rPr>
                <w:rFonts w:ascii="Times New Roman" w:eastAsia="Times New Roman" w:hAnsi="Times New Roman" w:cs="Times New Roman"/>
                <w:color w:val="000000"/>
                <w:sz w:val="28"/>
                <w:szCs w:val="28"/>
              </w:rPr>
              <w:t xml:space="preserve"> грн.</w:t>
            </w:r>
          </w:p>
          <w:p w14:paraId="59317F11" w14:textId="77777777" w:rsidR="00A52F4F" w:rsidRPr="00A52F4F" w:rsidRDefault="00A52F4F" w:rsidP="00A52F4F">
            <w:pPr>
              <w:pBdr>
                <w:top w:val="nil"/>
                <w:left w:val="nil"/>
                <w:bottom w:val="nil"/>
                <w:right w:val="nil"/>
                <w:between w:val="nil"/>
              </w:pBdr>
              <w:rPr>
                <w:rFonts w:ascii="Times New Roman" w:eastAsia="Times New Roman" w:hAnsi="Times New Roman" w:cs="Times New Roman"/>
                <w:color w:val="000000"/>
                <w:sz w:val="28"/>
                <w:szCs w:val="28"/>
              </w:rPr>
            </w:pPr>
            <w:r w:rsidRPr="00A52F4F">
              <w:rPr>
                <w:rFonts w:ascii="Times New Roman" w:eastAsia="Times New Roman" w:hAnsi="Times New Roman" w:cs="Times New Roman"/>
                <w:color w:val="000000"/>
                <w:sz w:val="28"/>
                <w:szCs w:val="28"/>
              </w:rPr>
              <w:t xml:space="preserve">При цьому витрати відправників на вагонні вкладиші: 7382 вагона (512 тис т у 2020 році) х 1500 грн/вагон складе </w:t>
            </w:r>
            <w:r w:rsidRPr="00A52F4F">
              <w:rPr>
                <w:rFonts w:ascii="Times New Roman" w:eastAsia="Times New Roman" w:hAnsi="Times New Roman" w:cs="Times New Roman"/>
                <w:color w:val="000000"/>
                <w:sz w:val="28"/>
                <w:szCs w:val="28"/>
              </w:rPr>
              <w:lastRenderedPageBreak/>
              <w:t>11 073 тис грн.</w:t>
            </w:r>
          </w:p>
          <w:p w14:paraId="5AE48DF5" w14:textId="77777777" w:rsidR="00A52F4F" w:rsidRPr="0049044B" w:rsidRDefault="00A52F4F" w:rsidP="00A52F4F">
            <w:pPr>
              <w:pBdr>
                <w:top w:val="nil"/>
                <w:left w:val="nil"/>
                <w:bottom w:val="nil"/>
                <w:right w:val="nil"/>
                <w:between w:val="nil"/>
              </w:pBdr>
              <w:rPr>
                <w:rFonts w:ascii="Times New Roman" w:eastAsia="Times New Roman" w:hAnsi="Times New Roman" w:cs="Times New Roman"/>
                <w:color w:val="000000"/>
                <w:sz w:val="28"/>
                <w:szCs w:val="28"/>
              </w:rPr>
            </w:pPr>
            <w:r w:rsidRPr="00A52F4F">
              <w:rPr>
                <w:rFonts w:ascii="Times New Roman" w:eastAsia="Times New Roman" w:hAnsi="Times New Roman" w:cs="Times New Roman"/>
                <w:color w:val="000000"/>
                <w:sz w:val="28"/>
                <w:szCs w:val="28"/>
              </w:rPr>
              <w:t>Очевидно, що внаслідок дії регуляторного акта суб’єкти господарювання великого і середнього підприємництва можуть отримати 2 527 тис. грн вигоди за рахунок упередження втрати вантажу під час перевезень залізничним транспортом у вагонах відкритого типу</w:t>
            </w:r>
            <w:r>
              <w:rPr>
                <w:rFonts w:ascii="Times New Roman" w:eastAsia="Times New Roman" w:hAnsi="Times New Roman" w:cs="Times New Roman"/>
                <w:color w:val="000000"/>
                <w:sz w:val="28"/>
                <w:szCs w:val="28"/>
              </w:rPr>
              <w:t xml:space="preserve"> (</w:t>
            </w:r>
            <w:r w:rsidRPr="00A52F4F">
              <w:rPr>
                <w:rFonts w:ascii="Times New Roman" w:eastAsia="Times New Roman" w:hAnsi="Times New Roman" w:cs="Times New Roman"/>
                <w:color w:val="000000"/>
                <w:sz w:val="28"/>
                <w:szCs w:val="28"/>
              </w:rPr>
              <w:t>13 600 тис. грн.</w:t>
            </w:r>
            <w:r>
              <w:rPr>
                <w:rFonts w:ascii="Times New Roman" w:eastAsia="Times New Roman" w:hAnsi="Times New Roman" w:cs="Times New Roman"/>
                <w:color w:val="000000"/>
                <w:sz w:val="28"/>
                <w:szCs w:val="28"/>
              </w:rPr>
              <w:t xml:space="preserve"> упереджених втрат вантажу мінус </w:t>
            </w:r>
            <w:r w:rsidRPr="00A52F4F">
              <w:rPr>
                <w:rFonts w:ascii="Times New Roman" w:eastAsia="Times New Roman" w:hAnsi="Times New Roman" w:cs="Times New Roman"/>
                <w:color w:val="000000"/>
                <w:sz w:val="28"/>
                <w:szCs w:val="28"/>
              </w:rPr>
              <w:t>11 073 тис грн.</w:t>
            </w:r>
            <w:r>
              <w:rPr>
                <w:rFonts w:ascii="Times New Roman" w:eastAsia="Times New Roman" w:hAnsi="Times New Roman" w:cs="Times New Roman"/>
                <w:color w:val="000000"/>
                <w:sz w:val="28"/>
                <w:szCs w:val="28"/>
              </w:rPr>
              <w:t xml:space="preserve"> витрат на вагонні вкладиші)</w:t>
            </w:r>
            <w:r w:rsidRPr="00A52F4F">
              <w:rPr>
                <w:rFonts w:ascii="Times New Roman" w:eastAsia="Times New Roman" w:hAnsi="Times New Roman" w:cs="Times New Roman"/>
                <w:color w:val="000000"/>
                <w:sz w:val="28"/>
                <w:szCs w:val="28"/>
              </w:rPr>
              <w:t>.</w:t>
            </w:r>
          </w:p>
          <w:p w14:paraId="0D26E798" w14:textId="77777777" w:rsidR="00BC2D5D" w:rsidRPr="0049044B" w:rsidRDefault="00CB415F"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вантажів</w:t>
            </w:r>
            <w:r w:rsidR="00BC2D5D" w:rsidRPr="0049044B">
              <w:rPr>
                <w:rFonts w:ascii="Times New Roman" w:eastAsia="Times New Roman" w:hAnsi="Times New Roman" w:cs="Times New Roman"/>
                <w:color w:val="000000"/>
                <w:sz w:val="28"/>
                <w:szCs w:val="28"/>
              </w:rPr>
              <w:t xml:space="preserve"> на кузов вагона і, як наслідок, покращення збереженості рухомого складу.</w:t>
            </w:r>
          </w:p>
          <w:p w14:paraId="288F61CD" w14:textId="77777777" w:rsidR="00BC2D5D" w:rsidRPr="0049044B" w:rsidRDefault="00BC2D5D" w:rsidP="004E6C02">
            <w:pPr>
              <w:pBdr>
                <w:top w:val="nil"/>
                <w:left w:val="nil"/>
                <w:bottom w:val="nil"/>
                <w:right w:val="nil"/>
                <w:between w:val="nil"/>
              </w:pBdr>
              <w:rPr>
                <w:rFonts w:ascii="Times New Roman" w:eastAsia="Times New Roman" w:hAnsi="Times New Roman" w:cs="Times New Roman"/>
                <w:strike/>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r w:rsidR="00A52F4F">
              <w:rPr>
                <w:rFonts w:ascii="Times New Roman" w:eastAsia="Times New Roman" w:hAnsi="Times New Roman" w:cs="Times New Roman"/>
                <w:color w:val="000000"/>
                <w:sz w:val="28"/>
                <w:szCs w:val="28"/>
              </w:rPr>
              <w:t>.</w:t>
            </w:r>
          </w:p>
        </w:tc>
        <w:tc>
          <w:tcPr>
            <w:tcW w:w="3220" w:type="dxa"/>
          </w:tcPr>
          <w:p w14:paraId="1FA7B610" w14:textId="77777777" w:rsidR="0029268B" w:rsidRPr="006E5025" w:rsidRDefault="003C2D5A"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w:t>
            </w:r>
            <w:r w:rsidR="007D5FF7" w:rsidRPr="0049044B">
              <w:rPr>
                <w:rFonts w:ascii="Times New Roman" w:eastAsia="Times New Roman" w:hAnsi="Times New Roman" w:cs="Times New Roman"/>
                <w:color w:val="000000"/>
                <w:sz w:val="28"/>
                <w:szCs w:val="28"/>
              </w:rPr>
              <w:t>и</w:t>
            </w:r>
            <w:r w:rsidR="00BC2D5D" w:rsidRPr="0049044B">
              <w:rPr>
                <w:rFonts w:ascii="Times New Roman" w:eastAsia="Times New Roman" w:hAnsi="Times New Roman" w:cs="Times New Roman"/>
                <w:color w:val="000000"/>
                <w:sz w:val="28"/>
                <w:szCs w:val="28"/>
              </w:rPr>
              <w:t>трати відправників збільшуються за рахунок вартості вагонних вкладишів (близько 1500 грн на 1</w:t>
            </w:r>
            <w:r w:rsidR="00CA48E0">
              <w:rPr>
                <w:rFonts w:ascii="Times New Roman" w:eastAsia="Times New Roman" w:hAnsi="Times New Roman" w:cs="Times New Roman"/>
                <w:color w:val="000000"/>
                <w:sz w:val="28"/>
                <w:szCs w:val="28"/>
              </w:rPr>
              <w:t xml:space="preserve"> вагон</w:t>
            </w:r>
            <w:r w:rsidR="00BC2D5D" w:rsidRPr="0049044B">
              <w:rPr>
                <w:rFonts w:ascii="Times New Roman" w:eastAsia="Times New Roman" w:hAnsi="Times New Roman" w:cs="Times New Roman"/>
                <w:color w:val="000000"/>
                <w:sz w:val="28"/>
                <w:szCs w:val="28"/>
              </w:rPr>
              <w:t>) а</w:t>
            </w:r>
            <w:r w:rsidR="00B02C6F">
              <w:rPr>
                <w:rFonts w:ascii="Times New Roman" w:eastAsia="Times New Roman" w:hAnsi="Times New Roman" w:cs="Times New Roman"/>
                <w:color w:val="000000"/>
                <w:sz w:val="28"/>
                <w:szCs w:val="28"/>
              </w:rPr>
              <w:t>бо м’яких контейнерів (</w:t>
            </w:r>
            <w:r w:rsidR="00B02C6F" w:rsidRPr="006E5025">
              <w:rPr>
                <w:rFonts w:ascii="Times New Roman" w:eastAsia="Times New Roman" w:hAnsi="Times New Roman" w:cs="Times New Roman"/>
                <w:color w:val="000000"/>
                <w:sz w:val="28"/>
                <w:szCs w:val="28"/>
              </w:rPr>
              <w:t>близько 9</w:t>
            </w:r>
            <w:r w:rsidR="00BC2D5D" w:rsidRPr="006E5025">
              <w:rPr>
                <w:rFonts w:ascii="Times New Roman" w:eastAsia="Times New Roman" w:hAnsi="Times New Roman" w:cs="Times New Roman"/>
                <w:color w:val="000000"/>
                <w:sz w:val="28"/>
                <w:szCs w:val="28"/>
              </w:rPr>
              <w:t xml:space="preserve">0 грн за один м’який контейнер для </w:t>
            </w:r>
          </w:p>
          <w:p w14:paraId="00004D52" w14:textId="77777777" w:rsidR="00BC2D5D"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6E5025">
              <w:rPr>
                <w:rFonts w:ascii="Times New Roman" w:eastAsia="Times New Roman" w:hAnsi="Times New Roman" w:cs="Times New Roman"/>
                <w:color w:val="000000"/>
                <w:sz w:val="28"/>
                <w:szCs w:val="28"/>
              </w:rPr>
              <w:t xml:space="preserve">1 </w:t>
            </w:r>
            <w:proofErr w:type="spellStart"/>
            <w:r w:rsidRPr="006E5025">
              <w:rPr>
                <w:rFonts w:ascii="Times New Roman" w:eastAsia="Times New Roman" w:hAnsi="Times New Roman" w:cs="Times New Roman"/>
                <w:color w:val="000000"/>
                <w:sz w:val="28"/>
                <w:szCs w:val="28"/>
              </w:rPr>
              <w:t>тон</w:t>
            </w:r>
            <w:r w:rsidR="0029268B" w:rsidRPr="006E5025">
              <w:rPr>
                <w:rFonts w:ascii="Times New Roman" w:eastAsia="Times New Roman" w:hAnsi="Times New Roman" w:cs="Times New Roman"/>
                <w:color w:val="000000"/>
                <w:sz w:val="28"/>
                <w:szCs w:val="28"/>
              </w:rPr>
              <w:t>н</w:t>
            </w:r>
            <w:r w:rsidR="00CA48E0">
              <w:rPr>
                <w:rFonts w:ascii="Times New Roman" w:eastAsia="Times New Roman" w:hAnsi="Times New Roman" w:cs="Times New Roman"/>
                <w:color w:val="000000"/>
                <w:sz w:val="28"/>
                <w:szCs w:val="28"/>
              </w:rPr>
              <w:t>и</w:t>
            </w:r>
            <w:proofErr w:type="spellEnd"/>
            <w:r w:rsidR="00CA48E0">
              <w:rPr>
                <w:rFonts w:ascii="Times New Roman" w:eastAsia="Times New Roman" w:hAnsi="Times New Roman" w:cs="Times New Roman"/>
                <w:color w:val="000000"/>
                <w:sz w:val="28"/>
                <w:szCs w:val="28"/>
              </w:rPr>
              <w:t xml:space="preserve"> вантажу</w:t>
            </w:r>
            <w:r w:rsidRPr="0049044B">
              <w:rPr>
                <w:rFonts w:ascii="Times New Roman" w:eastAsia="Times New Roman" w:hAnsi="Times New Roman" w:cs="Times New Roman"/>
                <w:color w:val="000000"/>
                <w:sz w:val="28"/>
                <w:szCs w:val="28"/>
              </w:rPr>
              <w:t>)</w:t>
            </w:r>
            <w:r w:rsidR="00860281"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p>
          <w:p w14:paraId="26A2FD89" w14:textId="77777777" w:rsidR="00BC2D5D" w:rsidRPr="0049044B" w:rsidRDefault="00BC2D5D" w:rsidP="003C2EB7">
            <w:pPr>
              <w:pBdr>
                <w:top w:val="nil"/>
                <w:left w:val="nil"/>
                <w:bottom w:val="nil"/>
                <w:right w:val="nil"/>
                <w:between w:val="nil"/>
              </w:pBdr>
              <w:rPr>
                <w:rFonts w:ascii="Times New Roman" w:eastAsia="Times New Roman" w:hAnsi="Times New Roman" w:cs="Times New Roman"/>
                <w:color w:val="000000"/>
                <w:sz w:val="28"/>
                <w:szCs w:val="28"/>
              </w:rPr>
            </w:pPr>
          </w:p>
        </w:tc>
      </w:tr>
    </w:tbl>
    <w:p w14:paraId="55024972" w14:textId="77777777" w:rsidR="0095099E" w:rsidRPr="0049044B" w:rsidRDefault="0095099E" w:rsidP="00BC2D5D">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000000"/>
          <w:sz w:val="28"/>
          <w:szCs w:val="28"/>
        </w:rPr>
      </w:pPr>
    </w:p>
    <w:p w14:paraId="53C876CD" w14:textId="77777777" w:rsidR="00BC2D5D" w:rsidRPr="0049044B" w:rsidRDefault="00BC2D5D" w:rsidP="00B74F89">
      <w:pPr>
        <w:pBdr>
          <w:top w:val="nil"/>
          <w:left w:val="nil"/>
          <w:bottom w:val="nil"/>
          <w:right w:val="nil"/>
          <w:between w:val="nil"/>
        </w:pBdr>
        <w:shd w:val="clear" w:color="auto" w:fill="FFFFFF"/>
        <w:ind w:firstLine="4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Під час проведення оцінки впливу на сферу інтересів суб’єктів господарювання великого і середнього підприємництва окремо кількісно визначено витрати, які будуть виникати внаслідок дії регуляторного акта (згідно з додатком 2 до Методики проведення аналізу впливу регуляторного акта).</w:t>
      </w:r>
    </w:p>
    <w:p w14:paraId="4C826EE3" w14:textId="77777777" w:rsidR="00291CD5" w:rsidRPr="0049044B" w:rsidRDefault="004E6C02" w:rsidP="00B74F89">
      <w:pPr>
        <w:ind w:firstLine="692"/>
        <w:jc w:val="both"/>
        <w:rPr>
          <w:rFonts w:ascii="Times New Roman" w:hAnsi="Times New Roman" w:cs="Times New Roman"/>
          <w:sz w:val="28"/>
          <w:szCs w:val="28"/>
        </w:rPr>
      </w:pPr>
      <w:r w:rsidRPr="0049044B">
        <w:rPr>
          <w:rFonts w:ascii="Times New Roman" w:hAnsi="Times New Roman" w:cs="Times New Roman"/>
          <w:sz w:val="28"/>
          <w:szCs w:val="28"/>
        </w:rPr>
        <w:t>У разі вибору в</w:t>
      </w:r>
      <w:r w:rsidR="00291CD5" w:rsidRPr="0049044B">
        <w:rPr>
          <w:rFonts w:ascii="Times New Roman" w:hAnsi="Times New Roman" w:cs="Times New Roman"/>
          <w:sz w:val="28"/>
          <w:szCs w:val="28"/>
        </w:rPr>
        <w:t>ідправниками</w:t>
      </w:r>
      <w:r w:rsidRPr="0049044B">
        <w:rPr>
          <w:rFonts w:ascii="Times New Roman" w:hAnsi="Times New Roman" w:cs="Times New Roman"/>
          <w:sz w:val="28"/>
          <w:szCs w:val="28"/>
        </w:rPr>
        <w:t xml:space="preserve"> умов перевезення вантажів у вагонах відкритого типу </w:t>
      </w:r>
      <w:r w:rsidR="00291CD5" w:rsidRPr="0049044B">
        <w:rPr>
          <w:rFonts w:ascii="Times New Roman" w:hAnsi="Times New Roman" w:cs="Times New Roman"/>
          <w:sz w:val="28"/>
          <w:szCs w:val="28"/>
        </w:rPr>
        <w:t xml:space="preserve">будуть витрачатися додаткові кошти </w:t>
      </w:r>
      <w:r w:rsidR="00B74F89" w:rsidRPr="0049044B">
        <w:rPr>
          <w:rFonts w:ascii="Times New Roman" w:hAnsi="Times New Roman" w:cs="Times New Roman"/>
          <w:sz w:val="28"/>
          <w:szCs w:val="28"/>
        </w:rPr>
        <w:t>(</w:t>
      </w:r>
      <w:r w:rsidR="006B309B" w:rsidRPr="0049044B">
        <w:rPr>
          <w:rFonts w:ascii="Times New Roman" w:hAnsi="Times New Roman" w:cs="Times New Roman"/>
          <w:sz w:val="28"/>
          <w:szCs w:val="28"/>
        </w:rPr>
        <w:t>враховуючи обсяг перевезення вантажів у 20</w:t>
      </w:r>
      <w:r w:rsidR="00B02C6F">
        <w:rPr>
          <w:rFonts w:ascii="Times New Roman" w:hAnsi="Times New Roman" w:cs="Times New Roman"/>
          <w:sz w:val="28"/>
          <w:szCs w:val="28"/>
        </w:rPr>
        <w:t>20</w:t>
      </w:r>
      <w:r w:rsidR="006B309B" w:rsidRPr="0049044B">
        <w:rPr>
          <w:rFonts w:ascii="Times New Roman" w:hAnsi="Times New Roman" w:cs="Times New Roman"/>
          <w:sz w:val="28"/>
          <w:szCs w:val="28"/>
        </w:rPr>
        <w:t xml:space="preserve"> році</w:t>
      </w:r>
      <w:r w:rsidR="00B74F89" w:rsidRPr="0049044B">
        <w:rPr>
          <w:rFonts w:ascii="Times New Roman" w:hAnsi="Times New Roman" w:cs="Times New Roman"/>
          <w:sz w:val="28"/>
          <w:szCs w:val="28"/>
        </w:rPr>
        <w:t>)</w:t>
      </w:r>
      <w:r w:rsidR="006B309B" w:rsidRPr="0049044B">
        <w:rPr>
          <w:rFonts w:ascii="Times New Roman" w:hAnsi="Times New Roman" w:cs="Times New Roman"/>
          <w:sz w:val="28"/>
          <w:szCs w:val="28"/>
        </w:rPr>
        <w:t xml:space="preserve"> на використання</w:t>
      </w:r>
      <w:r w:rsidR="00291CD5" w:rsidRPr="0049044B">
        <w:rPr>
          <w:rFonts w:ascii="Times New Roman" w:hAnsi="Times New Roman" w:cs="Times New Roman"/>
          <w:sz w:val="28"/>
          <w:szCs w:val="28"/>
        </w:rPr>
        <w:t>:</w:t>
      </w:r>
    </w:p>
    <w:p w14:paraId="42E4E131" w14:textId="77777777" w:rsidR="00291CD5" w:rsidRPr="0049044B" w:rsidRDefault="00291CD5" w:rsidP="00B74F89">
      <w:pPr>
        <w:ind w:firstLine="692"/>
        <w:jc w:val="both"/>
        <w:rPr>
          <w:rFonts w:ascii="Times New Roman" w:hAnsi="Times New Roman" w:cs="Times New Roman"/>
          <w:sz w:val="28"/>
          <w:szCs w:val="28"/>
        </w:rPr>
      </w:pPr>
      <w:r w:rsidRPr="0049044B">
        <w:rPr>
          <w:rFonts w:ascii="Times New Roman" w:hAnsi="Times New Roman" w:cs="Times New Roman"/>
          <w:sz w:val="28"/>
          <w:szCs w:val="28"/>
        </w:rPr>
        <w:t>вагонних вкладишів</w:t>
      </w:r>
      <w:r w:rsidR="00CF76B7">
        <w:rPr>
          <w:rFonts w:ascii="Times New Roman" w:hAnsi="Times New Roman" w:cs="Times New Roman"/>
          <w:sz w:val="28"/>
          <w:szCs w:val="28"/>
        </w:rPr>
        <w:t>:</w:t>
      </w:r>
      <w:r w:rsidR="003E399D">
        <w:rPr>
          <w:rFonts w:ascii="Times New Roman" w:hAnsi="Times New Roman" w:cs="Times New Roman"/>
          <w:sz w:val="28"/>
          <w:szCs w:val="28"/>
        </w:rPr>
        <w:t xml:space="preserve"> </w:t>
      </w:r>
      <w:r w:rsidR="008774A7">
        <w:rPr>
          <w:rFonts w:ascii="Times New Roman" w:hAnsi="Times New Roman" w:cs="Times New Roman"/>
          <w:sz w:val="28"/>
          <w:szCs w:val="28"/>
        </w:rPr>
        <w:t>7382 вагона</w:t>
      </w:r>
      <w:r w:rsidR="00CA48E0">
        <w:rPr>
          <w:rFonts w:ascii="Times New Roman" w:hAnsi="Times New Roman" w:cs="Times New Roman"/>
          <w:sz w:val="28"/>
          <w:szCs w:val="28"/>
        </w:rPr>
        <w:t xml:space="preserve"> </w:t>
      </w:r>
      <w:r w:rsidR="00024593">
        <w:rPr>
          <w:rFonts w:ascii="Times New Roman" w:hAnsi="Times New Roman" w:cs="Times New Roman"/>
          <w:sz w:val="28"/>
          <w:szCs w:val="28"/>
        </w:rPr>
        <w:t>(у 2020 році)</w:t>
      </w:r>
      <w:r w:rsidR="00CF76B7">
        <w:rPr>
          <w:rFonts w:ascii="Times New Roman" w:hAnsi="Times New Roman" w:cs="Times New Roman"/>
          <w:sz w:val="28"/>
          <w:szCs w:val="28"/>
        </w:rPr>
        <w:t xml:space="preserve"> </w:t>
      </w:r>
      <w:r w:rsidR="00024593">
        <w:rPr>
          <w:rFonts w:ascii="Times New Roman" w:hAnsi="Times New Roman" w:cs="Times New Roman"/>
          <w:sz w:val="28"/>
          <w:szCs w:val="28"/>
        </w:rPr>
        <w:t>х</w:t>
      </w:r>
      <w:r w:rsidR="00CF76B7">
        <w:rPr>
          <w:rFonts w:ascii="Times New Roman" w:hAnsi="Times New Roman" w:cs="Times New Roman"/>
          <w:sz w:val="28"/>
          <w:szCs w:val="28"/>
        </w:rPr>
        <w:t xml:space="preserve"> </w:t>
      </w:r>
      <w:r w:rsidR="003E399D">
        <w:rPr>
          <w:rFonts w:ascii="Times New Roman" w:hAnsi="Times New Roman" w:cs="Times New Roman"/>
          <w:sz w:val="28"/>
          <w:szCs w:val="28"/>
        </w:rPr>
        <w:t>1500</w:t>
      </w:r>
      <w:r w:rsidR="008774A7">
        <w:rPr>
          <w:rFonts w:ascii="Times New Roman" w:hAnsi="Times New Roman" w:cs="Times New Roman"/>
          <w:sz w:val="28"/>
          <w:szCs w:val="28"/>
        </w:rPr>
        <w:t xml:space="preserve"> грн/вагон </w:t>
      </w:r>
      <w:r w:rsidR="003E399D">
        <w:rPr>
          <w:rFonts w:ascii="Times New Roman" w:hAnsi="Times New Roman" w:cs="Times New Roman"/>
          <w:sz w:val="28"/>
          <w:szCs w:val="28"/>
        </w:rPr>
        <w:t>=</w:t>
      </w:r>
      <w:r w:rsidR="00CF76B7">
        <w:rPr>
          <w:rFonts w:ascii="Times New Roman" w:hAnsi="Times New Roman" w:cs="Times New Roman"/>
          <w:sz w:val="28"/>
          <w:szCs w:val="28"/>
        </w:rPr>
        <w:t xml:space="preserve"> </w:t>
      </w:r>
      <w:r w:rsidR="003E399D">
        <w:rPr>
          <w:rFonts w:ascii="Times New Roman" w:hAnsi="Times New Roman" w:cs="Times New Roman"/>
          <w:sz w:val="28"/>
          <w:szCs w:val="28"/>
        </w:rPr>
        <w:t>1</w:t>
      </w:r>
      <w:r w:rsidR="008774A7">
        <w:rPr>
          <w:rFonts w:ascii="Times New Roman" w:hAnsi="Times New Roman" w:cs="Times New Roman"/>
          <w:sz w:val="28"/>
          <w:szCs w:val="28"/>
        </w:rPr>
        <w:t>1073000</w:t>
      </w:r>
      <w:r w:rsidRPr="0049044B">
        <w:rPr>
          <w:rFonts w:ascii="Times New Roman" w:hAnsi="Times New Roman" w:cs="Times New Roman"/>
          <w:sz w:val="28"/>
          <w:szCs w:val="28"/>
        </w:rPr>
        <w:t xml:space="preserve"> грн</w:t>
      </w:r>
      <w:r w:rsidR="008774A7">
        <w:rPr>
          <w:rFonts w:ascii="Times New Roman" w:hAnsi="Times New Roman" w:cs="Times New Roman"/>
          <w:sz w:val="28"/>
          <w:szCs w:val="28"/>
        </w:rPr>
        <w:t xml:space="preserve"> (11073 тис грн)</w:t>
      </w:r>
      <w:r w:rsidRPr="0049044B">
        <w:rPr>
          <w:rFonts w:ascii="Times New Roman" w:hAnsi="Times New Roman" w:cs="Times New Roman"/>
          <w:sz w:val="28"/>
          <w:szCs w:val="28"/>
        </w:rPr>
        <w:t>;</w:t>
      </w:r>
    </w:p>
    <w:p w14:paraId="619FEFC3" w14:textId="77777777" w:rsidR="00291CD5" w:rsidRPr="0049044B" w:rsidRDefault="00291CD5" w:rsidP="00B74F89">
      <w:pPr>
        <w:pBdr>
          <w:top w:val="nil"/>
          <w:left w:val="nil"/>
          <w:bottom w:val="nil"/>
          <w:right w:val="nil"/>
          <w:between w:val="nil"/>
        </w:pBdr>
        <w:shd w:val="clear" w:color="auto" w:fill="FFFFFF"/>
        <w:ind w:firstLine="692"/>
        <w:jc w:val="both"/>
        <w:rPr>
          <w:rFonts w:ascii="Times New Roman" w:eastAsia="Times New Roman" w:hAnsi="Times New Roman" w:cs="Times New Roman"/>
          <w:color w:val="000000"/>
          <w:sz w:val="28"/>
          <w:szCs w:val="28"/>
        </w:rPr>
      </w:pPr>
      <w:r w:rsidRPr="0049044B">
        <w:rPr>
          <w:rFonts w:ascii="Times New Roman" w:hAnsi="Times New Roman" w:cs="Times New Roman"/>
          <w:sz w:val="28"/>
          <w:szCs w:val="28"/>
        </w:rPr>
        <w:t xml:space="preserve">м'яких контейнерів </w:t>
      </w:r>
      <w:r w:rsidR="00CA48E0">
        <w:rPr>
          <w:rFonts w:ascii="Times New Roman" w:hAnsi="Times New Roman" w:cs="Times New Roman"/>
          <w:sz w:val="28"/>
          <w:szCs w:val="28"/>
        </w:rPr>
        <w:t>512 тис т (у 2020 році)</w:t>
      </w:r>
      <w:r w:rsidR="008774A7">
        <w:rPr>
          <w:rFonts w:ascii="Times New Roman" w:hAnsi="Times New Roman" w:cs="Times New Roman"/>
          <w:sz w:val="28"/>
          <w:szCs w:val="28"/>
        </w:rPr>
        <w:t xml:space="preserve"> </w:t>
      </w:r>
      <w:r w:rsidR="00024593">
        <w:rPr>
          <w:rFonts w:ascii="Times New Roman" w:hAnsi="Times New Roman" w:cs="Times New Roman"/>
          <w:sz w:val="28"/>
          <w:szCs w:val="28"/>
        </w:rPr>
        <w:t>х</w:t>
      </w:r>
      <w:r w:rsidR="00CF76B7">
        <w:rPr>
          <w:rFonts w:ascii="Times New Roman" w:hAnsi="Times New Roman" w:cs="Times New Roman"/>
          <w:sz w:val="28"/>
          <w:szCs w:val="28"/>
        </w:rPr>
        <w:t xml:space="preserve"> </w:t>
      </w:r>
      <w:r w:rsidR="00CA48E0">
        <w:rPr>
          <w:rFonts w:ascii="Times New Roman" w:hAnsi="Times New Roman" w:cs="Times New Roman"/>
          <w:sz w:val="28"/>
          <w:szCs w:val="28"/>
        </w:rPr>
        <w:t>90</w:t>
      </w:r>
      <w:r w:rsidR="00CF76B7">
        <w:rPr>
          <w:rFonts w:ascii="Times New Roman" w:hAnsi="Times New Roman" w:cs="Times New Roman"/>
          <w:sz w:val="28"/>
          <w:szCs w:val="28"/>
        </w:rPr>
        <w:t xml:space="preserve"> </w:t>
      </w:r>
      <w:r w:rsidR="008774A7">
        <w:rPr>
          <w:rFonts w:ascii="Times New Roman" w:hAnsi="Times New Roman" w:cs="Times New Roman"/>
          <w:sz w:val="28"/>
          <w:szCs w:val="28"/>
        </w:rPr>
        <w:t>грн</w:t>
      </w:r>
      <w:r w:rsidR="00CF76B7">
        <w:rPr>
          <w:rFonts w:ascii="Times New Roman" w:hAnsi="Times New Roman" w:cs="Times New Roman"/>
          <w:sz w:val="28"/>
          <w:szCs w:val="28"/>
        </w:rPr>
        <w:t xml:space="preserve"> </w:t>
      </w:r>
      <w:r w:rsidR="008774A7">
        <w:rPr>
          <w:rFonts w:ascii="Times New Roman" w:hAnsi="Times New Roman" w:cs="Times New Roman"/>
          <w:sz w:val="28"/>
          <w:szCs w:val="28"/>
        </w:rPr>
        <w:t>=</w:t>
      </w:r>
      <w:r w:rsidR="00CF76B7">
        <w:rPr>
          <w:rFonts w:ascii="Times New Roman" w:hAnsi="Times New Roman" w:cs="Times New Roman"/>
          <w:sz w:val="28"/>
          <w:szCs w:val="28"/>
        </w:rPr>
        <w:t xml:space="preserve"> </w:t>
      </w:r>
      <w:r w:rsidR="008774A7">
        <w:rPr>
          <w:rFonts w:ascii="Times New Roman" w:hAnsi="Times New Roman" w:cs="Times New Roman"/>
          <w:sz w:val="28"/>
          <w:szCs w:val="28"/>
        </w:rPr>
        <w:t>46</w:t>
      </w:r>
      <w:r w:rsidR="00CA48E0">
        <w:rPr>
          <w:rFonts w:ascii="Times New Roman" w:hAnsi="Times New Roman" w:cs="Times New Roman"/>
          <w:sz w:val="28"/>
          <w:szCs w:val="28"/>
        </w:rPr>
        <w:t>080000</w:t>
      </w:r>
      <w:r w:rsidRPr="0049044B">
        <w:rPr>
          <w:rFonts w:ascii="Times New Roman" w:hAnsi="Times New Roman" w:cs="Times New Roman"/>
          <w:sz w:val="28"/>
          <w:szCs w:val="28"/>
        </w:rPr>
        <w:t xml:space="preserve"> грн</w:t>
      </w:r>
      <w:r w:rsidR="008774A7">
        <w:rPr>
          <w:rFonts w:ascii="Times New Roman" w:hAnsi="Times New Roman" w:cs="Times New Roman"/>
          <w:sz w:val="28"/>
          <w:szCs w:val="28"/>
        </w:rPr>
        <w:t xml:space="preserve"> (46</w:t>
      </w:r>
      <w:r w:rsidR="00CA48E0">
        <w:rPr>
          <w:rFonts w:ascii="Times New Roman" w:hAnsi="Times New Roman" w:cs="Times New Roman"/>
          <w:sz w:val="28"/>
          <w:szCs w:val="28"/>
        </w:rPr>
        <w:t>080</w:t>
      </w:r>
      <w:r w:rsidR="00CF76B7">
        <w:rPr>
          <w:rFonts w:ascii="Times New Roman" w:hAnsi="Times New Roman" w:cs="Times New Roman"/>
          <w:sz w:val="28"/>
          <w:szCs w:val="28"/>
        </w:rPr>
        <w:t> </w:t>
      </w:r>
      <w:r w:rsidR="008774A7">
        <w:rPr>
          <w:rFonts w:ascii="Times New Roman" w:hAnsi="Times New Roman" w:cs="Times New Roman"/>
          <w:sz w:val="28"/>
          <w:szCs w:val="28"/>
        </w:rPr>
        <w:t>тис грн)</w:t>
      </w:r>
      <w:r w:rsidR="00CF76B7">
        <w:rPr>
          <w:rFonts w:ascii="Times New Roman" w:hAnsi="Times New Roman" w:cs="Times New Roman"/>
          <w:sz w:val="28"/>
          <w:szCs w:val="28"/>
        </w:rPr>
        <w:t>.</w:t>
      </w:r>
    </w:p>
    <w:p w14:paraId="4FBDF94F" w14:textId="77777777" w:rsidR="004E6C02" w:rsidRPr="0049044B" w:rsidRDefault="004E6C02" w:rsidP="00540A96">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000000"/>
          <w:sz w:val="28"/>
          <w:szCs w:val="28"/>
        </w:rPr>
      </w:pPr>
    </w:p>
    <w:tbl>
      <w:tblPr>
        <w:tblStyle w:val="3"/>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BC2D5D" w:rsidRPr="0049044B" w14:paraId="16D6BD20" w14:textId="77777777" w:rsidTr="003A79B9">
        <w:tc>
          <w:tcPr>
            <w:tcW w:w="4927" w:type="dxa"/>
          </w:tcPr>
          <w:p w14:paraId="46123400" w14:textId="77777777" w:rsidR="00BC2D5D"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Сумарні витрати за альтернативами</w:t>
            </w:r>
          </w:p>
        </w:tc>
        <w:tc>
          <w:tcPr>
            <w:tcW w:w="4927" w:type="dxa"/>
          </w:tcPr>
          <w:p w14:paraId="4361B7D8" w14:textId="77777777" w:rsidR="00BC2D5D"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Сума витрат, гривень</w:t>
            </w:r>
          </w:p>
        </w:tc>
      </w:tr>
      <w:tr w:rsidR="00BC2D5D" w:rsidRPr="0049044B" w14:paraId="28D435E3" w14:textId="77777777" w:rsidTr="003A79B9">
        <w:tc>
          <w:tcPr>
            <w:tcW w:w="4927" w:type="dxa"/>
          </w:tcPr>
          <w:p w14:paraId="47223E6E" w14:textId="77777777" w:rsidR="004E6C02"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1. Сумарні витрати для </w:t>
            </w:r>
            <w:r w:rsidRPr="0049044B">
              <w:rPr>
                <w:rFonts w:ascii="Times New Roman" w:eastAsia="Times New Roman" w:hAnsi="Times New Roman" w:cs="Times New Roman"/>
                <w:color w:val="000000"/>
                <w:sz w:val="28"/>
                <w:szCs w:val="28"/>
              </w:rPr>
              <w:lastRenderedPageBreak/>
              <w:t>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p w14:paraId="07C1D895" w14:textId="77777777" w:rsidR="00BC2D5D" w:rsidRPr="0049044B" w:rsidRDefault="004E6C02"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Можлива в</w:t>
            </w:r>
            <w:r w:rsidRPr="0049044B">
              <w:rPr>
                <w:rFonts w:ascii="Times New Roman" w:hAnsi="Times New Roman" w:cs="Times New Roman"/>
                <w:sz w:val="28"/>
                <w:szCs w:val="28"/>
              </w:rPr>
              <w:t>трата вантажу</w:t>
            </w:r>
            <w:r w:rsidRPr="0049044B">
              <w:rPr>
                <w:rFonts w:ascii="Times New Roman" w:eastAsia="Times New Roman" w:hAnsi="Times New Roman"/>
                <w:color w:val="000000"/>
                <w:sz w:val="28"/>
                <w:szCs w:val="28"/>
                <w:lang w:eastAsia="uk-UA"/>
              </w:rPr>
              <w:t xml:space="preserve"> через конструктивні зазори кузова вагона.</w:t>
            </w:r>
          </w:p>
          <w:p w14:paraId="329E7EB5" w14:textId="77777777" w:rsidR="003C2D5A" w:rsidRPr="0049044B" w:rsidRDefault="00BC2D5D" w:rsidP="004E6C02">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мінеральний «Галіт» </w:t>
            </w:r>
            <w:r w:rsidRPr="0049044B">
              <w:rPr>
                <w:rFonts w:ascii="Times New Roman" w:eastAsia="Times New Roman" w:hAnsi="Times New Roman" w:cs="Times New Roman"/>
                <w:color w:val="000000"/>
                <w:sz w:val="28"/>
                <w:szCs w:val="28"/>
              </w:rPr>
              <w:t xml:space="preserve"> у Правилах вимагає погодження 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c>
          <w:tcPr>
            <w:tcW w:w="4927" w:type="dxa"/>
          </w:tcPr>
          <w:p w14:paraId="056FB089" w14:textId="77777777" w:rsidR="00BC2D5D"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Відсутні витрати</w:t>
            </w:r>
          </w:p>
        </w:tc>
      </w:tr>
      <w:tr w:rsidR="00BC2D5D" w:rsidRPr="0049044B" w14:paraId="0C85CCF9" w14:textId="77777777" w:rsidTr="003A79B9">
        <w:tc>
          <w:tcPr>
            <w:tcW w:w="4927" w:type="dxa"/>
          </w:tcPr>
          <w:p w14:paraId="70240F31" w14:textId="77777777" w:rsidR="00AC23FE" w:rsidRPr="0049044B" w:rsidRDefault="00BC2D5D" w:rsidP="00AC23FE">
            <w:pP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r w:rsidR="00AC23FE" w:rsidRPr="0049044B">
              <w:rPr>
                <w:rFonts w:ascii="Times New Roman" w:eastAsia="Times New Roman" w:hAnsi="Times New Roman" w:cs="Times New Roman"/>
                <w:color w:val="000000"/>
                <w:sz w:val="28"/>
                <w:szCs w:val="28"/>
              </w:rPr>
              <w:t>.</w:t>
            </w:r>
          </w:p>
          <w:p w14:paraId="3267C0D0" w14:textId="77777777" w:rsidR="00540A96" w:rsidRPr="0049044B" w:rsidRDefault="00B74F89" w:rsidP="008228C8">
            <w:pPr>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Можлив</w:t>
            </w:r>
            <w:r w:rsidR="004E6C02" w:rsidRPr="0049044B">
              <w:rPr>
                <w:rFonts w:ascii="Times New Roman" w:eastAsia="Times New Roman" w:hAnsi="Times New Roman"/>
                <w:color w:val="000000"/>
                <w:sz w:val="28"/>
                <w:szCs w:val="28"/>
                <w:lang w:eastAsia="uk-UA"/>
              </w:rPr>
              <w:t>і</w:t>
            </w:r>
            <w:r w:rsidRPr="0049044B">
              <w:rPr>
                <w:rFonts w:ascii="Times New Roman" w:eastAsia="Times New Roman" w:hAnsi="Times New Roman"/>
                <w:color w:val="000000"/>
                <w:sz w:val="28"/>
                <w:szCs w:val="28"/>
                <w:lang w:eastAsia="uk-UA"/>
              </w:rPr>
              <w:t xml:space="preserve"> в</w:t>
            </w:r>
            <w:r w:rsidR="00540A96" w:rsidRPr="0049044B">
              <w:rPr>
                <w:rFonts w:ascii="Times New Roman" w:hAnsi="Times New Roman" w:cs="Times New Roman"/>
                <w:sz w:val="28"/>
                <w:szCs w:val="28"/>
              </w:rPr>
              <w:t>трат</w:t>
            </w:r>
            <w:r w:rsidR="004E6C02" w:rsidRPr="0049044B">
              <w:rPr>
                <w:rFonts w:ascii="Times New Roman" w:hAnsi="Times New Roman" w:cs="Times New Roman"/>
                <w:sz w:val="28"/>
                <w:szCs w:val="28"/>
              </w:rPr>
              <w:t>и</w:t>
            </w:r>
            <w:r w:rsidR="00540A96" w:rsidRPr="0049044B">
              <w:rPr>
                <w:rFonts w:ascii="Times New Roman" w:hAnsi="Times New Roman" w:cs="Times New Roman"/>
                <w:sz w:val="28"/>
                <w:szCs w:val="28"/>
              </w:rPr>
              <w:t xml:space="preserve"> вантажу</w:t>
            </w:r>
            <w:r w:rsidR="00540A96" w:rsidRPr="0049044B">
              <w:rPr>
                <w:rFonts w:ascii="Times New Roman" w:eastAsia="Times New Roman" w:hAnsi="Times New Roman"/>
                <w:color w:val="000000"/>
                <w:sz w:val="28"/>
                <w:szCs w:val="28"/>
                <w:lang w:eastAsia="uk-UA"/>
              </w:rPr>
              <w:t xml:space="preserve"> через конструктивні зазори кузова вагона будуть компенсуватися </w:t>
            </w:r>
            <w:r w:rsidR="008228C8">
              <w:rPr>
                <w:rFonts w:ascii="Times New Roman" w:eastAsia="Times New Roman" w:hAnsi="Times New Roman"/>
                <w:color w:val="000000"/>
                <w:sz w:val="28"/>
                <w:szCs w:val="28"/>
                <w:lang w:eastAsia="uk-UA"/>
              </w:rPr>
              <w:t>шляхом</w:t>
            </w:r>
            <w:r w:rsidR="008228C8" w:rsidRPr="00B02C6F">
              <w:rPr>
                <w:rFonts w:ascii="Times New Roman" w:eastAsia="Times New Roman" w:hAnsi="Times New Roman"/>
                <w:color w:val="000000"/>
                <w:sz w:val="28"/>
                <w:szCs w:val="28"/>
                <w:highlight w:val="yellow"/>
                <w:lang w:eastAsia="uk-UA"/>
              </w:rPr>
              <w:t xml:space="preserve"> </w:t>
            </w:r>
            <w:r w:rsidR="00540A96" w:rsidRPr="008228C8">
              <w:rPr>
                <w:rFonts w:ascii="Times New Roman" w:eastAsia="Times New Roman" w:hAnsi="Times New Roman"/>
                <w:color w:val="000000"/>
                <w:sz w:val="28"/>
                <w:szCs w:val="28"/>
                <w:lang w:eastAsia="uk-UA"/>
              </w:rPr>
              <w:t xml:space="preserve">внесення змін до Правил </w:t>
            </w:r>
            <w:r w:rsidR="008228C8" w:rsidRPr="008228C8">
              <w:rPr>
                <w:rFonts w:ascii="Times New Roman" w:eastAsia="Times New Roman" w:hAnsi="Times New Roman"/>
                <w:color w:val="000000"/>
                <w:sz w:val="28"/>
                <w:szCs w:val="28"/>
                <w:lang w:eastAsia="uk-UA"/>
              </w:rPr>
              <w:t>за рахунок</w:t>
            </w:r>
            <w:r w:rsidR="008228C8">
              <w:rPr>
                <w:rFonts w:ascii="Times New Roman" w:eastAsia="Times New Roman" w:hAnsi="Times New Roman"/>
                <w:color w:val="000000"/>
                <w:sz w:val="28"/>
                <w:szCs w:val="28"/>
                <w:lang w:eastAsia="uk-UA"/>
              </w:rPr>
              <w:t xml:space="preserve"> застосування під час перевезень</w:t>
            </w:r>
            <w:r w:rsidR="008228C8" w:rsidRPr="008228C8">
              <w:rPr>
                <w:rFonts w:ascii="Times New Roman" w:eastAsia="Times New Roman" w:hAnsi="Times New Roman" w:cs="Times New Roman"/>
                <w:color w:val="000000"/>
                <w:sz w:val="28"/>
                <w:szCs w:val="28"/>
              </w:rPr>
              <w:t xml:space="preserve"> </w:t>
            </w:r>
            <w:r w:rsidR="008228C8">
              <w:rPr>
                <w:rFonts w:ascii="Times New Roman" w:eastAsia="Times New Roman" w:hAnsi="Times New Roman" w:cs="Times New Roman"/>
                <w:color w:val="000000"/>
                <w:sz w:val="28"/>
                <w:szCs w:val="28"/>
              </w:rPr>
              <w:t xml:space="preserve">вантажів </w:t>
            </w:r>
            <w:r w:rsidR="008228C8" w:rsidRPr="008228C8">
              <w:rPr>
                <w:rFonts w:ascii="Times New Roman" w:eastAsia="Times New Roman" w:hAnsi="Times New Roman"/>
                <w:color w:val="000000"/>
                <w:sz w:val="28"/>
                <w:szCs w:val="28"/>
                <w:lang w:eastAsia="uk-UA"/>
              </w:rPr>
              <w:t>вагонних вкладишів або м’яких контейнерів</w:t>
            </w:r>
            <w:r w:rsidR="008228C8">
              <w:rPr>
                <w:rFonts w:ascii="Times New Roman" w:eastAsia="Times New Roman" w:hAnsi="Times New Roman"/>
                <w:color w:val="000000"/>
                <w:sz w:val="28"/>
                <w:szCs w:val="28"/>
                <w:lang w:eastAsia="uk-UA"/>
              </w:rPr>
              <w:t xml:space="preserve"> </w:t>
            </w:r>
          </w:p>
        </w:tc>
        <w:tc>
          <w:tcPr>
            <w:tcW w:w="4927" w:type="dxa"/>
          </w:tcPr>
          <w:p w14:paraId="515CC8B3" w14:textId="77777777" w:rsidR="00904DCF" w:rsidRPr="0049044B" w:rsidRDefault="00904DCF" w:rsidP="00904DCF">
            <w:pPr>
              <w:spacing w:after="150"/>
              <w:jc w:val="both"/>
              <w:rPr>
                <w:rFonts w:ascii="Times New Roman" w:eastAsia="Times New Roman" w:hAnsi="Times New Roman"/>
                <w:color w:val="000000"/>
                <w:sz w:val="28"/>
                <w:szCs w:val="28"/>
                <w:lang w:eastAsia="uk-UA"/>
              </w:rPr>
            </w:pPr>
            <w:r w:rsidRPr="0049044B">
              <w:rPr>
                <w:rFonts w:ascii="Times New Roman" w:eastAsia="Times New Roman" w:hAnsi="Times New Roman"/>
                <w:color w:val="000000"/>
                <w:sz w:val="28"/>
                <w:szCs w:val="28"/>
                <w:lang w:eastAsia="uk-UA"/>
              </w:rPr>
              <w:t>В залежності від вибору відправників способу транспортування солі у вагонах відкритого типу:</w:t>
            </w:r>
          </w:p>
          <w:p w14:paraId="6F8C4C66" w14:textId="77777777" w:rsidR="00904DCF" w:rsidRPr="0049044B" w:rsidRDefault="00904DCF" w:rsidP="00904DCF">
            <w:pPr>
              <w:spacing w:after="150"/>
              <w:jc w:val="both"/>
              <w:rPr>
                <w:rFonts w:ascii="Times New Roman" w:eastAsia="Times New Roman" w:hAnsi="Times New Roman"/>
                <w:color w:val="000000"/>
                <w:sz w:val="28"/>
                <w:szCs w:val="28"/>
                <w:lang w:eastAsia="uk-UA"/>
              </w:rPr>
            </w:pPr>
            <w:r w:rsidRPr="0049044B">
              <w:rPr>
                <w:rFonts w:ascii="Times New Roman" w:eastAsia="Times New Roman" w:hAnsi="Times New Roman"/>
                <w:color w:val="000000"/>
                <w:sz w:val="28"/>
                <w:szCs w:val="28"/>
                <w:lang w:eastAsia="uk-UA"/>
              </w:rPr>
              <w:t xml:space="preserve">з використанням вагонного вкладиша – </w:t>
            </w:r>
            <w:r w:rsidR="00EA5326">
              <w:rPr>
                <w:rFonts w:ascii="Times New Roman" w:eastAsia="Times New Roman" w:hAnsi="Times New Roman"/>
                <w:color w:val="000000"/>
                <w:sz w:val="28"/>
                <w:szCs w:val="28"/>
                <w:lang w:eastAsia="uk-UA"/>
              </w:rPr>
              <w:t>11073</w:t>
            </w:r>
            <w:r w:rsidRPr="0049044B">
              <w:rPr>
                <w:rFonts w:ascii="Times New Roman" w:eastAsia="Times New Roman" w:hAnsi="Times New Roman"/>
                <w:color w:val="000000"/>
                <w:sz w:val="28"/>
                <w:szCs w:val="28"/>
                <w:lang w:eastAsia="uk-UA"/>
              </w:rPr>
              <w:t> тис</w:t>
            </w:r>
            <w:r w:rsidR="007443B5">
              <w:rPr>
                <w:rFonts w:ascii="Times New Roman" w:eastAsia="Times New Roman" w:hAnsi="Times New Roman"/>
                <w:color w:val="000000"/>
                <w:sz w:val="28"/>
                <w:szCs w:val="28"/>
                <w:lang w:eastAsia="uk-UA"/>
              </w:rPr>
              <w:t>.</w:t>
            </w:r>
            <w:r w:rsidRPr="0049044B">
              <w:rPr>
                <w:rFonts w:ascii="Times New Roman" w:eastAsia="Times New Roman" w:hAnsi="Times New Roman"/>
                <w:color w:val="000000"/>
                <w:sz w:val="28"/>
                <w:szCs w:val="28"/>
                <w:lang w:eastAsia="uk-UA"/>
              </w:rPr>
              <w:t> грн;</w:t>
            </w:r>
          </w:p>
          <w:p w14:paraId="745BC8EE" w14:textId="77777777" w:rsidR="0064240D" w:rsidRPr="0049044B" w:rsidRDefault="00904DCF" w:rsidP="00904DCF">
            <w:pPr>
              <w:pBdr>
                <w:top w:val="nil"/>
                <w:left w:val="nil"/>
                <w:bottom w:val="nil"/>
                <w:right w:val="nil"/>
                <w:between w:val="nil"/>
              </w:pBdr>
              <w:spacing w:after="150"/>
              <w:jc w:val="both"/>
              <w:rPr>
                <w:rFonts w:ascii="Times New Roman" w:eastAsia="Times New Roman" w:hAnsi="Times New Roman"/>
                <w:color w:val="000000"/>
                <w:sz w:val="28"/>
                <w:szCs w:val="28"/>
                <w:lang w:eastAsia="uk-UA"/>
              </w:rPr>
            </w:pPr>
            <w:r w:rsidRPr="0049044B">
              <w:rPr>
                <w:rFonts w:ascii="Times New Roman" w:eastAsia="Times New Roman" w:hAnsi="Times New Roman"/>
                <w:color w:val="000000"/>
                <w:sz w:val="28"/>
                <w:szCs w:val="28"/>
                <w:lang w:eastAsia="uk-UA"/>
              </w:rPr>
              <w:t xml:space="preserve">з використанням м’яких контейнерів – </w:t>
            </w:r>
            <w:r w:rsidR="00EA5326">
              <w:rPr>
                <w:rFonts w:ascii="Times New Roman" w:eastAsia="Times New Roman" w:hAnsi="Times New Roman"/>
                <w:color w:val="000000"/>
                <w:sz w:val="28"/>
                <w:szCs w:val="28"/>
                <w:lang w:eastAsia="uk-UA"/>
              </w:rPr>
              <w:t>46</w:t>
            </w:r>
            <w:r w:rsidR="000907A7">
              <w:rPr>
                <w:rFonts w:ascii="Times New Roman" w:eastAsia="Times New Roman" w:hAnsi="Times New Roman"/>
                <w:color w:val="000000"/>
                <w:sz w:val="28"/>
                <w:szCs w:val="28"/>
                <w:lang w:eastAsia="uk-UA"/>
              </w:rPr>
              <w:t>080</w:t>
            </w:r>
            <w:r w:rsidRPr="0049044B">
              <w:rPr>
                <w:rFonts w:ascii="Times New Roman" w:eastAsia="Times New Roman" w:hAnsi="Times New Roman"/>
                <w:color w:val="000000"/>
                <w:sz w:val="28"/>
                <w:szCs w:val="28"/>
                <w:lang w:eastAsia="uk-UA"/>
              </w:rPr>
              <w:t> тис</w:t>
            </w:r>
            <w:r w:rsidR="007443B5">
              <w:rPr>
                <w:rFonts w:ascii="Times New Roman" w:eastAsia="Times New Roman" w:hAnsi="Times New Roman"/>
                <w:color w:val="000000"/>
                <w:sz w:val="28"/>
                <w:szCs w:val="28"/>
                <w:lang w:eastAsia="uk-UA"/>
              </w:rPr>
              <w:t>.</w:t>
            </w:r>
            <w:r w:rsidRPr="0049044B">
              <w:rPr>
                <w:rFonts w:ascii="Times New Roman" w:eastAsia="Times New Roman" w:hAnsi="Times New Roman"/>
                <w:color w:val="000000"/>
                <w:sz w:val="28"/>
                <w:szCs w:val="28"/>
                <w:lang w:eastAsia="uk-UA"/>
              </w:rPr>
              <w:t> грн.</w:t>
            </w:r>
          </w:p>
          <w:p w14:paraId="0038579D" w14:textId="77777777" w:rsidR="007D5FF7" w:rsidRPr="0049044B" w:rsidRDefault="007D5FF7" w:rsidP="00540A96">
            <w:pPr>
              <w:rPr>
                <w:rFonts w:ascii="Times New Roman" w:eastAsia="Times New Roman" w:hAnsi="Times New Roman" w:cs="Times New Roman"/>
                <w:color w:val="000000"/>
                <w:sz w:val="28"/>
                <w:szCs w:val="28"/>
              </w:rPr>
            </w:pPr>
          </w:p>
        </w:tc>
      </w:tr>
    </w:tbl>
    <w:p w14:paraId="04152303" w14:textId="77777777" w:rsidR="00B7018C" w:rsidRPr="0049044B" w:rsidRDefault="00B7018C" w:rsidP="00BC2D5D">
      <w:pPr>
        <w:pBdr>
          <w:top w:val="nil"/>
          <w:left w:val="nil"/>
          <w:bottom w:val="nil"/>
          <w:right w:val="nil"/>
          <w:between w:val="nil"/>
        </w:pBdr>
        <w:shd w:val="clear" w:color="auto" w:fill="FFFFFF"/>
        <w:spacing w:after="150"/>
        <w:jc w:val="both"/>
        <w:rPr>
          <w:rFonts w:ascii="Times New Roman" w:eastAsia="Times New Roman" w:hAnsi="Times New Roman" w:cs="Times New Roman"/>
          <w:color w:val="000000"/>
          <w:sz w:val="28"/>
          <w:szCs w:val="28"/>
        </w:rPr>
      </w:pPr>
      <w:bookmarkStart w:id="0" w:name="30j0zll" w:colFirst="0" w:colLast="0"/>
      <w:bookmarkEnd w:id="0"/>
    </w:p>
    <w:p w14:paraId="39ECCE92" w14:textId="77777777" w:rsidR="00BC2D5D" w:rsidRPr="0049044B" w:rsidRDefault="00BC2D5D" w:rsidP="00BC2D5D">
      <w:pPr>
        <w:pBdr>
          <w:top w:val="nil"/>
          <w:left w:val="nil"/>
          <w:bottom w:val="nil"/>
          <w:right w:val="nil"/>
          <w:between w:val="nil"/>
        </w:pBdr>
        <w:spacing w:after="120"/>
        <w:ind w:firstLine="70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IV. Вибір найбільш оптимального альтернативного способу досягнення цілей </w:t>
      </w:r>
    </w:p>
    <w:p w14:paraId="4CBD933A" w14:textId="77777777" w:rsidR="00BC2D5D" w:rsidRPr="0049044B" w:rsidRDefault="00BC2D5D" w:rsidP="00BC2D5D">
      <w:pPr>
        <w:pBdr>
          <w:top w:val="nil"/>
          <w:left w:val="nil"/>
          <w:bottom w:val="nil"/>
          <w:right w:val="nil"/>
          <w:between w:val="nil"/>
        </w:pBdr>
        <w:spacing w:after="120"/>
        <w:ind w:firstLine="709"/>
        <w:jc w:val="both"/>
        <w:rPr>
          <w:rFonts w:ascii="Times New Roman" w:eastAsia="Times New Roman" w:hAnsi="Times New Roman" w:cs="Times New Roman"/>
          <w:color w:val="000000"/>
          <w:sz w:val="28"/>
          <w:szCs w:val="28"/>
        </w:rPr>
      </w:pPr>
    </w:p>
    <w:tbl>
      <w:tblPr>
        <w:tblStyle w:val="2"/>
        <w:tblW w:w="95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11"/>
        <w:gridCol w:w="2409"/>
        <w:gridCol w:w="173"/>
        <w:gridCol w:w="2456"/>
        <w:gridCol w:w="2244"/>
      </w:tblGrid>
      <w:tr w:rsidR="00BC2D5D" w:rsidRPr="0049044B" w14:paraId="71620C9D" w14:textId="77777777" w:rsidTr="003A79B9">
        <w:tc>
          <w:tcPr>
            <w:tcW w:w="2295" w:type="dxa"/>
            <w:gridSpan w:val="2"/>
            <w:vAlign w:val="center"/>
          </w:tcPr>
          <w:p w14:paraId="1FC6095D"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Рейтинг результативності </w:t>
            </w:r>
            <w:r w:rsidRPr="0049044B">
              <w:rPr>
                <w:rFonts w:ascii="Times New Roman" w:eastAsia="Times New Roman" w:hAnsi="Times New Roman" w:cs="Times New Roman"/>
                <w:color w:val="000000"/>
                <w:sz w:val="28"/>
                <w:szCs w:val="28"/>
              </w:rPr>
              <w:lastRenderedPageBreak/>
              <w:t>(досягнення цілей під час вирішення проблеми)</w:t>
            </w:r>
          </w:p>
        </w:tc>
        <w:tc>
          <w:tcPr>
            <w:tcW w:w="2409" w:type="dxa"/>
            <w:vAlign w:val="center"/>
          </w:tcPr>
          <w:p w14:paraId="0B6200D7"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 xml:space="preserve">Бал результативності </w:t>
            </w:r>
            <w:r w:rsidRPr="0049044B">
              <w:rPr>
                <w:rFonts w:ascii="Times New Roman" w:eastAsia="Times New Roman" w:hAnsi="Times New Roman" w:cs="Times New Roman"/>
                <w:color w:val="000000"/>
                <w:sz w:val="28"/>
                <w:szCs w:val="28"/>
              </w:rPr>
              <w:lastRenderedPageBreak/>
              <w:t>(за чотирибальною системою оцінювання)</w:t>
            </w:r>
          </w:p>
        </w:tc>
        <w:tc>
          <w:tcPr>
            <w:tcW w:w="4873" w:type="dxa"/>
            <w:gridSpan w:val="3"/>
            <w:vAlign w:val="center"/>
          </w:tcPr>
          <w:p w14:paraId="49C6F998" w14:textId="77777777"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 xml:space="preserve">Коментарі щодо присвоєння відповідного </w:t>
            </w:r>
            <w:proofErr w:type="spellStart"/>
            <w:r w:rsidRPr="0049044B">
              <w:rPr>
                <w:rFonts w:ascii="Times New Roman" w:eastAsia="Times New Roman" w:hAnsi="Times New Roman" w:cs="Times New Roman"/>
                <w:color w:val="000000"/>
                <w:sz w:val="28"/>
                <w:szCs w:val="28"/>
              </w:rPr>
              <w:t>бала</w:t>
            </w:r>
            <w:proofErr w:type="spellEnd"/>
          </w:p>
        </w:tc>
      </w:tr>
      <w:tr w:rsidR="00BC2D5D" w:rsidRPr="0049044B" w14:paraId="45EAAC1F" w14:textId="77777777" w:rsidTr="003A79B9">
        <w:tc>
          <w:tcPr>
            <w:tcW w:w="2295" w:type="dxa"/>
            <w:gridSpan w:val="2"/>
            <w:tcBorders>
              <w:bottom w:val="single" w:sz="4" w:space="0" w:color="000000"/>
            </w:tcBorders>
          </w:tcPr>
          <w:p w14:paraId="598ADF6A"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1</w:t>
            </w:r>
          </w:p>
        </w:tc>
        <w:tc>
          <w:tcPr>
            <w:tcW w:w="2409" w:type="dxa"/>
            <w:tcBorders>
              <w:bottom w:val="single" w:sz="4" w:space="0" w:color="000000"/>
            </w:tcBorders>
          </w:tcPr>
          <w:p w14:paraId="3FA9D36E" w14:textId="77777777" w:rsidR="00BC2D5D" w:rsidRPr="0049044B" w:rsidRDefault="00BC2D5D" w:rsidP="003A79B9">
            <w:pPr>
              <w:pBdr>
                <w:top w:val="nil"/>
                <w:left w:val="nil"/>
                <w:bottom w:val="nil"/>
                <w:right w:val="nil"/>
                <w:between w:val="nil"/>
              </w:pBdr>
              <w:ind w:hanging="7"/>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1</w:t>
            </w:r>
          </w:p>
        </w:tc>
        <w:tc>
          <w:tcPr>
            <w:tcW w:w="4873" w:type="dxa"/>
            <w:gridSpan w:val="3"/>
            <w:tcBorders>
              <w:bottom w:val="single" w:sz="4" w:space="0" w:color="000000"/>
            </w:tcBorders>
          </w:tcPr>
          <w:p w14:paraId="7120E858" w14:textId="77777777" w:rsidR="00050269" w:rsidRPr="0049044B" w:rsidRDefault="00BC2D5D" w:rsidP="0005026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Вантаж сіль при перевезенні у напіввагонах зазнає впливу атмосферних опадів. Розчиняючись у воді – витікає з вагона. Сольовий розчин прискорює корозію кузова вагона; випаровуючись на ходових та гальмівних частинах вагона, залишає шар солі, що збільшує ризик виникнення аварійної ситуації.</w:t>
            </w:r>
          </w:p>
          <w:p w14:paraId="167E5974" w14:textId="77777777" w:rsidR="00050269" w:rsidRPr="0049044B" w:rsidRDefault="004E6C02" w:rsidP="00050269">
            <w:pPr>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Можлива в</w:t>
            </w:r>
            <w:r w:rsidR="00050269" w:rsidRPr="0049044B">
              <w:rPr>
                <w:rFonts w:ascii="Times New Roman" w:hAnsi="Times New Roman" w:cs="Times New Roman"/>
                <w:sz w:val="28"/>
                <w:szCs w:val="28"/>
              </w:rPr>
              <w:t>трата вантажу</w:t>
            </w:r>
            <w:r w:rsidR="00050269" w:rsidRPr="0049044B">
              <w:rPr>
                <w:rFonts w:ascii="Times New Roman" w:eastAsia="Times New Roman" w:hAnsi="Times New Roman"/>
                <w:color w:val="000000"/>
                <w:sz w:val="28"/>
                <w:szCs w:val="28"/>
                <w:lang w:eastAsia="uk-UA"/>
              </w:rPr>
              <w:t xml:space="preserve"> через конструктивні зазори кузова вагона.</w:t>
            </w:r>
          </w:p>
          <w:p w14:paraId="083A76C2" w14:textId="77777777" w:rsidR="00BC2D5D" w:rsidRPr="0049044B" w:rsidRDefault="00BC2D5D" w:rsidP="0005026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мінеральний «Галіт» </w:t>
            </w:r>
            <w:r w:rsidRPr="0049044B">
              <w:rPr>
                <w:rFonts w:ascii="Times New Roman" w:eastAsia="Times New Roman" w:hAnsi="Times New Roman" w:cs="Times New Roman"/>
                <w:color w:val="000000"/>
                <w:sz w:val="28"/>
                <w:szCs w:val="28"/>
              </w:rPr>
              <w:t xml:space="preserve">у Правилах вимагає погодження 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r>
      <w:tr w:rsidR="00BC2D5D" w:rsidRPr="0049044B" w14:paraId="5F5FDEF0" w14:textId="77777777" w:rsidTr="003A79B9">
        <w:tc>
          <w:tcPr>
            <w:tcW w:w="2295" w:type="dxa"/>
            <w:gridSpan w:val="2"/>
            <w:tcBorders>
              <w:bottom w:val="single" w:sz="4" w:space="0" w:color="000000"/>
            </w:tcBorders>
          </w:tcPr>
          <w:p w14:paraId="56D9EB37"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2 </w:t>
            </w:r>
          </w:p>
        </w:tc>
        <w:tc>
          <w:tcPr>
            <w:tcW w:w="2409" w:type="dxa"/>
            <w:tcBorders>
              <w:bottom w:val="single" w:sz="4" w:space="0" w:color="000000"/>
            </w:tcBorders>
          </w:tcPr>
          <w:p w14:paraId="0121818A" w14:textId="77777777" w:rsidR="00BC2D5D" w:rsidRPr="0049044B" w:rsidRDefault="00050269" w:rsidP="003A79B9">
            <w:pPr>
              <w:pBdr>
                <w:top w:val="nil"/>
                <w:left w:val="nil"/>
                <w:bottom w:val="nil"/>
                <w:right w:val="nil"/>
                <w:between w:val="nil"/>
              </w:pBdr>
              <w:ind w:hanging="7"/>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2</w:t>
            </w:r>
          </w:p>
        </w:tc>
        <w:tc>
          <w:tcPr>
            <w:tcW w:w="4873" w:type="dxa"/>
            <w:gridSpan w:val="3"/>
            <w:tcBorders>
              <w:bottom w:val="single" w:sz="4" w:space="0" w:color="000000"/>
            </w:tcBorders>
          </w:tcPr>
          <w:p w14:paraId="7D733577" w14:textId="77777777" w:rsidR="004E6C02" w:rsidRPr="0049044B" w:rsidRDefault="00BC2D5D" w:rsidP="00050269">
            <w:pP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Покращення схоронності вантажу під час перевезення.</w:t>
            </w:r>
            <w:r w:rsidR="00050269" w:rsidRPr="0049044B">
              <w:rPr>
                <w:rFonts w:ascii="Times New Roman" w:eastAsia="Times New Roman" w:hAnsi="Times New Roman" w:cs="Times New Roman"/>
                <w:color w:val="000000"/>
                <w:sz w:val="28"/>
                <w:szCs w:val="28"/>
              </w:rPr>
              <w:t xml:space="preserve"> </w:t>
            </w:r>
          </w:p>
          <w:p w14:paraId="47D7081F" w14:textId="77777777" w:rsidR="00050269" w:rsidRPr="0049044B" w:rsidRDefault="00050269" w:rsidP="00050269">
            <w:pPr>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В</w:t>
            </w:r>
            <w:r w:rsidRPr="0049044B">
              <w:rPr>
                <w:rFonts w:ascii="Times New Roman" w:hAnsi="Times New Roman" w:cs="Times New Roman"/>
                <w:sz w:val="28"/>
                <w:szCs w:val="28"/>
              </w:rPr>
              <w:t>трата вантажу</w:t>
            </w:r>
            <w:r w:rsidRPr="0049044B">
              <w:rPr>
                <w:rFonts w:ascii="Times New Roman" w:eastAsia="Times New Roman" w:hAnsi="Times New Roman"/>
                <w:color w:val="000000"/>
                <w:sz w:val="28"/>
                <w:szCs w:val="28"/>
                <w:lang w:eastAsia="uk-UA"/>
              </w:rPr>
              <w:t xml:space="preserve"> через конструктивні зазори кузова вагона будуть компенсуватися за рахунок внесення змін до Правил</w:t>
            </w:r>
            <w:r w:rsidR="0029268B">
              <w:rPr>
                <w:rFonts w:ascii="Times New Roman" w:eastAsia="Times New Roman" w:hAnsi="Times New Roman"/>
                <w:color w:val="000000"/>
                <w:sz w:val="28"/>
                <w:szCs w:val="28"/>
                <w:lang w:eastAsia="uk-UA"/>
              </w:rPr>
              <w:t>.</w:t>
            </w:r>
            <w:r w:rsidRPr="0049044B">
              <w:rPr>
                <w:rFonts w:ascii="Times New Roman" w:eastAsia="Times New Roman" w:hAnsi="Times New Roman"/>
                <w:color w:val="000000"/>
                <w:sz w:val="28"/>
                <w:szCs w:val="28"/>
                <w:lang w:eastAsia="uk-UA"/>
              </w:rPr>
              <w:t xml:space="preserve"> </w:t>
            </w:r>
          </w:p>
          <w:p w14:paraId="1F5F763D" w14:textId="77777777"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атмосферних опадів на якість вантажу.</w:t>
            </w:r>
          </w:p>
          <w:p w14:paraId="2C47C7FF" w14:textId="77777777"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вантажу на кузов вагона і, як наслідок, покращення збереженості рухомого складу.</w:t>
            </w:r>
          </w:p>
          <w:p w14:paraId="58D04033" w14:textId="77777777"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p>
          <w:p w14:paraId="483BD811" w14:textId="77777777"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Гармонізація умов перевезення вантажів у внутрішньому та міжнародному перевезеннях.</w:t>
            </w:r>
          </w:p>
          <w:p w14:paraId="3ADCE176" w14:textId="77777777" w:rsidR="003C2EB7" w:rsidRDefault="00BC2D5D"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Витрати відправників на навантаження збільшуються за рахунок вартості вагонних вкладишів або м’яких контейнерів (близько 1500 грн на </w:t>
            </w:r>
            <w:r w:rsidRPr="0049044B">
              <w:rPr>
                <w:rFonts w:ascii="Times New Roman" w:eastAsia="Times New Roman" w:hAnsi="Times New Roman" w:cs="Times New Roman"/>
                <w:color w:val="000000"/>
                <w:sz w:val="28"/>
                <w:szCs w:val="28"/>
              </w:rPr>
              <w:br/>
            </w:r>
            <w:r w:rsidRPr="0049044B">
              <w:rPr>
                <w:rFonts w:ascii="Times New Roman" w:eastAsia="Times New Roman" w:hAnsi="Times New Roman" w:cs="Times New Roman"/>
                <w:color w:val="000000"/>
                <w:sz w:val="28"/>
                <w:szCs w:val="28"/>
              </w:rPr>
              <w:lastRenderedPageBreak/>
              <w:t xml:space="preserve">1 вагон) або м’яких контейнерів </w:t>
            </w:r>
            <w:r w:rsidRPr="006E5025">
              <w:rPr>
                <w:rFonts w:ascii="Times New Roman" w:eastAsia="Times New Roman" w:hAnsi="Times New Roman" w:cs="Times New Roman"/>
                <w:color w:val="000000"/>
                <w:sz w:val="28"/>
                <w:szCs w:val="28"/>
              </w:rPr>
              <w:t xml:space="preserve">(близько </w:t>
            </w:r>
            <w:r w:rsidR="00B02C6F" w:rsidRPr="006E5025">
              <w:rPr>
                <w:rFonts w:ascii="Times New Roman" w:eastAsia="Times New Roman" w:hAnsi="Times New Roman" w:cs="Times New Roman"/>
                <w:color w:val="000000"/>
                <w:sz w:val="28"/>
                <w:szCs w:val="28"/>
              </w:rPr>
              <w:t>9</w:t>
            </w:r>
            <w:r w:rsidRPr="006E5025">
              <w:rPr>
                <w:rFonts w:ascii="Times New Roman" w:eastAsia="Times New Roman" w:hAnsi="Times New Roman" w:cs="Times New Roman"/>
                <w:color w:val="000000"/>
                <w:sz w:val="28"/>
                <w:szCs w:val="28"/>
              </w:rPr>
              <w:t xml:space="preserve">0 грн за один м’який контейнер для 1 </w:t>
            </w:r>
            <w:proofErr w:type="spellStart"/>
            <w:r w:rsidRPr="006E5025">
              <w:rPr>
                <w:rFonts w:ascii="Times New Roman" w:eastAsia="Times New Roman" w:hAnsi="Times New Roman" w:cs="Times New Roman"/>
                <w:color w:val="000000"/>
                <w:sz w:val="28"/>
                <w:szCs w:val="28"/>
              </w:rPr>
              <w:t>тон</w:t>
            </w:r>
            <w:r w:rsidR="0029268B" w:rsidRPr="006E5025">
              <w:rPr>
                <w:rFonts w:ascii="Times New Roman" w:eastAsia="Times New Roman" w:hAnsi="Times New Roman" w:cs="Times New Roman"/>
                <w:color w:val="000000"/>
                <w:sz w:val="28"/>
                <w:szCs w:val="28"/>
              </w:rPr>
              <w:t>н</w:t>
            </w:r>
            <w:r w:rsidRPr="006E5025">
              <w:rPr>
                <w:rFonts w:ascii="Times New Roman" w:eastAsia="Times New Roman" w:hAnsi="Times New Roman" w:cs="Times New Roman"/>
                <w:color w:val="000000"/>
                <w:sz w:val="28"/>
                <w:szCs w:val="28"/>
              </w:rPr>
              <w:t>и</w:t>
            </w:r>
            <w:proofErr w:type="spellEnd"/>
            <w:r w:rsidRPr="006E5025">
              <w:rPr>
                <w:rFonts w:ascii="Times New Roman" w:eastAsia="Times New Roman" w:hAnsi="Times New Roman" w:cs="Times New Roman"/>
                <w:color w:val="000000"/>
                <w:sz w:val="28"/>
                <w:szCs w:val="28"/>
              </w:rPr>
              <w:t xml:space="preserve"> вантажу</w:t>
            </w:r>
            <w:r w:rsidRPr="0049044B">
              <w:rPr>
                <w:rFonts w:ascii="Times New Roman" w:eastAsia="Times New Roman" w:hAnsi="Times New Roman" w:cs="Times New Roman"/>
                <w:color w:val="000000"/>
                <w:sz w:val="28"/>
                <w:szCs w:val="28"/>
              </w:rPr>
              <w:t>)</w:t>
            </w:r>
          </w:p>
          <w:p w14:paraId="46C24B2D" w14:textId="77777777" w:rsidR="003C2EB7" w:rsidRPr="003C2EB7" w:rsidRDefault="003C2EB7"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Водночас п</w:t>
            </w:r>
            <w:r w:rsidRPr="003C2EB7">
              <w:rPr>
                <w:rFonts w:ascii="Times New Roman" w:eastAsia="Times New Roman" w:hAnsi="Times New Roman" w:cs="Times New Roman"/>
                <w:color w:val="000000"/>
                <w:sz w:val="28"/>
                <w:szCs w:val="28"/>
              </w:rPr>
              <w:t>ід час перевезення 512 тис</w:t>
            </w:r>
            <w:r w:rsidR="007443B5">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т </w:t>
            </w:r>
            <w:r>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7382 вагона</w:t>
            </w:r>
            <w:r>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солі із використанням вагонних вкладишів та м’яких контейнерів (біг-</w:t>
            </w:r>
            <w:proofErr w:type="spellStart"/>
            <w:r w:rsidRPr="003C2EB7">
              <w:rPr>
                <w:rFonts w:ascii="Times New Roman" w:eastAsia="Times New Roman" w:hAnsi="Times New Roman" w:cs="Times New Roman"/>
                <w:color w:val="000000"/>
                <w:sz w:val="28"/>
                <w:szCs w:val="28"/>
              </w:rPr>
              <w:t>бег</w:t>
            </w:r>
            <w:proofErr w:type="spellEnd"/>
            <w:r w:rsidRPr="003C2EB7">
              <w:rPr>
                <w:rFonts w:ascii="Times New Roman" w:eastAsia="Times New Roman" w:hAnsi="Times New Roman" w:cs="Times New Roman"/>
                <w:color w:val="000000"/>
                <w:sz w:val="28"/>
                <w:szCs w:val="28"/>
              </w:rPr>
              <w:t>) буде упереджено втрату більше 10 тис</w:t>
            </w:r>
            <w:r w:rsidR="007443B5">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т вантажу, що складе в грошовому вираженні 1360 грн/тонна ціна солі технічної * 10 000 т = 13 600 тис. грн..</w:t>
            </w:r>
          </w:p>
          <w:p w14:paraId="26CAD8FD" w14:textId="77777777" w:rsidR="003C2EB7" w:rsidRPr="003C2EB7" w:rsidRDefault="003C2EB7"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При цьому витрати відправників на вагонні вкладиші: 7382 вагона (512 тис т у 2020 році) х 1500 грн/вагон складе 11 073 тис грн.</w:t>
            </w:r>
          </w:p>
          <w:p w14:paraId="4EF31B01" w14:textId="77777777" w:rsidR="003C2EB7" w:rsidRPr="0049044B" w:rsidRDefault="003C2EB7"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Очевидно, що внаслідок дії регуляторного акта суб’єкти господарювання великого і середнього підприємництва можуть отримати 2 527 тис. грн вигоди за рахунок упередження втрати вантажу під час перевезень залізничним транспортом у вагонах відкритого типу.</w:t>
            </w:r>
          </w:p>
        </w:tc>
      </w:tr>
      <w:tr w:rsidR="00BC2D5D" w:rsidRPr="0049044B" w14:paraId="05967DBF" w14:textId="77777777" w:rsidTr="003A79B9">
        <w:tc>
          <w:tcPr>
            <w:tcW w:w="9577" w:type="dxa"/>
            <w:gridSpan w:val="6"/>
            <w:tcBorders>
              <w:top w:val="nil"/>
              <w:left w:val="nil"/>
              <w:right w:val="nil"/>
            </w:tcBorders>
          </w:tcPr>
          <w:p w14:paraId="7BF87467" w14:textId="77777777"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p>
        </w:tc>
      </w:tr>
      <w:tr w:rsidR="00BC2D5D" w:rsidRPr="0049044B" w14:paraId="21C6BDAD" w14:textId="77777777" w:rsidTr="003C2EB7">
        <w:tc>
          <w:tcPr>
            <w:tcW w:w="2184" w:type="dxa"/>
          </w:tcPr>
          <w:p w14:paraId="7962B245" w14:textId="77777777"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Рейтинг результативності</w:t>
            </w:r>
          </w:p>
        </w:tc>
        <w:tc>
          <w:tcPr>
            <w:tcW w:w="2693" w:type="dxa"/>
            <w:gridSpan w:val="3"/>
          </w:tcPr>
          <w:p w14:paraId="5A5DEF82" w14:textId="77777777"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Вигоди (підсумок)</w:t>
            </w:r>
          </w:p>
        </w:tc>
        <w:tc>
          <w:tcPr>
            <w:tcW w:w="2456" w:type="dxa"/>
          </w:tcPr>
          <w:p w14:paraId="60BA4489" w14:textId="77777777"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Витрати (підсумок)</w:t>
            </w:r>
          </w:p>
        </w:tc>
        <w:tc>
          <w:tcPr>
            <w:tcW w:w="2244" w:type="dxa"/>
          </w:tcPr>
          <w:p w14:paraId="64E434B4" w14:textId="77777777"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Обґрунтування відповідного місця альтернативи в рейтингу</w:t>
            </w:r>
          </w:p>
        </w:tc>
      </w:tr>
      <w:tr w:rsidR="00BC2D5D" w:rsidRPr="0049044B" w14:paraId="3AF5AB97" w14:textId="77777777" w:rsidTr="003C2EB7">
        <w:tc>
          <w:tcPr>
            <w:tcW w:w="2184" w:type="dxa"/>
          </w:tcPr>
          <w:p w14:paraId="606758FB"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p w14:paraId="77CD8BCB" w14:textId="77777777"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2693" w:type="dxa"/>
            <w:gridSpan w:val="3"/>
          </w:tcPr>
          <w:p w14:paraId="2378D931" w14:textId="77777777" w:rsidR="00BC2D5D" w:rsidRPr="0049044B" w:rsidRDefault="00BC2D5D" w:rsidP="00F9329F">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Витрати відправників на </w:t>
            </w:r>
            <w:r w:rsidR="008F4097" w:rsidRPr="0049044B">
              <w:rPr>
                <w:rFonts w:ascii="Times New Roman" w:eastAsia="Times New Roman" w:hAnsi="Times New Roman" w:cs="Times New Roman"/>
                <w:color w:val="000000"/>
                <w:sz w:val="28"/>
                <w:szCs w:val="28"/>
              </w:rPr>
              <w:t>використання вкладишів або м’яких контейнерів відсутні</w:t>
            </w:r>
          </w:p>
        </w:tc>
        <w:tc>
          <w:tcPr>
            <w:tcW w:w="2456" w:type="dxa"/>
          </w:tcPr>
          <w:p w14:paraId="6E30FCBF" w14:textId="77777777" w:rsidR="00BC2D5D" w:rsidRPr="0049044B" w:rsidRDefault="00BC2D5D"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Погіршення якості вантажу за рахунок впливу атмосферних опадів.</w:t>
            </w:r>
          </w:p>
          <w:p w14:paraId="685D2452" w14:textId="77777777" w:rsidR="00BC2D5D" w:rsidRPr="0049044B" w:rsidRDefault="004E6C02"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Можлива в</w:t>
            </w:r>
            <w:r w:rsidR="00BC2D5D" w:rsidRPr="0049044B">
              <w:rPr>
                <w:rFonts w:ascii="Times New Roman" w:eastAsia="Times New Roman" w:hAnsi="Times New Roman" w:cs="Times New Roman"/>
                <w:color w:val="000000"/>
                <w:sz w:val="28"/>
                <w:szCs w:val="28"/>
              </w:rPr>
              <w:t>трата вантажу через конструктивні зазори люків напіввагона.</w:t>
            </w:r>
          </w:p>
          <w:p w14:paraId="58473E38" w14:textId="77777777" w:rsidR="00BC2D5D" w:rsidRPr="0049044B" w:rsidRDefault="00BC2D5D" w:rsidP="0029268B">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Розчиняючись у воді </w:t>
            </w:r>
            <w:r w:rsidR="0029268B">
              <w:rPr>
                <w:rFonts w:ascii="Times New Roman" w:eastAsia="Times New Roman" w:hAnsi="Times New Roman" w:cs="Times New Roman"/>
                <w:color w:val="000000"/>
                <w:sz w:val="28"/>
                <w:szCs w:val="28"/>
              </w:rPr>
              <w:t>сіль</w:t>
            </w:r>
            <w:r w:rsidRPr="0049044B">
              <w:rPr>
                <w:rFonts w:ascii="Times New Roman" w:eastAsia="Times New Roman" w:hAnsi="Times New Roman" w:cs="Times New Roman"/>
                <w:color w:val="000000"/>
                <w:sz w:val="28"/>
                <w:szCs w:val="28"/>
              </w:rPr>
              <w:t xml:space="preserve"> витікає з вагона. Сольовий розчин прискорює корозію кузова вагона. </w:t>
            </w:r>
            <w:r w:rsidRPr="0049044B">
              <w:rPr>
                <w:rFonts w:ascii="Times New Roman" w:eastAsia="Times New Roman" w:hAnsi="Times New Roman" w:cs="Times New Roman"/>
                <w:color w:val="000000"/>
                <w:sz w:val="28"/>
                <w:szCs w:val="28"/>
              </w:rPr>
              <w:lastRenderedPageBreak/>
              <w:t>Випаровуючись на ходових та гальмівних частинах вагона, сольовий розчин залишає шар солі, що збільшує ризик виникнення аварійної ситуації.</w:t>
            </w:r>
          </w:p>
        </w:tc>
        <w:tc>
          <w:tcPr>
            <w:tcW w:w="2244" w:type="dxa"/>
          </w:tcPr>
          <w:p w14:paraId="402AE1C8" w14:textId="77777777" w:rsidR="00BC2D5D" w:rsidRPr="0049044B" w:rsidRDefault="008F4097"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 xml:space="preserve">Цей спосіб перевезення </w:t>
            </w:r>
            <w:r w:rsidR="0029268B">
              <w:rPr>
                <w:rFonts w:ascii="Times New Roman" w:eastAsia="Times New Roman" w:hAnsi="Times New Roman" w:cs="Times New Roman"/>
                <w:color w:val="000000"/>
                <w:sz w:val="28"/>
                <w:szCs w:val="28"/>
              </w:rPr>
              <w:t>здійснює</w:t>
            </w:r>
            <w:r w:rsidR="00BC2D5D" w:rsidRPr="0049044B">
              <w:rPr>
                <w:rFonts w:ascii="Times New Roman" w:eastAsia="Times New Roman" w:hAnsi="Times New Roman" w:cs="Times New Roman"/>
                <w:color w:val="000000"/>
                <w:sz w:val="28"/>
                <w:szCs w:val="28"/>
              </w:rPr>
              <w:t xml:space="preserve"> системний негативний вплив на якість вантажу, схоронність вантажу, збереженість рухомого складу, довкілля.</w:t>
            </w:r>
          </w:p>
          <w:p w14:paraId="48247DAA" w14:textId="77777777"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w:t>
            </w:r>
            <w:r w:rsidRPr="0049044B">
              <w:rPr>
                <w:rFonts w:ascii="Times New Roman" w:hAnsi="Times New Roman" w:cs="Times New Roman"/>
                <w:color w:val="000000"/>
                <w:sz w:val="28"/>
                <w:szCs w:val="28"/>
              </w:rPr>
              <w:lastRenderedPageBreak/>
              <w:t xml:space="preserve">мінеральний «Галіт» </w:t>
            </w:r>
            <w:r w:rsidRPr="0049044B">
              <w:rPr>
                <w:rFonts w:ascii="Times New Roman" w:eastAsia="Times New Roman" w:hAnsi="Times New Roman" w:cs="Times New Roman"/>
                <w:color w:val="000000"/>
                <w:sz w:val="28"/>
                <w:szCs w:val="28"/>
              </w:rPr>
              <w:t xml:space="preserve"> у Правилах вимагає погодження умов перевезення вантажів. </w:t>
            </w:r>
          </w:p>
        </w:tc>
      </w:tr>
      <w:tr w:rsidR="00BC2D5D" w:rsidRPr="0049044B" w14:paraId="427278E8" w14:textId="77777777" w:rsidTr="003C2EB7">
        <w:tc>
          <w:tcPr>
            <w:tcW w:w="2184" w:type="dxa"/>
          </w:tcPr>
          <w:p w14:paraId="7DC4889B"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tc>
        <w:tc>
          <w:tcPr>
            <w:tcW w:w="2693" w:type="dxa"/>
            <w:gridSpan w:val="3"/>
          </w:tcPr>
          <w:p w14:paraId="77B9B0D2" w14:textId="77777777" w:rsidR="00050269" w:rsidRPr="0049044B" w:rsidRDefault="00BC2D5D" w:rsidP="00050269">
            <w:pP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Покращення схоронності вантажу під час перевезення.</w:t>
            </w:r>
            <w:r w:rsidR="00050269" w:rsidRPr="0049044B">
              <w:rPr>
                <w:rFonts w:ascii="Times New Roman" w:eastAsia="Times New Roman" w:hAnsi="Times New Roman" w:cs="Times New Roman"/>
                <w:color w:val="000000"/>
                <w:sz w:val="28"/>
                <w:szCs w:val="28"/>
              </w:rPr>
              <w:t xml:space="preserve"> </w:t>
            </w:r>
          </w:p>
          <w:p w14:paraId="29C154B6" w14:textId="77777777"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атмосферних опадів на якість вантажу.</w:t>
            </w:r>
          </w:p>
          <w:p w14:paraId="78DB9DA9" w14:textId="77777777"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вантажу на кузов вагона і, як наслідок, покращення збереженості рухомого складу.</w:t>
            </w:r>
          </w:p>
          <w:p w14:paraId="1C3C4A8B" w14:textId="77777777" w:rsidR="00BC2D5D" w:rsidRPr="0049044B" w:rsidRDefault="00BC2D5D" w:rsidP="003A79B9">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p>
          <w:p w14:paraId="50046A92" w14:textId="77777777" w:rsidR="00BC2D5D" w:rsidRDefault="00BC2D5D" w:rsidP="003A79B9">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Надає відправникам можливість вибору пакувальних матеріалів (вагонні вкладиші або м’які контейнери)</w:t>
            </w:r>
            <w:r w:rsidR="003C2EB7">
              <w:rPr>
                <w:rFonts w:ascii="Times New Roman" w:eastAsia="Times New Roman" w:hAnsi="Times New Roman" w:cs="Times New Roman"/>
                <w:color w:val="000000"/>
                <w:sz w:val="28"/>
                <w:szCs w:val="28"/>
              </w:rPr>
              <w:t>.</w:t>
            </w:r>
          </w:p>
          <w:p w14:paraId="54794618" w14:textId="77777777" w:rsidR="003C2EB7" w:rsidRPr="003C2EB7" w:rsidRDefault="003C2EB7" w:rsidP="003C2EB7">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Водночас під час перевезення 512 тис т (7382 вагона) солі із використанням вагонних вкладишів та м’яких контейнерів (біг-</w:t>
            </w:r>
            <w:proofErr w:type="spellStart"/>
            <w:r w:rsidRPr="003C2EB7">
              <w:rPr>
                <w:rFonts w:ascii="Times New Roman" w:eastAsia="Times New Roman" w:hAnsi="Times New Roman" w:cs="Times New Roman"/>
                <w:color w:val="000000"/>
                <w:sz w:val="28"/>
                <w:szCs w:val="28"/>
              </w:rPr>
              <w:t>бег</w:t>
            </w:r>
            <w:proofErr w:type="spellEnd"/>
            <w:r w:rsidRPr="003C2EB7">
              <w:rPr>
                <w:rFonts w:ascii="Times New Roman" w:eastAsia="Times New Roman" w:hAnsi="Times New Roman" w:cs="Times New Roman"/>
                <w:color w:val="000000"/>
                <w:sz w:val="28"/>
                <w:szCs w:val="28"/>
              </w:rPr>
              <w:t xml:space="preserve">) буде упереджено втрату більше 10 тис т. вантажу, що </w:t>
            </w:r>
            <w:r w:rsidRPr="003C2EB7">
              <w:rPr>
                <w:rFonts w:ascii="Times New Roman" w:eastAsia="Times New Roman" w:hAnsi="Times New Roman" w:cs="Times New Roman"/>
                <w:color w:val="000000"/>
                <w:sz w:val="28"/>
                <w:szCs w:val="28"/>
              </w:rPr>
              <w:lastRenderedPageBreak/>
              <w:t>складе в грошовому вираженні 1360 грн/тонна ціна солі технічної * 10 000 т = 13 600 тис. грн..</w:t>
            </w:r>
          </w:p>
          <w:p w14:paraId="4B82E581" w14:textId="77777777" w:rsidR="003C2EB7" w:rsidRPr="003C2EB7" w:rsidRDefault="003C2EB7" w:rsidP="003C2EB7">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При цьому витрати відправників на вагонні вкладиші: 7382 вагона (512</w:t>
            </w:r>
            <w:r w:rsidR="00C6526F">
              <w:rPr>
                <w:rFonts w:ascii="Times New Roman" w:eastAsia="Times New Roman" w:hAnsi="Times New Roman" w:cs="Times New Roman"/>
                <w:color w:val="000000"/>
                <w:sz w:val="28"/>
                <w:szCs w:val="28"/>
              </w:rPr>
              <w:t xml:space="preserve"> </w:t>
            </w:r>
            <w:r w:rsidRPr="003C2EB7">
              <w:rPr>
                <w:rFonts w:ascii="Times New Roman" w:eastAsia="Times New Roman" w:hAnsi="Times New Roman" w:cs="Times New Roman"/>
                <w:color w:val="000000"/>
                <w:sz w:val="28"/>
                <w:szCs w:val="28"/>
              </w:rPr>
              <w:t>тис</w:t>
            </w:r>
            <w:r w:rsidR="00C6526F">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т у 2020 році) х 1500 грн/вагон складе 11 073 тис грн.</w:t>
            </w:r>
          </w:p>
          <w:p w14:paraId="77AB5715" w14:textId="77777777" w:rsidR="003C2EB7" w:rsidRPr="0049044B" w:rsidRDefault="003C2EB7" w:rsidP="003C2EB7">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Очевидно, що внаслідок дії регуляторного акта суб’єкти господарювання великого і середнього підприємництва можуть отримати 2 527 тис. грн вигоди за рахунок упередження втрати вантажу під час перевезень залізничним транспортом у вагонах відкритого типу.</w:t>
            </w:r>
          </w:p>
        </w:tc>
        <w:tc>
          <w:tcPr>
            <w:tcW w:w="2456" w:type="dxa"/>
          </w:tcPr>
          <w:p w14:paraId="0338BCF0" w14:textId="77777777" w:rsidR="00BC2D5D" w:rsidRPr="0049044B" w:rsidRDefault="00BC2D5D" w:rsidP="007A2127">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Витрати відправників на навантаження збільшуються за рахунок вартості вагонних вкладишів або м’яких контейнерів (близько 1500 грн на 1 вагон) або м’яких контейнерів (</w:t>
            </w:r>
            <w:r w:rsidRPr="003C2EB7">
              <w:rPr>
                <w:rFonts w:ascii="Times New Roman" w:eastAsia="Times New Roman" w:hAnsi="Times New Roman" w:cs="Times New Roman"/>
                <w:color w:val="000000"/>
                <w:sz w:val="28"/>
                <w:szCs w:val="28"/>
              </w:rPr>
              <w:t xml:space="preserve">близько </w:t>
            </w:r>
            <w:r w:rsidR="003F721B" w:rsidRPr="003C2EB7">
              <w:rPr>
                <w:rFonts w:ascii="Times New Roman" w:eastAsia="Times New Roman" w:hAnsi="Times New Roman" w:cs="Times New Roman"/>
                <w:color w:val="000000"/>
                <w:sz w:val="28"/>
                <w:szCs w:val="28"/>
              </w:rPr>
              <w:t>9</w:t>
            </w:r>
            <w:r w:rsidRPr="003C2EB7">
              <w:rPr>
                <w:rFonts w:ascii="Times New Roman" w:eastAsia="Times New Roman" w:hAnsi="Times New Roman" w:cs="Times New Roman"/>
                <w:color w:val="000000"/>
                <w:sz w:val="28"/>
                <w:szCs w:val="28"/>
              </w:rPr>
              <w:t xml:space="preserve">0 грн за один м’який контейнер для </w:t>
            </w:r>
            <w:r w:rsidRPr="003C2EB7">
              <w:rPr>
                <w:rFonts w:ascii="Times New Roman" w:eastAsia="Times New Roman" w:hAnsi="Times New Roman" w:cs="Times New Roman"/>
                <w:color w:val="000000"/>
                <w:sz w:val="28"/>
                <w:szCs w:val="28"/>
              </w:rPr>
              <w:br/>
              <w:t xml:space="preserve">1 </w:t>
            </w:r>
            <w:proofErr w:type="spellStart"/>
            <w:r w:rsidRPr="003C2EB7">
              <w:rPr>
                <w:rFonts w:ascii="Times New Roman" w:eastAsia="Times New Roman" w:hAnsi="Times New Roman" w:cs="Times New Roman"/>
                <w:color w:val="000000"/>
                <w:sz w:val="28"/>
                <w:szCs w:val="28"/>
              </w:rPr>
              <w:t>тон</w:t>
            </w:r>
            <w:r w:rsidR="0029268B" w:rsidRPr="003C2EB7">
              <w:rPr>
                <w:rFonts w:ascii="Times New Roman" w:eastAsia="Times New Roman" w:hAnsi="Times New Roman" w:cs="Times New Roman"/>
                <w:color w:val="000000"/>
                <w:sz w:val="28"/>
                <w:szCs w:val="28"/>
              </w:rPr>
              <w:t>н</w:t>
            </w:r>
            <w:r w:rsidRPr="003C2EB7">
              <w:rPr>
                <w:rFonts w:ascii="Times New Roman" w:eastAsia="Times New Roman" w:hAnsi="Times New Roman" w:cs="Times New Roman"/>
                <w:color w:val="000000"/>
                <w:sz w:val="28"/>
                <w:szCs w:val="28"/>
              </w:rPr>
              <w:t>и</w:t>
            </w:r>
            <w:proofErr w:type="spellEnd"/>
            <w:r w:rsidRPr="003C2EB7">
              <w:rPr>
                <w:rFonts w:ascii="Times New Roman" w:eastAsia="Times New Roman" w:hAnsi="Times New Roman" w:cs="Times New Roman"/>
                <w:color w:val="000000"/>
                <w:sz w:val="28"/>
                <w:szCs w:val="28"/>
              </w:rPr>
              <w:t xml:space="preserve"> вантажу</w:t>
            </w:r>
            <w:r w:rsidRPr="0049044B">
              <w:rPr>
                <w:rFonts w:ascii="Times New Roman" w:eastAsia="Times New Roman" w:hAnsi="Times New Roman" w:cs="Times New Roman"/>
                <w:color w:val="000000"/>
                <w:sz w:val="28"/>
                <w:szCs w:val="28"/>
              </w:rPr>
              <w:t>)</w:t>
            </w:r>
          </w:p>
        </w:tc>
        <w:tc>
          <w:tcPr>
            <w:tcW w:w="2244" w:type="dxa"/>
          </w:tcPr>
          <w:p w14:paraId="32B503DA" w14:textId="77777777"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Прийняття регуляторного акта дозволить забезпечити схоронність вантажу, його якість, збереженість рухомого складу та охорону довкілля.</w:t>
            </w:r>
          </w:p>
          <w:p w14:paraId="656192AB" w14:textId="77777777"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Гармонізація умов перевезення вантажів у внутрішньому та міжнародному сполученнях</w:t>
            </w:r>
          </w:p>
          <w:p w14:paraId="6B449E1C" w14:textId="77777777"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p>
        </w:tc>
      </w:tr>
    </w:tbl>
    <w:p w14:paraId="3C9522F0" w14:textId="77777777" w:rsidR="00BC2D5D" w:rsidRPr="0049044B" w:rsidRDefault="00BC2D5D" w:rsidP="00BC2D5D">
      <w:pPr>
        <w:pBdr>
          <w:top w:val="nil"/>
          <w:left w:val="nil"/>
          <w:bottom w:val="nil"/>
          <w:right w:val="nil"/>
          <w:between w:val="nil"/>
        </w:pBdr>
        <w:tabs>
          <w:tab w:val="left" w:pos="-3686"/>
        </w:tabs>
        <w:ind w:right="45" w:firstLine="708"/>
        <w:jc w:val="both"/>
        <w:rPr>
          <w:rFonts w:ascii="Times New Roman" w:eastAsia="Times New Roman" w:hAnsi="Times New Roman" w:cs="Times New Roman"/>
          <w:color w:val="000000"/>
          <w:sz w:val="28"/>
          <w:szCs w:val="28"/>
        </w:rPr>
      </w:pPr>
    </w:p>
    <w:tbl>
      <w:tblPr>
        <w:tblStyle w:v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3686"/>
        <w:gridCol w:w="3543"/>
      </w:tblGrid>
      <w:tr w:rsidR="00BC2D5D" w:rsidRPr="0049044B" w14:paraId="3974988B" w14:textId="77777777" w:rsidTr="003A79B9">
        <w:tc>
          <w:tcPr>
            <w:tcW w:w="2405" w:type="dxa"/>
          </w:tcPr>
          <w:p w14:paraId="406A360B" w14:textId="77777777"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Рейтинг</w:t>
            </w:r>
          </w:p>
        </w:tc>
        <w:tc>
          <w:tcPr>
            <w:tcW w:w="3686" w:type="dxa"/>
          </w:tcPr>
          <w:p w14:paraId="45A80A34" w14:textId="77777777"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Аргументи щодо переваги обраної альтернативи/причини відмови від альтернативи </w:t>
            </w:r>
          </w:p>
        </w:tc>
        <w:tc>
          <w:tcPr>
            <w:tcW w:w="3543" w:type="dxa"/>
          </w:tcPr>
          <w:p w14:paraId="5A9C4E4C" w14:textId="77777777"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ризику зовнішніх</w:t>
            </w:r>
            <w:r w:rsidRPr="0049044B">
              <w:rPr>
                <w:rFonts w:ascii="Times New Roman" w:eastAsia="Times New Roman" w:hAnsi="Times New Roman" w:cs="Times New Roman"/>
                <w:b/>
                <w:color w:val="000000"/>
                <w:sz w:val="28"/>
                <w:szCs w:val="28"/>
              </w:rPr>
              <w:t xml:space="preserve"> </w:t>
            </w:r>
            <w:r w:rsidRPr="0049044B">
              <w:rPr>
                <w:rFonts w:ascii="Times New Roman" w:eastAsia="Times New Roman" w:hAnsi="Times New Roman" w:cs="Times New Roman"/>
                <w:color w:val="000000"/>
                <w:sz w:val="28"/>
                <w:szCs w:val="28"/>
              </w:rPr>
              <w:t>чинників на дію запропонованого регуляторного акта</w:t>
            </w:r>
          </w:p>
        </w:tc>
      </w:tr>
      <w:tr w:rsidR="00BC2D5D" w:rsidRPr="0049044B" w14:paraId="226D29AE" w14:textId="77777777" w:rsidTr="003A79B9">
        <w:tc>
          <w:tcPr>
            <w:tcW w:w="2405" w:type="dxa"/>
          </w:tcPr>
          <w:p w14:paraId="490CEBA8"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tc>
        <w:tc>
          <w:tcPr>
            <w:tcW w:w="3686" w:type="dxa"/>
          </w:tcPr>
          <w:p w14:paraId="0FB959BC"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Цей спосіб не може бути застосований, оскільки залишаються незадовільними умови перевезення вантажу, а саме: схоронність вантажу, збереженість рухомого складу, безпека перевезень та охорона довкілля</w:t>
            </w:r>
            <w:r w:rsidR="00BA3B72"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r w:rsidR="00BA3B72" w:rsidRPr="0049044B">
              <w:rPr>
                <w:rFonts w:ascii="Times New Roman" w:eastAsia="Times New Roman" w:hAnsi="Times New Roman" w:cs="Times New Roman"/>
                <w:color w:val="000000"/>
                <w:sz w:val="28"/>
                <w:szCs w:val="28"/>
              </w:rPr>
              <w:t>У</w:t>
            </w:r>
            <w:r w:rsidRPr="0049044B">
              <w:rPr>
                <w:rFonts w:ascii="Times New Roman" w:eastAsia="Times New Roman" w:hAnsi="Times New Roman" w:cs="Times New Roman"/>
                <w:color w:val="000000"/>
                <w:sz w:val="28"/>
                <w:szCs w:val="28"/>
              </w:rPr>
              <w:t>мов</w:t>
            </w:r>
            <w:r w:rsidR="00BA3B72" w:rsidRPr="0049044B">
              <w:rPr>
                <w:rFonts w:ascii="Times New Roman" w:eastAsia="Times New Roman" w:hAnsi="Times New Roman" w:cs="Times New Roman"/>
                <w:color w:val="000000"/>
                <w:sz w:val="28"/>
                <w:szCs w:val="28"/>
              </w:rPr>
              <w:t>и</w:t>
            </w:r>
            <w:r w:rsidRPr="0049044B">
              <w:rPr>
                <w:rFonts w:ascii="Times New Roman" w:eastAsia="Times New Roman" w:hAnsi="Times New Roman" w:cs="Times New Roman"/>
                <w:color w:val="000000"/>
                <w:sz w:val="28"/>
                <w:szCs w:val="28"/>
              </w:rPr>
              <w:t xml:space="preserve"> перевезення вантажів у внутрішньому та міжнародному перевезеннях</w:t>
            </w:r>
            <w:r w:rsidR="00BA3B72" w:rsidRPr="0049044B">
              <w:rPr>
                <w:rFonts w:ascii="Times New Roman" w:eastAsia="Times New Roman" w:hAnsi="Times New Roman" w:cs="Times New Roman"/>
                <w:color w:val="000000"/>
                <w:sz w:val="28"/>
                <w:szCs w:val="28"/>
              </w:rPr>
              <w:t xml:space="preserve"> </w:t>
            </w:r>
            <w:r w:rsidR="00BA3B72" w:rsidRPr="0049044B">
              <w:rPr>
                <w:rFonts w:ascii="Times New Roman" w:eastAsia="Times New Roman" w:hAnsi="Times New Roman" w:cs="Times New Roman"/>
                <w:color w:val="000000"/>
                <w:sz w:val="28"/>
                <w:szCs w:val="28"/>
              </w:rPr>
              <w:lastRenderedPageBreak/>
              <w:t>вимагають гармонізації</w:t>
            </w:r>
          </w:p>
        </w:tc>
        <w:tc>
          <w:tcPr>
            <w:tcW w:w="3543" w:type="dxa"/>
          </w:tcPr>
          <w:p w14:paraId="54B442A2" w14:textId="77777777" w:rsidR="00BC2D5D" w:rsidRPr="0049044B" w:rsidRDefault="00BC2D5D" w:rsidP="00401BC3">
            <w:pPr>
              <w:pBdr>
                <w:top w:val="nil"/>
                <w:left w:val="nil"/>
                <w:bottom w:val="nil"/>
                <w:right w:val="nil"/>
                <w:between w:val="nil"/>
              </w:pBdr>
              <w:tabs>
                <w:tab w:val="left" w:pos="-3686"/>
              </w:tabs>
              <w:ind w:right="45" w:firstLine="510"/>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Відсутні</w:t>
            </w:r>
          </w:p>
        </w:tc>
      </w:tr>
      <w:tr w:rsidR="00BC2D5D" w:rsidRPr="0049044B" w14:paraId="0129EC29" w14:textId="77777777" w:rsidTr="003A79B9">
        <w:tc>
          <w:tcPr>
            <w:tcW w:w="2405" w:type="dxa"/>
          </w:tcPr>
          <w:p w14:paraId="50E4B01B" w14:textId="77777777"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tc>
        <w:tc>
          <w:tcPr>
            <w:tcW w:w="3686" w:type="dxa"/>
          </w:tcPr>
          <w:p w14:paraId="7044E8FA" w14:textId="77777777" w:rsidR="00BC2D5D" w:rsidRPr="0049044B" w:rsidRDefault="00BC2D5D" w:rsidP="003A79B9">
            <w:pPr>
              <w:pBdr>
                <w:top w:val="nil"/>
                <w:left w:val="nil"/>
                <w:bottom w:val="nil"/>
                <w:right w:val="nil"/>
                <w:between w:val="nil"/>
              </w:pBdr>
              <w:tabs>
                <w:tab w:val="left" w:pos="9000"/>
              </w:tabs>
              <w:ind w:right="-6"/>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Є оптимальним способом досягнення поставлених цілей, оскільки дасть змогу зменшити вплив атмосферних опадів на вантаж, вантажу – на стінки, ходові та гальмівні частини вагона, довкілля. </w:t>
            </w:r>
            <w:r w:rsidR="00050269" w:rsidRPr="0049044B">
              <w:rPr>
                <w:rFonts w:ascii="Times New Roman" w:eastAsia="Times New Roman" w:hAnsi="Times New Roman" w:cs="Times New Roman"/>
                <w:color w:val="000000"/>
                <w:sz w:val="28"/>
                <w:szCs w:val="28"/>
              </w:rPr>
              <w:t xml:space="preserve">Покращення схоронності вантажу під час перевезення. </w:t>
            </w:r>
            <w:r w:rsidRPr="0049044B">
              <w:rPr>
                <w:rFonts w:ascii="Times New Roman" w:eastAsia="Times New Roman" w:hAnsi="Times New Roman" w:cs="Times New Roman"/>
                <w:color w:val="000000"/>
                <w:sz w:val="28"/>
                <w:szCs w:val="28"/>
              </w:rPr>
              <w:t>Гармонізація умов перевезення вантажів у внутрішньому та міжнародному сполученнях</w:t>
            </w:r>
          </w:p>
          <w:p w14:paraId="1EAAB19D" w14:textId="77777777" w:rsidR="00BC2D5D" w:rsidRPr="0049044B" w:rsidRDefault="00BC2D5D" w:rsidP="003A79B9">
            <w:pPr>
              <w:pBdr>
                <w:top w:val="nil"/>
                <w:left w:val="nil"/>
                <w:bottom w:val="nil"/>
                <w:right w:val="nil"/>
                <w:between w:val="nil"/>
              </w:pBdr>
              <w:tabs>
                <w:tab w:val="left" w:pos="9000"/>
              </w:tabs>
              <w:ind w:right="-6"/>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Надає відправникам можливість вибору пакувальних матеріалів (вагонні вкладиші або м’які контейнери)</w:t>
            </w:r>
          </w:p>
        </w:tc>
        <w:tc>
          <w:tcPr>
            <w:tcW w:w="3543" w:type="dxa"/>
          </w:tcPr>
          <w:p w14:paraId="156C9201" w14:textId="77777777" w:rsidR="00BC2D5D" w:rsidRPr="0049044B" w:rsidRDefault="00BC2D5D" w:rsidP="00401BC3">
            <w:pPr>
              <w:pBdr>
                <w:top w:val="nil"/>
                <w:left w:val="nil"/>
                <w:bottom w:val="nil"/>
                <w:right w:val="nil"/>
                <w:between w:val="nil"/>
              </w:pBdr>
              <w:tabs>
                <w:tab w:val="left" w:pos="709"/>
                <w:tab w:val="left" w:pos="851"/>
              </w:tabs>
              <w:ind w:left="432"/>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Відсутні</w:t>
            </w:r>
          </w:p>
        </w:tc>
      </w:tr>
    </w:tbl>
    <w:p w14:paraId="4055926C" w14:textId="77777777" w:rsidR="00020F29" w:rsidRDefault="00020F29"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b/>
          <w:color w:val="000000"/>
          <w:sz w:val="28"/>
          <w:szCs w:val="28"/>
        </w:rPr>
      </w:pPr>
    </w:p>
    <w:p w14:paraId="2DDF158C" w14:textId="77777777" w:rsidR="00B476AE" w:rsidRPr="0049044B" w:rsidRDefault="00B476AE"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b/>
          <w:color w:val="000000"/>
          <w:sz w:val="28"/>
          <w:szCs w:val="28"/>
        </w:rPr>
      </w:pPr>
    </w:p>
    <w:p w14:paraId="624A78C5" w14:textId="77777777"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V. Механізм та заходи, які забезпечать розв’язання визначеної проблеми</w:t>
      </w:r>
    </w:p>
    <w:p w14:paraId="5E080065" w14:textId="77777777"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p>
    <w:p w14:paraId="740412EE" w14:textId="77777777" w:rsidR="00BC2D5D" w:rsidRPr="0049044B" w:rsidRDefault="00BC2D5D" w:rsidP="00BC2D5D">
      <w:pPr>
        <w:pBdr>
          <w:top w:val="nil"/>
          <w:left w:val="nil"/>
          <w:bottom w:val="nil"/>
          <w:right w:val="nil"/>
          <w:between w:val="nil"/>
        </w:pBdr>
        <w:tabs>
          <w:tab w:val="left" w:pos="-3686"/>
          <w:tab w:val="left" w:pos="1260"/>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Механізмом, який забезпечить вирішення проблем, є прийняття регуляторного акта, що сприятиме покращенню перевізного процесу при перевезенні солі у напіввагонах.</w:t>
      </w:r>
    </w:p>
    <w:p w14:paraId="5B573869" w14:textId="77777777" w:rsidR="00BC2D5D" w:rsidRPr="0049044B" w:rsidRDefault="00BC2D5D" w:rsidP="00BC2D5D">
      <w:pPr>
        <w:pBdr>
          <w:top w:val="nil"/>
          <w:left w:val="nil"/>
          <w:bottom w:val="nil"/>
          <w:right w:val="nil"/>
          <w:between w:val="nil"/>
        </w:pBdr>
        <w:tabs>
          <w:tab w:val="left" w:pos="-3686"/>
          <w:tab w:val="left" w:pos="1260"/>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1.</w:t>
      </w:r>
      <w:r w:rsidRPr="0049044B">
        <w:rPr>
          <w:rFonts w:ascii="Times New Roman" w:eastAsia="Times New Roman" w:hAnsi="Times New Roman" w:cs="Times New Roman"/>
          <w:color w:val="000000"/>
          <w:sz w:val="28"/>
          <w:szCs w:val="28"/>
        </w:rPr>
        <w:tab/>
        <w:t>Механізм дії регуляторного акта.</w:t>
      </w:r>
    </w:p>
    <w:p w14:paraId="3C1BE90A" w14:textId="77777777" w:rsidR="00936ECF"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Основним механізмом для розв’язання визначеної проблеми є прийняття наказу та фактична реалізація його положень.</w:t>
      </w:r>
      <w:r w:rsidR="00DC1DE9">
        <w:rPr>
          <w:rFonts w:ascii="Times New Roman" w:eastAsia="Times New Roman" w:hAnsi="Times New Roman" w:cs="Times New Roman"/>
          <w:color w:val="000000"/>
          <w:sz w:val="28"/>
          <w:szCs w:val="28"/>
        </w:rPr>
        <w:t xml:space="preserve"> </w:t>
      </w:r>
    </w:p>
    <w:p w14:paraId="15C7F6C2" w14:textId="693168F6" w:rsidR="00B45093" w:rsidRPr="003C2EB7" w:rsidRDefault="00DC1DE9" w:rsidP="00936ECF">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 xml:space="preserve">Після оприлюднення </w:t>
      </w:r>
      <w:r w:rsidR="00936ECF" w:rsidRPr="003C2EB7">
        <w:rPr>
          <w:rFonts w:ascii="Times New Roman" w:eastAsia="Times New Roman" w:hAnsi="Times New Roman" w:cs="Times New Roman"/>
          <w:color w:val="000000"/>
          <w:sz w:val="28"/>
          <w:szCs w:val="28"/>
        </w:rPr>
        <w:t>зареєстрованого Мін</w:t>
      </w:r>
      <w:r w:rsidR="003015E9" w:rsidRPr="003015E9">
        <w:rPr>
          <w:rFonts w:ascii="Times New Roman" w:eastAsia="Times New Roman" w:hAnsi="Times New Roman" w:cs="Times New Roman"/>
          <w:color w:val="000000"/>
          <w:sz w:val="28"/>
          <w:szCs w:val="28"/>
        </w:rPr>
        <w:t>’</w:t>
      </w:r>
      <w:r w:rsidR="00936ECF" w:rsidRPr="003C2EB7">
        <w:rPr>
          <w:rFonts w:ascii="Times New Roman" w:eastAsia="Times New Roman" w:hAnsi="Times New Roman" w:cs="Times New Roman"/>
          <w:color w:val="000000"/>
          <w:sz w:val="28"/>
          <w:szCs w:val="28"/>
        </w:rPr>
        <w:t>юстом регуляторного акта всі вантажов</w:t>
      </w:r>
      <w:r w:rsidR="00B45093" w:rsidRPr="003C2EB7">
        <w:rPr>
          <w:rFonts w:ascii="Times New Roman" w:eastAsia="Times New Roman" w:hAnsi="Times New Roman" w:cs="Times New Roman"/>
          <w:color w:val="000000"/>
          <w:sz w:val="28"/>
          <w:szCs w:val="28"/>
        </w:rPr>
        <w:t>ласники</w:t>
      </w:r>
      <w:r w:rsidR="00936ECF" w:rsidRPr="003C2EB7">
        <w:rPr>
          <w:rFonts w:ascii="Times New Roman" w:eastAsia="Times New Roman" w:hAnsi="Times New Roman" w:cs="Times New Roman"/>
          <w:color w:val="000000"/>
          <w:sz w:val="28"/>
          <w:szCs w:val="28"/>
        </w:rPr>
        <w:t xml:space="preserve"> відправлятимуть вантажі у вагонах відкритого типу: «Сіль </w:t>
      </w:r>
      <w:proofErr w:type="spellStart"/>
      <w:r w:rsidR="00936ECF" w:rsidRPr="003C2EB7">
        <w:rPr>
          <w:rFonts w:ascii="Times New Roman" w:eastAsia="Times New Roman" w:hAnsi="Times New Roman" w:cs="Times New Roman"/>
          <w:color w:val="000000"/>
          <w:sz w:val="28"/>
          <w:szCs w:val="28"/>
        </w:rPr>
        <w:t>комова</w:t>
      </w:r>
      <w:proofErr w:type="spellEnd"/>
      <w:r w:rsidR="00936ECF" w:rsidRPr="003C2EB7">
        <w:rPr>
          <w:rFonts w:ascii="Times New Roman" w:eastAsia="Times New Roman" w:hAnsi="Times New Roman" w:cs="Times New Roman"/>
          <w:color w:val="000000"/>
          <w:sz w:val="28"/>
          <w:szCs w:val="28"/>
        </w:rPr>
        <w:t xml:space="preserve"> (брикети, брили, </w:t>
      </w:r>
      <w:proofErr w:type="spellStart"/>
      <w:r w:rsidR="00936ECF" w:rsidRPr="003C2EB7">
        <w:rPr>
          <w:rFonts w:ascii="Times New Roman" w:eastAsia="Times New Roman" w:hAnsi="Times New Roman" w:cs="Times New Roman"/>
          <w:color w:val="000000"/>
          <w:sz w:val="28"/>
          <w:szCs w:val="28"/>
        </w:rPr>
        <w:t>солеблоки</w:t>
      </w:r>
      <w:proofErr w:type="spellEnd"/>
      <w:r w:rsidR="00936ECF" w:rsidRPr="003C2EB7">
        <w:rPr>
          <w:rFonts w:ascii="Times New Roman" w:eastAsia="Times New Roman" w:hAnsi="Times New Roman" w:cs="Times New Roman"/>
          <w:color w:val="000000"/>
          <w:sz w:val="28"/>
          <w:szCs w:val="28"/>
        </w:rPr>
        <w:t>)» та «Сіль технічна (с</w:t>
      </w:r>
      <w:bookmarkStart w:id="1" w:name="_GoBack"/>
      <w:bookmarkEnd w:id="1"/>
      <w:r w:rsidR="00936ECF" w:rsidRPr="003C2EB7">
        <w:rPr>
          <w:rFonts w:ascii="Times New Roman" w:eastAsia="Times New Roman" w:hAnsi="Times New Roman" w:cs="Times New Roman"/>
          <w:color w:val="000000"/>
          <w:sz w:val="28"/>
          <w:szCs w:val="28"/>
        </w:rPr>
        <w:t xml:space="preserve">іль кам’яна)» виключно із застосуванням вагонних </w:t>
      </w:r>
      <w:r w:rsidR="00936ECF" w:rsidRPr="008A5352">
        <w:rPr>
          <w:rFonts w:ascii="Times New Roman" w:eastAsia="Times New Roman" w:hAnsi="Times New Roman" w:cs="Times New Roman"/>
          <w:color w:val="000000"/>
          <w:sz w:val="28"/>
          <w:szCs w:val="28"/>
        </w:rPr>
        <w:t>вкладишів</w:t>
      </w:r>
      <w:r w:rsidR="00EA2FA8" w:rsidRPr="008A5352">
        <w:rPr>
          <w:rFonts w:ascii="Times New Roman" w:eastAsia="Times New Roman" w:hAnsi="Times New Roman" w:cs="Times New Roman"/>
          <w:color w:val="000000"/>
          <w:sz w:val="28"/>
          <w:szCs w:val="28"/>
        </w:rPr>
        <w:t xml:space="preserve"> або</w:t>
      </w:r>
      <w:r w:rsidR="00936ECF" w:rsidRPr="008A5352">
        <w:rPr>
          <w:rFonts w:ascii="Times New Roman" w:eastAsia="Times New Roman" w:hAnsi="Times New Roman" w:cs="Times New Roman"/>
          <w:color w:val="000000"/>
          <w:sz w:val="28"/>
          <w:szCs w:val="28"/>
        </w:rPr>
        <w:t xml:space="preserve"> м’яких контейнерів, «Концентрат мінеральний «Галіт» у вагонних вкладишах </w:t>
      </w:r>
      <w:r w:rsidR="00EA2FA8" w:rsidRPr="008A5352">
        <w:rPr>
          <w:rFonts w:ascii="Times New Roman" w:eastAsia="Times New Roman" w:hAnsi="Times New Roman" w:cs="Times New Roman"/>
          <w:color w:val="000000"/>
          <w:sz w:val="28"/>
          <w:szCs w:val="28"/>
        </w:rPr>
        <w:t>або</w:t>
      </w:r>
      <w:r w:rsidR="00936ECF" w:rsidRPr="008A5352">
        <w:rPr>
          <w:rFonts w:ascii="Times New Roman" w:eastAsia="Times New Roman" w:hAnsi="Times New Roman" w:cs="Times New Roman"/>
          <w:color w:val="000000"/>
          <w:sz w:val="28"/>
          <w:szCs w:val="28"/>
        </w:rPr>
        <w:t xml:space="preserve"> м'яких</w:t>
      </w:r>
      <w:r w:rsidR="00936ECF" w:rsidRPr="003C2EB7">
        <w:rPr>
          <w:rFonts w:ascii="Times New Roman" w:eastAsia="Times New Roman" w:hAnsi="Times New Roman" w:cs="Times New Roman"/>
          <w:color w:val="000000"/>
          <w:sz w:val="28"/>
          <w:szCs w:val="28"/>
        </w:rPr>
        <w:t xml:space="preserve"> контейнерах та «Маса електродна» навалом. </w:t>
      </w:r>
    </w:p>
    <w:p w14:paraId="335226F3" w14:textId="77777777" w:rsidR="00936ECF" w:rsidRPr="00936ECF" w:rsidRDefault="00D30D20" w:rsidP="00936ECF">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Обов’язкове з</w:t>
      </w:r>
      <w:r w:rsidR="00936ECF" w:rsidRPr="003C2EB7">
        <w:rPr>
          <w:rFonts w:ascii="Times New Roman" w:eastAsia="Times New Roman" w:hAnsi="Times New Roman" w:cs="Times New Roman"/>
          <w:color w:val="000000"/>
          <w:sz w:val="28"/>
          <w:szCs w:val="28"/>
        </w:rPr>
        <w:t xml:space="preserve">астосування вагонних вкладишів та м’яких контейнерів </w:t>
      </w:r>
      <w:r w:rsidR="00B45093" w:rsidRPr="003C2EB7">
        <w:rPr>
          <w:rFonts w:ascii="Times New Roman" w:eastAsia="Times New Roman" w:hAnsi="Times New Roman" w:cs="Times New Roman"/>
          <w:color w:val="000000"/>
          <w:sz w:val="28"/>
          <w:szCs w:val="28"/>
        </w:rPr>
        <w:t xml:space="preserve">під час перевезення вантажів «Сіль </w:t>
      </w:r>
      <w:proofErr w:type="spellStart"/>
      <w:r w:rsidR="00B45093" w:rsidRPr="003C2EB7">
        <w:rPr>
          <w:rFonts w:ascii="Times New Roman" w:eastAsia="Times New Roman" w:hAnsi="Times New Roman" w:cs="Times New Roman"/>
          <w:color w:val="000000"/>
          <w:sz w:val="28"/>
          <w:szCs w:val="28"/>
        </w:rPr>
        <w:t>комова</w:t>
      </w:r>
      <w:proofErr w:type="spellEnd"/>
      <w:r w:rsidR="00B45093" w:rsidRPr="003C2EB7">
        <w:rPr>
          <w:rFonts w:ascii="Times New Roman" w:eastAsia="Times New Roman" w:hAnsi="Times New Roman" w:cs="Times New Roman"/>
          <w:color w:val="000000"/>
          <w:sz w:val="28"/>
          <w:szCs w:val="28"/>
        </w:rPr>
        <w:t xml:space="preserve"> (брикети, брили, </w:t>
      </w:r>
      <w:proofErr w:type="spellStart"/>
      <w:r w:rsidR="00B45093" w:rsidRPr="003C2EB7">
        <w:rPr>
          <w:rFonts w:ascii="Times New Roman" w:eastAsia="Times New Roman" w:hAnsi="Times New Roman" w:cs="Times New Roman"/>
          <w:color w:val="000000"/>
          <w:sz w:val="28"/>
          <w:szCs w:val="28"/>
        </w:rPr>
        <w:t>солеблоки</w:t>
      </w:r>
      <w:proofErr w:type="spellEnd"/>
      <w:r w:rsidR="00B45093" w:rsidRPr="003C2EB7">
        <w:rPr>
          <w:rFonts w:ascii="Times New Roman" w:eastAsia="Times New Roman" w:hAnsi="Times New Roman" w:cs="Times New Roman"/>
          <w:color w:val="000000"/>
          <w:sz w:val="28"/>
          <w:szCs w:val="28"/>
        </w:rPr>
        <w:t xml:space="preserve">)», «Сіль технічна (сіль кам’яна)» «Концентрат мінеральний «Галіт», </w:t>
      </w:r>
      <w:r w:rsidR="00936ECF" w:rsidRPr="003C2EB7">
        <w:rPr>
          <w:rFonts w:ascii="Times New Roman" w:eastAsia="Times New Roman" w:hAnsi="Times New Roman" w:cs="Times New Roman"/>
          <w:color w:val="000000"/>
          <w:sz w:val="28"/>
          <w:szCs w:val="28"/>
        </w:rPr>
        <w:t>зменшит</w:t>
      </w:r>
      <w:r w:rsidR="00B45093" w:rsidRPr="003C2EB7">
        <w:rPr>
          <w:rFonts w:ascii="Times New Roman" w:eastAsia="Times New Roman" w:hAnsi="Times New Roman" w:cs="Times New Roman"/>
          <w:color w:val="000000"/>
          <w:sz w:val="28"/>
          <w:szCs w:val="28"/>
        </w:rPr>
        <w:t>ь</w:t>
      </w:r>
      <w:r w:rsidR="00936ECF" w:rsidRPr="003C2EB7">
        <w:rPr>
          <w:rFonts w:ascii="Times New Roman" w:eastAsia="Times New Roman" w:hAnsi="Times New Roman" w:cs="Times New Roman"/>
          <w:color w:val="000000"/>
          <w:sz w:val="28"/>
          <w:szCs w:val="28"/>
        </w:rPr>
        <w:t xml:space="preserve"> вплив атмосферних опадів на вантаж, вантажу – на стінки, ходові та гальмівні частини вагона, довкілля</w:t>
      </w:r>
      <w:r w:rsidR="00B45093" w:rsidRPr="003C2EB7">
        <w:rPr>
          <w:rFonts w:ascii="Times New Roman" w:eastAsia="Times New Roman" w:hAnsi="Times New Roman" w:cs="Times New Roman"/>
          <w:color w:val="000000"/>
          <w:sz w:val="28"/>
          <w:szCs w:val="28"/>
        </w:rPr>
        <w:t xml:space="preserve"> та</w:t>
      </w:r>
      <w:r w:rsidR="00936ECF" w:rsidRPr="003C2EB7">
        <w:rPr>
          <w:rFonts w:ascii="Times New Roman" w:eastAsia="Times New Roman" w:hAnsi="Times New Roman" w:cs="Times New Roman"/>
          <w:color w:val="000000"/>
          <w:sz w:val="28"/>
          <w:szCs w:val="28"/>
        </w:rPr>
        <w:t xml:space="preserve"> </w:t>
      </w:r>
      <w:r w:rsidR="00B45093" w:rsidRPr="003C2EB7">
        <w:rPr>
          <w:rFonts w:ascii="Times New Roman" w:eastAsia="Times New Roman" w:hAnsi="Times New Roman" w:cs="Times New Roman"/>
          <w:color w:val="000000"/>
          <w:sz w:val="28"/>
          <w:szCs w:val="28"/>
        </w:rPr>
        <w:t>забезпечить п</w:t>
      </w:r>
      <w:r w:rsidR="00936ECF" w:rsidRPr="003C2EB7">
        <w:rPr>
          <w:rFonts w:ascii="Times New Roman" w:eastAsia="Times New Roman" w:hAnsi="Times New Roman" w:cs="Times New Roman"/>
          <w:color w:val="000000"/>
          <w:sz w:val="28"/>
          <w:szCs w:val="28"/>
        </w:rPr>
        <w:t xml:space="preserve">окращення схоронності вантажу під час перевезення. </w:t>
      </w:r>
      <w:r w:rsidR="00B45093" w:rsidRPr="003C2EB7">
        <w:rPr>
          <w:rFonts w:ascii="Times New Roman" w:eastAsia="Times New Roman" w:hAnsi="Times New Roman" w:cs="Times New Roman"/>
          <w:color w:val="000000"/>
          <w:sz w:val="28"/>
          <w:szCs w:val="28"/>
        </w:rPr>
        <w:t>Також буде забезпечення г</w:t>
      </w:r>
      <w:r w:rsidR="00936ECF" w:rsidRPr="003C2EB7">
        <w:rPr>
          <w:rFonts w:ascii="Times New Roman" w:eastAsia="Times New Roman" w:hAnsi="Times New Roman" w:cs="Times New Roman"/>
          <w:color w:val="000000"/>
          <w:sz w:val="28"/>
          <w:szCs w:val="28"/>
        </w:rPr>
        <w:t xml:space="preserve">армонізація </w:t>
      </w:r>
      <w:r w:rsidR="00B45093" w:rsidRPr="003C2EB7">
        <w:rPr>
          <w:rFonts w:ascii="Times New Roman" w:eastAsia="Times New Roman" w:hAnsi="Times New Roman" w:cs="Times New Roman"/>
          <w:color w:val="000000"/>
          <w:sz w:val="28"/>
          <w:szCs w:val="28"/>
        </w:rPr>
        <w:t xml:space="preserve">(спрощення) </w:t>
      </w:r>
      <w:r w:rsidR="00936ECF" w:rsidRPr="003C2EB7">
        <w:rPr>
          <w:rFonts w:ascii="Times New Roman" w:eastAsia="Times New Roman" w:hAnsi="Times New Roman" w:cs="Times New Roman"/>
          <w:color w:val="000000"/>
          <w:sz w:val="28"/>
          <w:szCs w:val="28"/>
        </w:rPr>
        <w:t>умов перевезення вантажів у внутрішньому та міжнародному сполученнях</w:t>
      </w:r>
      <w:r w:rsidR="00B45093" w:rsidRPr="003C2EB7">
        <w:rPr>
          <w:rFonts w:ascii="Times New Roman" w:eastAsia="Times New Roman" w:hAnsi="Times New Roman" w:cs="Times New Roman"/>
          <w:color w:val="000000"/>
          <w:sz w:val="28"/>
          <w:szCs w:val="28"/>
        </w:rPr>
        <w:t xml:space="preserve">, оскільки не передбачатиме додаткового погодження відправок </w:t>
      </w:r>
      <w:r w:rsidR="00B45093" w:rsidRPr="003C2EB7">
        <w:rPr>
          <w:rFonts w:ascii="Times New Roman" w:eastAsia="Times New Roman" w:hAnsi="Times New Roman" w:cs="Times New Roman"/>
          <w:color w:val="000000"/>
          <w:sz w:val="28"/>
          <w:szCs w:val="28"/>
        </w:rPr>
        <w:lastRenderedPageBreak/>
        <w:t>вантажів з перевізниками, зокрема АТ «Укрзалізниця», що спростить ведення бізнесу суб’єктів господарювання.</w:t>
      </w:r>
      <w:r w:rsidR="00B45093">
        <w:rPr>
          <w:rFonts w:ascii="Times New Roman" w:eastAsia="Times New Roman" w:hAnsi="Times New Roman" w:cs="Times New Roman"/>
          <w:color w:val="000000"/>
          <w:sz w:val="28"/>
          <w:szCs w:val="28"/>
        </w:rPr>
        <w:t xml:space="preserve"> </w:t>
      </w:r>
    </w:p>
    <w:p w14:paraId="71AD1423" w14:textId="77777777" w:rsidR="00BC2D5D" w:rsidRPr="0049044B" w:rsidRDefault="00316A33" w:rsidP="00936ECF">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Також р</w:t>
      </w:r>
      <w:r w:rsidR="00B45093">
        <w:rPr>
          <w:rFonts w:ascii="Times New Roman" w:eastAsia="Times New Roman" w:hAnsi="Times New Roman" w:cs="Times New Roman"/>
          <w:color w:val="000000"/>
          <w:sz w:val="28"/>
          <w:szCs w:val="28"/>
        </w:rPr>
        <w:t>егуляторний акт н</w:t>
      </w:r>
      <w:r w:rsidR="00936ECF" w:rsidRPr="00936ECF">
        <w:rPr>
          <w:rFonts w:ascii="Times New Roman" w:eastAsia="Times New Roman" w:hAnsi="Times New Roman" w:cs="Times New Roman"/>
          <w:color w:val="000000"/>
          <w:sz w:val="28"/>
          <w:szCs w:val="28"/>
        </w:rPr>
        <w:t>адає відправникам можливість вибору пакувальних матеріалів (вагонні вкладиші або м’які контейнери)</w:t>
      </w:r>
      <w:r w:rsidR="00B45093">
        <w:rPr>
          <w:rFonts w:ascii="Times New Roman" w:eastAsia="Times New Roman" w:hAnsi="Times New Roman" w:cs="Times New Roman"/>
          <w:color w:val="000000"/>
          <w:sz w:val="28"/>
          <w:szCs w:val="28"/>
        </w:rPr>
        <w:t>.</w:t>
      </w:r>
    </w:p>
    <w:p w14:paraId="17EA7715" w14:textId="77777777" w:rsidR="00BC2D5D" w:rsidRPr="0049044B" w:rsidRDefault="00BC2D5D" w:rsidP="00BC2D5D">
      <w:pPr>
        <w:numPr>
          <w:ilvl w:val="0"/>
          <w:numId w:val="1"/>
        </w:numPr>
        <w:pBdr>
          <w:top w:val="nil"/>
          <w:left w:val="nil"/>
          <w:bottom w:val="nil"/>
          <w:right w:val="nil"/>
          <w:between w:val="nil"/>
        </w:pBdr>
        <w:tabs>
          <w:tab w:val="left" w:pos="-3686"/>
        </w:tabs>
        <w:ind w:left="0"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Організаційні заходи впровадження регуляторного акта в дію.</w:t>
      </w:r>
    </w:p>
    <w:p w14:paraId="18E7178E" w14:textId="77777777" w:rsidR="00026487" w:rsidRDefault="00BC2D5D" w:rsidP="00026487">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Для впровадження цього регуляторного акта необхідно забезпечити інформування громадськості про вимоги регуляторного акта шляхом його оприлюднення на офіційному </w:t>
      </w:r>
      <w:proofErr w:type="spellStart"/>
      <w:r w:rsidRPr="0049044B">
        <w:rPr>
          <w:rFonts w:ascii="Times New Roman" w:eastAsia="Times New Roman" w:hAnsi="Times New Roman" w:cs="Times New Roman"/>
          <w:color w:val="000000"/>
          <w:sz w:val="28"/>
          <w:szCs w:val="28"/>
        </w:rPr>
        <w:t>вебсайті</w:t>
      </w:r>
      <w:proofErr w:type="spellEnd"/>
      <w:r w:rsidRPr="0049044B">
        <w:rPr>
          <w:rFonts w:ascii="Times New Roman" w:eastAsia="Times New Roman" w:hAnsi="Times New Roman" w:cs="Times New Roman"/>
          <w:color w:val="000000"/>
          <w:sz w:val="28"/>
          <w:szCs w:val="28"/>
        </w:rPr>
        <w:t xml:space="preserve"> Мінінфраструктури</w:t>
      </w:r>
      <w:r w:rsidR="00026487" w:rsidRPr="0049044B">
        <w:rPr>
          <w:rFonts w:ascii="Times New Roman" w:eastAsia="Times New Roman" w:hAnsi="Times New Roman" w:cs="Times New Roman"/>
          <w:color w:val="000000"/>
          <w:sz w:val="28"/>
          <w:szCs w:val="28"/>
        </w:rPr>
        <w:t>.</w:t>
      </w:r>
    </w:p>
    <w:p w14:paraId="747F5B87" w14:textId="77777777" w:rsidR="00316A33" w:rsidRPr="0049044B" w:rsidRDefault="00316A33" w:rsidP="00026487">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 xml:space="preserve">Суб’єктам господарювання необхідно під час навантаження вантажів «Сіль </w:t>
      </w:r>
      <w:proofErr w:type="spellStart"/>
      <w:r w:rsidRPr="003C2EB7">
        <w:rPr>
          <w:rFonts w:ascii="Times New Roman" w:eastAsia="Times New Roman" w:hAnsi="Times New Roman" w:cs="Times New Roman"/>
          <w:color w:val="000000"/>
          <w:sz w:val="28"/>
          <w:szCs w:val="28"/>
        </w:rPr>
        <w:t>комова</w:t>
      </w:r>
      <w:proofErr w:type="spellEnd"/>
      <w:r w:rsidRPr="003C2EB7">
        <w:rPr>
          <w:rFonts w:ascii="Times New Roman" w:eastAsia="Times New Roman" w:hAnsi="Times New Roman" w:cs="Times New Roman"/>
          <w:color w:val="000000"/>
          <w:sz w:val="28"/>
          <w:szCs w:val="28"/>
        </w:rPr>
        <w:t xml:space="preserve"> (брикети, брили, </w:t>
      </w:r>
      <w:proofErr w:type="spellStart"/>
      <w:r w:rsidRPr="003C2EB7">
        <w:rPr>
          <w:rFonts w:ascii="Times New Roman" w:eastAsia="Times New Roman" w:hAnsi="Times New Roman" w:cs="Times New Roman"/>
          <w:color w:val="000000"/>
          <w:sz w:val="28"/>
          <w:szCs w:val="28"/>
        </w:rPr>
        <w:t>солеблоки</w:t>
      </w:r>
      <w:proofErr w:type="spellEnd"/>
      <w:r w:rsidRPr="003C2EB7">
        <w:rPr>
          <w:rFonts w:ascii="Times New Roman" w:eastAsia="Times New Roman" w:hAnsi="Times New Roman" w:cs="Times New Roman"/>
          <w:color w:val="000000"/>
          <w:sz w:val="28"/>
          <w:szCs w:val="28"/>
        </w:rPr>
        <w:t xml:space="preserve">)», «Сіль технічна (сіль кам’яна)» «Концентрат мінеральний «Галіт» забезпечити розміщення вагонних вкладишів у піввагонах перед навантаженням вантажу та остаточне запакування вантажу після навантаження. Така процедура </w:t>
      </w:r>
      <w:r w:rsidR="00664DC9" w:rsidRPr="003C2EB7">
        <w:rPr>
          <w:rFonts w:ascii="Times New Roman" w:eastAsia="Times New Roman" w:hAnsi="Times New Roman" w:cs="Times New Roman"/>
          <w:color w:val="000000"/>
          <w:sz w:val="28"/>
          <w:szCs w:val="28"/>
        </w:rPr>
        <w:t xml:space="preserve">наразі </w:t>
      </w:r>
      <w:r w:rsidRPr="003C2EB7">
        <w:rPr>
          <w:rFonts w:ascii="Times New Roman" w:eastAsia="Times New Roman" w:hAnsi="Times New Roman" w:cs="Times New Roman"/>
          <w:color w:val="000000"/>
          <w:sz w:val="28"/>
          <w:szCs w:val="28"/>
        </w:rPr>
        <w:t xml:space="preserve">проводиться суб’єктами господарювання під час експорту зазначених вантажів, а </w:t>
      </w:r>
      <w:r w:rsidR="009F6C13" w:rsidRPr="003C2EB7">
        <w:rPr>
          <w:rFonts w:ascii="Times New Roman" w:eastAsia="Times New Roman" w:hAnsi="Times New Roman" w:cs="Times New Roman"/>
          <w:color w:val="000000"/>
          <w:sz w:val="28"/>
          <w:szCs w:val="28"/>
        </w:rPr>
        <w:t>у процесі впровадження регуляторного акта в дію</w:t>
      </w:r>
      <w:r w:rsidRPr="003C2EB7">
        <w:rPr>
          <w:rFonts w:ascii="Times New Roman" w:eastAsia="Times New Roman" w:hAnsi="Times New Roman" w:cs="Times New Roman"/>
          <w:color w:val="000000"/>
          <w:sz w:val="28"/>
          <w:szCs w:val="28"/>
        </w:rPr>
        <w:t xml:space="preserve"> </w:t>
      </w:r>
      <w:r w:rsidR="009F6C13" w:rsidRPr="003C2EB7">
        <w:rPr>
          <w:rFonts w:ascii="Times New Roman" w:eastAsia="Times New Roman" w:hAnsi="Times New Roman" w:cs="Times New Roman"/>
          <w:color w:val="000000"/>
          <w:sz w:val="28"/>
          <w:szCs w:val="28"/>
        </w:rPr>
        <w:t>також буде застосовуватись і для внутрішніх перевезень територією України.</w:t>
      </w:r>
    </w:p>
    <w:p w14:paraId="54E74C0B" w14:textId="77777777" w:rsidR="00BC2D5D" w:rsidRPr="0049044B" w:rsidRDefault="00BC2D5D" w:rsidP="0002648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Ризику впливу зовнішніх факторів на дію регуляторного акта немає.</w:t>
      </w:r>
    </w:p>
    <w:p w14:paraId="485D2188" w14:textId="77777777" w:rsidR="00BC2D5D" w:rsidRPr="0049044B" w:rsidRDefault="00BC2D5D" w:rsidP="0002648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Досягнення цілей не передбачає додаткових організаційних заходів.</w:t>
      </w:r>
    </w:p>
    <w:p w14:paraId="37DC2896" w14:textId="77777777" w:rsidR="00BC2D5D" w:rsidRPr="0049044B" w:rsidRDefault="00BC2D5D" w:rsidP="0002648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Можлива шкода у разі очікуваних наслідків дії акта не прогнозується.</w:t>
      </w:r>
    </w:p>
    <w:p w14:paraId="140DD597" w14:textId="77777777" w:rsidR="00B476AE" w:rsidRPr="0049044B" w:rsidRDefault="00B476AE"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p>
    <w:p w14:paraId="71C7C630" w14:textId="77777777"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 </w:t>
      </w:r>
    </w:p>
    <w:p w14:paraId="180B1275" w14:textId="77777777"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p>
    <w:p w14:paraId="7BCFBF15"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Реалізація регуляторного акта дасть змогу підприємствам та користувачам залізничного транспорту незалежно від форми власності функціонувати в рівних умовах. </w:t>
      </w:r>
    </w:p>
    <w:p w14:paraId="6BE28BC0"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Реалізація регуляторного акта не потребуватиме додаткових витрат та ресурсів органів виконавчої влади. </w:t>
      </w:r>
    </w:p>
    <w:p w14:paraId="6D184028"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Проведення М-тесту недоцільно, тому що регуляторний акт не поширюється на суб’єктів малого підприємництва. </w:t>
      </w:r>
    </w:p>
    <w:p w14:paraId="56621EAA" w14:textId="77777777"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p>
    <w:p w14:paraId="0D3F3B66" w14:textId="77777777"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VII. Обґрунтування запропонованого строку дії регуляторного акта</w:t>
      </w:r>
    </w:p>
    <w:p w14:paraId="4DD67126"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Строк дії регуляторного акта пропонується не обмежувати в часі. </w:t>
      </w:r>
    </w:p>
    <w:p w14:paraId="36BFA861"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Зміна строку дії акта можлива в разі зміни правових актів, відповідно до норм яких розроблено наказ. </w:t>
      </w:r>
    </w:p>
    <w:p w14:paraId="71AB6874"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Регуляторний акт набирає чинності з дня офіційного опублікування. </w:t>
      </w:r>
    </w:p>
    <w:p w14:paraId="57D31476" w14:textId="77777777"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p>
    <w:p w14:paraId="57C4E97A" w14:textId="77777777"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b/>
          <w:color w:val="000000"/>
          <w:sz w:val="28"/>
          <w:szCs w:val="28"/>
        </w:rPr>
      </w:pPr>
      <w:r w:rsidRPr="0049044B">
        <w:rPr>
          <w:rFonts w:ascii="Times New Roman" w:eastAsia="Times New Roman" w:hAnsi="Times New Roman" w:cs="Times New Roman"/>
          <w:b/>
          <w:color w:val="000000"/>
          <w:sz w:val="28"/>
          <w:szCs w:val="28"/>
        </w:rPr>
        <w:t>VIII. Визначення показників результативності дії регуляторного акта</w:t>
      </w:r>
    </w:p>
    <w:p w14:paraId="383DDBC4" w14:textId="77777777" w:rsidR="00775D4B" w:rsidRPr="00D30D20" w:rsidRDefault="00775D4B" w:rsidP="00BC2D5D">
      <w:pPr>
        <w:pBdr>
          <w:top w:val="nil"/>
          <w:left w:val="nil"/>
          <w:bottom w:val="nil"/>
          <w:right w:val="nil"/>
          <w:between w:val="nil"/>
        </w:pBdr>
        <w:spacing w:after="120"/>
        <w:ind w:firstLine="567"/>
        <w:jc w:val="both"/>
        <w:rPr>
          <w:rFonts w:ascii="Times New Roman" w:eastAsia="Times New Roman" w:hAnsi="Times New Roman" w:cs="Times New Roman"/>
          <w:sz w:val="28"/>
          <w:szCs w:val="28"/>
        </w:rPr>
      </w:pPr>
      <w:r w:rsidRPr="00D30D20">
        <w:rPr>
          <w:rFonts w:ascii="Times New Roman" w:eastAsia="Times New Roman" w:hAnsi="Times New Roman" w:cs="Times New Roman"/>
          <w:sz w:val="28"/>
          <w:szCs w:val="28"/>
        </w:rPr>
        <w:t>Для визначення результативності цього регуляторного акта пропонується встановити такі показники:</w:t>
      </w:r>
    </w:p>
    <w:p w14:paraId="3824BE01" w14:textId="77777777" w:rsidR="00026487" w:rsidRDefault="00775D4B" w:rsidP="00D8172C">
      <w:pPr>
        <w:pBdr>
          <w:top w:val="nil"/>
          <w:left w:val="nil"/>
          <w:bottom w:val="nil"/>
          <w:right w:val="nil"/>
          <w:between w:val="nil"/>
        </w:pBdr>
        <w:ind w:firstLine="567"/>
        <w:jc w:val="both"/>
        <w:rPr>
          <w:rFonts w:ascii="Times New Roman" w:hAnsi="Times New Roman" w:cs="Times New Roman"/>
          <w:sz w:val="28"/>
          <w:szCs w:val="28"/>
        </w:rPr>
      </w:pPr>
      <w:r w:rsidRPr="003C2EB7">
        <w:rPr>
          <w:rFonts w:ascii="Times New Roman" w:hAnsi="Times New Roman" w:cs="Times New Roman"/>
          <w:sz w:val="28"/>
          <w:szCs w:val="28"/>
        </w:rPr>
        <w:lastRenderedPageBreak/>
        <w:t>р</w:t>
      </w:r>
      <w:r w:rsidR="00D8172C" w:rsidRPr="003C2EB7">
        <w:rPr>
          <w:rFonts w:ascii="Times New Roman" w:hAnsi="Times New Roman" w:cs="Times New Roman"/>
          <w:sz w:val="28"/>
          <w:szCs w:val="28"/>
        </w:rPr>
        <w:t>озмір надходжень до державного та місцевих бюджетів і державних цільових фондів, пов'язаних з дією акта</w:t>
      </w:r>
      <w:r w:rsidR="00601408" w:rsidRPr="003C2EB7">
        <w:rPr>
          <w:rFonts w:ascii="Times New Roman" w:hAnsi="Times New Roman" w:cs="Times New Roman"/>
          <w:sz w:val="28"/>
          <w:szCs w:val="28"/>
        </w:rPr>
        <w:t>;</w:t>
      </w:r>
    </w:p>
    <w:p w14:paraId="7499F0FF" w14:textId="70AC8900" w:rsidR="00325A11" w:rsidRPr="008A5352" w:rsidRDefault="00325A11" w:rsidP="00D8172C">
      <w:pPr>
        <w:pBdr>
          <w:top w:val="nil"/>
          <w:left w:val="nil"/>
          <w:bottom w:val="nil"/>
          <w:right w:val="nil"/>
          <w:between w:val="nil"/>
        </w:pBdr>
        <w:ind w:firstLine="567"/>
        <w:jc w:val="both"/>
        <w:rPr>
          <w:rFonts w:ascii="Times New Roman" w:hAnsi="Times New Roman" w:cs="Times New Roman"/>
          <w:sz w:val="28"/>
          <w:szCs w:val="28"/>
        </w:rPr>
      </w:pPr>
      <w:r w:rsidRPr="008A5352">
        <w:rPr>
          <w:rFonts w:ascii="Times New Roman" w:hAnsi="Times New Roman" w:cs="Times New Roman"/>
          <w:sz w:val="28"/>
          <w:szCs w:val="28"/>
        </w:rPr>
        <w:t>розмір коштів і час</w:t>
      </w:r>
      <w:r w:rsidR="00EA2FA8" w:rsidRPr="008A5352">
        <w:rPr>
          <w:rFonts w:ascii="Times New Roman" w:hAnsi="Times New Roman" w:cs="Times New Roman"/>
          <w:sz w:val="28"/>
          <w:szCs w:val="28"/>
        </w:rPr>
        <w:t>, який витрачатимуть</w:t>
      </w:r>
      <w:r w:rsidRPr="008A5352">
        <w:rPr>
          <w:rFonts w:ascii="Times New Roman" w:hAnsi="Times New Roman" w:cs="Times New Roman"/>
          <w:sz w:val="28"/>
          <w:szCs w:val="28"/>
        </w:rPr>
        <w:t xml:space="preserve"> суб’єкт</w:t>
      </w:r>
      <w:r w:rsidR="00EA2FA8" w:rsidRPr="008A5352">
        <w:rPr>
          <w:rFonts w:ascii="Times New Roman" w:hAnsi="Times New Roman" w:cs="Times New Roman"/>
          <w:sz w:val="28"/>
          <w:szCs w:val="28"/>
        </w:rPr>
        <w:t>и</w:t>
      </w:r>
      <w:r w:rsidRPr="008A5352">
        <w:rPr>
          <w:rFonts w:ascii="Times New Roman" w:hAnsi="Times New Roman" w:cs="Times New Roman"/>
          <w:sz w:val="28"/>
          <w:szCs w:val="28"/>
        </w:rPr>
        <w:t xml:space="preserve"> господарювання</w:t>
      </w:r>
      <w:r w:rsidR="00EA2FA8" w:rsidRPr="008A5352">
        <w:rPr>
          <w:rFonts w:ascii="Times New Roman" w:hAnsi="Times New Roman" w:cs="Times New Roman"/>
          <w:sz w:val="28"/>
          <w:szCs w:val="28"/>
        </w:rPr>
        <w:t xml:space="preserve"> на виконання вимог </w:t>
      </w:r>
      <w:r w:rsidRPr="008A5352">
        <w:rPr>
          <w:rFonts w:ascii="Times New Roman" w:hAnsi="Times New Roman" w:cs="Times New Roman"/>
          <w:sz w:val="28"/>
          <w:szCs w:val="28"/>
        </w:rPr>
        <w:t xml:space="preserve">акта; </w:t>
      </w:r>
    </w:p>
    <w:p w14:paraId="50BF4F29" w14:textId="77777777" w:rsidR="00775D4B" w:rsidRDefault="00775D4B" w:rsidP="00775D4B">
      <w:pPr>
        <w:pBdr>
          <w:top w:val="nil"/>
          <w:left w:val="nil"/>
          <w:bottom w:val="nil"/>
          <w:right w:val="nil"/>
          <w:between w:val="nil"/>
        </w:pBdr>
        <w:ind w:firstLine="567"/>
        <w:jc w:val="both"/>
        <w:rPr>
          <w:rFonts w:ascii="Times New Roman" w:eastAsia="Times New Roman" w:hAnsi="Times New Roman" w:cs="Times New Roman"/>
          <w:color w:val="000000"/>
          <w:sz w:val="28"/>
          <w:szCs w:val="28"/>
        </w:rPr>
      </w:pPr>
      <w:bookmarkStart w:id="2" w:name="n36"/>
      <w:bookmarkEnd w:id="2"/>
      <w:r w:rsidRPr="00D30D20">
        <w:rPr>
          <w:rFonts w:ascii="Times New Roman" w:eastAsia="Times New Roman" w:hAnsi="Times New Roman" w:cs="Times New Roman"/>
          <w:sz w:val="28"/>
          <w:szCs w:val="28"/>
        </w:rPr>
        <w:t xml:space="preserve">кількість суб’єктів господарювання або фізичних осіб, на яких </w:t>
      </w:r>
      <w:r w:rsidRPr="0049044B">
        <w:rPr>
          <w:rFonts w:ascii="Times New Roman" w:eastAsia="Times New Roman" w:hAnsi="Times New Roman" w:cs="Times New Roman"/>
          <w:color w:val="000000"/>
          <w:sz w:val="28"/>
          <w:szCs w:val="28"/>
        </w:rPr>
        <w:t>поширюється дія акта, – всі суб’єкти господарювання, які здійснюють перевезення зазначених вантажів залізничним транспортом;</w:t>
      </w:r>
    </w:p>
    <w:p w14:paraId="564CC0B8" w14:textId="77777777" w:rsidR="00FC7E5F" w:rsidRPr="0049044B" w:rsidRDefault="00FC7E5F" w:rsidP="00775D4B">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FC7E5F">
        <w:rPr>
          <w:rFonts w:ascii="Times New Roman" w:eastAsia="Times New Roman" w:hAnsi="Times New Roman" w:cs="Times New Roman"/>
          <w:color w:val="000000"/>
          <w:sz w:val="28"/>
          <w:szCs w:val="28"/>
        </w:rPr>
        <w:t xml:space="preserve">обсяги перевезень вантажу «Сіль </w:t>
      </w:r>
      <w:proofErr w:type="spellStart"/>
      <w:r w:rsidRPr="00FC7E5F">
        <w:rPr>
          <w:rFonts w:ascii="Times New Roman" w:eastAsia="Times New Roman" w:hAnsi="Times New Roman" w:cs="Times New Roman"/>
          <w:color w:val="000000"/>
          <w:sz w:val="28"/>
          <w:szCs w:val="28"/>
        </w:rPr>
        <w:t>комова</w:t>
      </w:r>
      <w:proofErr w:type="spellEnd"/>
      <w:r w:rsidRPr="00FC7E5F">
        <w:rPr>
          <w:rFonts w:ascii="Times New Roman" w:eastAsia="Times New Roman" w:hAnsi="Times New Roman" w:cs="Times New Roman"/>
          <w:color w:val="000000"/>
          <w:sz w:val="28"/>
          <w:szCs w:val="28"/>
        </w:rPr>
        <w:t xml:space="preserve"> (брикети, брили, </w:t>
      </w:r>
      <w:proofErr w:type="spellStart"/>
      <w:r w:rsidRPr="00FC7E5F">
        <w:rPr>
          <w:rFonts w:ascii="Times New Roman" w:eastAsia="Times New Roman" w:hAnsi="Times New Roman" w:cs="Times New Roman"/>
          <w:color w:val="000000"/>
          <w:sz w:val="28"/>
          <w:szCs w:val="28"/>
        </w:rPr>
        <w:t>солеблоки</w:t>
      </w:r>
      <w:proofErr w:type="spellEnd"/>
      <w:r w:rsidRPr="00FC7E5F">
        <w:rPr>
          <w:rFonts w:ascii="Times New Roman" w:eastAsia="Times New Roman" w:hAnsi="Times New Roman" w:cs="Times New Roman"/>
          <w:color w:val="000000"/>
          <w:sz w:val="28"/>
          <w:szCs w:val="28"/>
        </w:rPr>
        <w:t>)» (з кодом ЄТСНВ 53102), «Сіль технічна (сіль кам’яна)» (з кодом ЄТСНВ 53106), «Концентрат мінеральний «Галіт» (з кодом ЄТСНВ 24212) та «Маса електродна» (з кодом ЄТСНВ 47308)</w:t>
      </w:r>
    </w:p>
    <w:p w14:paraId="598A311A" w14:textId="77777777" w:rsidR="009F6C13" w:rsidRDefault="0049044B" w:rsidP="0049044B">
      <w:pPr>
        <w:ind w:firstLine="567"/>
        <w:jc w:val="both"/>
        <w:rPr>
          <w:rFonts w:ascii="Times New Roman" w:hAnsi="Times New Roman"/>
          <w:sz w:val="28"/>
          <w:szCs w:val="28"/>
        </w:rPr>
      </w:pPr>
      <w:r w:rsidRPr="0049044B">
        <w:rPr>
          <w:rFonts w:ascii="Times New Roman" w:hAnsi="Times New Roman"/>
          <w:sz w:val="28"/>
          <w:szCs w:val="28"/>
        </w:rPr>
        <w:t>доходи перевізника від перевезень вантаж</w:t>
      </w:r>
      <w:r w:rsidR="009B6239">
        <w:rPr>
          <w:rFonts w:ascii="Times New Roman" w:hAnsi="Times New Roman"/>
          <w:sz w:val="28"/>
          <w:szCs w:val="28"/>
        </w:rPr>
        <w:t>у</w:t>
      </w:r>
      <w:r w:rsidRPr="0049044B">
        <w:rPr>
          <w:rFonts w:ascii="Times New Roman" w:hAnsi="Times New Roman"/>
          <w:sz w:val="28"/>
          <w:szCs w:val="28"/>
        </w:rPr>
        <w:t xml:space="preserve"> </w:t>
      </w:r>
      <w:r w:rsidRPr="00FC7E5F">
        <w:rPr>
          <w:rFonts w:ascii="Times New Roman" w:hAnsi="Times New Roman"/>
          <w:sz w:val="28"/>
          <w:szCs w:val="28"/>
        </w:rPr>
        <w:t xml:space="preserve">«Сіль </w:t>
      </w:r>
      <w:proofErr w:type="spellStart"/>
      <w:r w:rsidRPr="00FC7E5F">
        <w:rPr>
          <w:rFonts w:ascii="Times New Roman" w:hAnsi="Times New Roman"/>
          <w:sz w:val="28"/>
          <w:szCs w:val="28"/>
        </w:rPr>
        <w:t>комова</w:t>
      </w:r>
      <w:proofErr w:type="spellEnd"/>
      <w:r w:rsidRPr="00FC7E5F">
        <w:rPr>
          <w:rFonts w:ascii="Times New Roman" w:hAnsi="Times New Roman"/>
          <w:sz w:val="28"/>
          <w:szCs w:val="28"/>
        </w:rPr>
        <w:t xml:space="preserve"> (брикети, брили, </w:t>
      </w:r>
      <w:proofErr w:type="spellStart"/>
      <w:r w:rsidRPr="00FC7E5F">
        <w:rPr>
          <w:rFonts w:ascii="Times New Roman" w:hAnsi="Times New Roman"/>
          <w:sz w:val="28"/>
          <w:szCs w:val="28"/>
        </w:rPr>
        <w:t>солеблоки</w:t>
      </w:r>
      <w:proofErr w:type="spellEnd"/>
      <w:r w:rsidRPr="00FC7E5F">
        <w:rPr>
          <w:rFonts w:ascii="Times New Roman" w:hAnsi="Times New Roman"/>
          <w:sz w:val="28"/>
          <w:szCs w:val="28"/>
        </w:rPr>
        <w:t>)» (з кодом ЄТСНВ 53102), «Сіль технічна (сіль кам’яна)» (з кодом ЄТСНВ 53106), «Концентрат мінеральний «Галіт» (з кодом ЄТСНВ 24212) та «Маса електродна» (з кодом ЄТСНВ 47308)</w:t>
      </w:r>
      <w:r w:rsidR="009F6C13">
        <w:rPr>
          <w:rFonts w:ascii="Times New Roman" w:hAnsi="Times New Roman"/>
          <w:sz w:val="28"/>
          <w:szCs w:val="28"/>
        </w:rPr>
        <w:t>;</w:t>
      </w:r>
    </w:p>
    <w:p w14:paraId="258A9F9E" w14:textId="77777777" w:rsidR="0049044B" w:rsidRDefault="009F6C13" w:rsidP="0049044B">
      <w:pPr>
        <w:ind w:firstLine="567"/>
        <w:jc w:val="both"/>
        <w:rPr>
          <w:rFonts w:ascii="Times New Roman" w:hAnsi="Times New Roman"/>
          <w:sz w:val="28"/>
          <w:szCs w:val="28"/>
        </w:rPr>
      </w:pPr>
      <w:r w:rsidRPr="003C2EB7">
        <w:rPr>
          <w:rFonts w:ascii="Times New Roman" w:hAnsi="Times New Roman"/>
          <w:sz w:val="28"/>
          <w:szCs w:val="28"/>
        </w:rPr>
        <w:t xml:space="preserve">кількість втраченого вантажу та заявлених претензій </w:t>
      </w:r>
      <w:r w:rsidR="00FC7E5F" w:rsidRPr="003C2EB7">
        <w:rPr>
          <w:rFonts w:ascii="Times New Roman" w:hAnsi="Times New Roman"/>
          <w:sz w:val="28"/>
          <w:szCs w:val="28"/>
        </w:rPr>
        <w:t xml:space="preserve">до АТ «Укрзалізниця» </w:t>
      </w:r>
      <w:r w:rsidRPr="003C2EB7">
        <w:rPr>
          <w:rFonts w:ascii="Times New Roman" w:hAnsi="Times New Roman"/>
          <w:sz w:val="28"/>
          <w:szCs w:val="28"/>
        </w:rPr>
        <w:t>за несхоронність</w:t>
      </w:r>
      <w:r w:rsidR="00B000D1" w:rsidRPr="003C2EB7">
        <w:rPr>
          <w:rFonts w:ascii="Times New Roman" w:hAnsi="Times New Roman"/>
          <w:sz w:val="28"/>
          <w:szCs w:val="28"/>
        </w:rPr>
        <w:t xml:space="preserve"> </w:t>
      </w:r>
      <w:r w:rsidRPr="003C2EB7">
        <w:rPr>
          <w:rFonts w:ascii="Times New Roman" w:hAnsi="Times New Roman"/>
          <w:sz w:val="28"/>
          <w:szCs w:val="28"/>
        </w:rPr>
        <w:t>вантажів під час перевезень</w:t>
      </w:r>
      <w:r w:rsidR="0049044B" w:rsidRPr="003C2EB7">
        <w:rPr>
          <w:rFonts w:ascii="Times New Roman" w:hAnsi="Times New Roman"/>
          <w:sz w:val="28"/>
          <w:szCs w:val="28"/>
        </w:rPr>
        <w:t>.</w:t>
      </w:r>
    </w:p>
    <w:p w14:paraId="521A3CD3" w14:textId="77777777" w:rsidR="005864CF" w:rsidRPr="005864CF" w:rsidRDefault="005864CF" w:rsidP="0049044B">
      <w:pPr>
        <w:ind w:firstLine="567"/>
        <w:jc w:val="both"/>
        <w:rPr>
          <w:rFonts w:ascii="Times New Roman" w:hAnsi="Times New Roman"/>
          <w:sz w:val="16"/>
          <w:szCs w:val="16"/>
        </w:rPr>
      </w:pPr>
    </w:p>
    <w:p w14:paraId="539C4EFB" w14:textId="77777777" w:rsidR="008039F7" w:rsidRPr="0049044B" w:rsidRDefault="005864CF"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49044B">
        <w:rPr>
          <w:rFonts w:ascii="Times New Roman" w:eastAsia="Times New Roman" w:hAnsi="Times New Roman" w:cs="Times New Roman"/>
          <w:color w:val="000000"/>
          <w:sz w:val="28"/>
          <w:szCs w:val="28"/>
        </w:rPr>
        <w:t xml:space="preserve">івень поінформованості суб’єктів господарювання та фізичних осіб щодо регуляторного акта – середній. Суб’єкти господарювання та фізичні особи будуть поінформовані стосовно основних положень акта шляхом розміщення наказу на офіційному сайті Міністерства інфраструктури України </w:t>
      </w:r>
      <w:r>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за </w:t>
      </w:r>
      <w:proofErr w:type="spellStart"/>
      <w:r w:rsidRPr="00146B94">
        <w:rPr>
          <w:rFonts w:ascii="Times New Roman" w:eastAsia="Times New Roman" w:hAnsi="Times New Roman" w:cs="Times New Roman"/>
          <w:sz w:val="28"/>
          <w:szCs w:val="28"/>
        </w:rPr>
        <w:t>адресою</w:t>
      </w:r>
      <w:proofErr w:type="spellEnd"/>
      <w:r w:rsidRPr="00146B94">
        <w:rPr>
          <w:rFonts w:ascii="Times New Roman" w:eastAsia="Times New Roman" w:hAnsi="Times New Roman" w:cs="Times New Roman"/>
          <w:sz w:val="28"/>
          <w:szCs w:val="28"/>
        </w:rPr>
        <w:t xml:space="preserve"> </w:t>
      </w:r>
      <w:hyperlink r:id="rId10" w:history="1">
        <w:r w:rsidRPr="00146B94">
          <w:rPr>
            <w:rStyle w:val="aa"/>
            <w:rFonts w:ascii="Times New Roman" w:eastAsia="Times New Roman" w:hAnsi="Times New Roman" w:cs="Times New Roman"/>
            <w:color w:val="auto"/>
            <w:sz w:val="28"/>
            <w:szCs w:val="28"/>
            <w:u w:val="none"/>
          </w:rPr>
          <w:t>www.mtu.gov.ua</w:t>
        </w:r>
      </w:hyperlink>
      <w:r>
        <w:rPr>
          <w:rStyle w:val="aa"/>
          <w:rFonts w:ascii="Times New Roman" w:eastAsia="Times New Roman" w:hAnsi="Times New Roman" w:cs="Times New Roman"/>
          <w:color w:val="auto"/>
          <w:sz w:val="28"/>
          <w:szCs w:val="28"/>
          <w:u w:val="none"/>
        </w:rPr>
        <w:t>)</w:t>
      </w:r>
      <w:r w:rsidRPr="00146B94">
        <w:rPr>
          <w:rFonts w:ascii="Times New Roman" w:eastAsia="Times New Roman" w:hAnsi="Times New Roman" w:cs="Times New Roman"/>
          <w:sz w:val="28"/>
          <w:szCs w:val="28"/>
        </w:rPr>
        <w:t>.</w:t>
      </w:r>
    </w:p>
    <w:p w14:paraId="2E8ED557" w14:textId="77777777"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IX. Визначення заходів, за допомогою яких здійснюватиметься відстеження результативності дії регуляторного акта</w:t>
      </w:r>
    </w:p>
    <w:p w14:paraId="389B427F" w14:textId="6C52CAAC" w:rsidR="00BC2D5D" w:rsidRPr="005771F0"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Базове відстеження результативності дії вказаного регуляторного акта буде </w:t>
      </w:r>
      <w:r w:rsidRPr="008A5352">
        <w:rPr>
          <w:rFonts w:ascii="Times New Roman" w:eastAsia="Times New Roman" w:hAnsi="Times New Roman" w:cs="Times New Roman"/>
          <w:sz w:val="28"/>
          <w:szCs w:val="28"/>
        </w:rPr>
        <w:t>здійснюватися</w:t>
      </w:r>
      <w:r w:rsidR="00993E5D" w:rsidRPr="008A5352">
        <w:rPr>
          <w:rFonts w:ascii="Times New Roman" w:eastAsia="Times New Roman" w:hAnsi="Times New Roman" w:cs="Times New Roman"/>
          <w:sz w:val="28"/>
          <w:szCs w:val="28"/>
        </w:rPr>
        <w:t xml:space="preserve"> через один рік</w:t>
      </w:r>
      <w:r w:rsidRPr="008A5352">
        <w:rPr>
          <w:rFonts w:ascii="Times New Roman" w:eastAsia="Times New Roman" w:hAnsi="Times New Roman" w:cs="Times New Roman"/>
          <w:sz w:val="28"/>
          <w:szCs w:val="28"/>
        </w:rPr>
        <w:t xml:space="preserve"> </w:t>
      </w:r>
      <w:r w:rsidRPr="0049044B">
        <w:rPr>
          <w:rFonts w:ascii="Times New Roman" w:eastAsia="Times New Roman" w:hAnsi="Times New Roman" w:cs="Times New Roman"/>
          <w:color w:val="000000"/>
          <w:sz w:val="28"/>
          <w:szCs w:val="28"/>
        </w:rPr>
        <w:t>після набрання чинності актом</w:t>
      </w:r>
      <w:r w:rsidRPr="005771F0">
        <w:rPr>
          <w:rFonts w:ascii="Times New Roman" w:eastAsia="Times New Roman" w:hAnsi="Times New Roman" w:cs="Times New Roman"/>
          <w:color w:val="000000"/>
          <w:sz w:val="28"/>
          <w:szCs w:val="28"/>
        </w:rPr>
        <w:t>.</w:t>
      </w:r>
    </w:p>
    <w:p w14:paraId="3752DE73" w14:textId="7DA79FA9"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 метою оцінки ступеня досягнення регуляторним актом визначених цілей повторне відстеження результативності дії буде проводитися через два роки з дня набрання чинності цим актом.</w:t>
      </w:r>
    </w:p>
    <w:p w14:paraId="012CB33B"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Періодичні відстеження результативності дії регуляторного акта будуть здійснюватися раз на кожні три роки, починаючи з дня закінчення заходів з повторного відстеження результативності дії цього акта.</w:t>
      </w:r>
    </w:p>
    <w:p w14:paraId="2AE47C8E"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даних, які використовуватимуться для відстеження, – статистичні дані за основними показниками результативності дії регуляторного акта та дані, отримані шляхом дослідження показників.</w:t>
      </w:r>
    </w:p>
    <w:p w14:paraId="1A8B2E2E" w14:textId="77777777"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Виконавець заходів – Міністерство інфраструктури України.</w:t>
      </w:r>
    </w:p>
    <w:p w14:paraId="68774A7A" w14:textId="77777777" w:rsidR="00BC2D5D"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p>
    <w:p w14:paraId="43710F83" w14:textId="77777777" w:rsidR="00325A11" w:rsidRPr="0049044B" w:rsidRDefault="00325A11" w:rsidP="00BC2D5D">
      <w:pPr>
        <w:pBdr>
          <w:top w:val="nil"/>
          <w:left w:val="nil"/>
          <w:bottom w:val="nil"/>
          <w:right w:val="nil"/>
          <w:between w:val="nil"/>
        </w:pBdr>
        <w:jc w:val="both"/>
        <w:rPr>
          <w:rFonts w:ascii="Times New Roman" w:eastAsia="Times New Roman" w:hAnsi="Times New Roman" w:cs="Times New Roman"/>
          <w:color w:val="000000"/>
          <w:sz w:val="28"/>
          <w:szCs w:val="28"/>
        </w:rPr>
      </w:pPr>
    </w:p>
    <w:p w14:paraId="636CE702" w14:textId="77777777"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Міністр інфраструктури України</w:t>
      </w:r>
      <w:r w:rsidRPr="0049044B">
        <w:rPr>
          <w:rFonts w:ascii="Times New Roman" w:eastAsia="Times New Roman" w:hAnsi="Times New Roman" w:cs="Times New Roman"/>
          <w:color w:val="000000"/>
          <w:sz w:val="28"/>
          <w:szCs w:val="28"/>
        </w:rPr>
        <w:tab/>
      </w:r>
      <w:r w:rsidRPr="0049044B">
        <w:rPr>
          <w:rFonts w:ascii="Times New Roman" w:eastAsia="Times New Roman" w:hAnsi="Times New Roman" w:cs="Times New Roman"/>
          <w:color w:val="000000"/>
          <w:sz w:val="28"/>
          <w:szCs w:val="28"/>
        </w:rPr>
        <w:tab/>
      </w:r>
      <w:r w:rsidRPr="0049044B">
        <w:rPr>
          <w:rFonts w:ascii="Times New Roman" w:eastAsia="Times New Roman" w:hAnsi="Times New Roman" w:cs="Times New Roman"/>
          <w:color w:val="000000"/>
          <w:sz w:val="28"/>
          <w:szCs w:val="28"/>
        </w:rPr>
        <w:tab/>
      </w:r>
      <w:r w:rsidRPr="0049044B">
        <w:rPr>
          <w:rFonts w:ascii="Times New Roman" w:eastAsia="Times New Roman" w:hAnsi="Times New Roman" w:cs="Times New Roman"/>
          <w:color w:val="000000"/>
          <w:sz w:val="28"/>
          <w:szCs w:val="28"/>
        </w:rPr>
        <w:tab/>
        <w:t>Владислав КРИКЛІЙ</w:t>
      </w:r>
    </w:p>
    <w:p w14:paraId="63E7306F" w14:textId="77777777"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p>
    <w:p w14:paraId="373A0411" w14:textId="77777777"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«___» __________ 202</w:t>
      </w:r>
      <w:r w:rsidR="003F721B">
        <w:rPr>
          <w:rFonts w:ascii="Times New Roman" w:eastAsia="Times New Roman" w:hAnsi="Times New Roman" w:cs="Times New Roman"/>
          <w:color w:val="000000"/>
          <w:sz w:val="28"/>
          <w:szCs w:val="28"/>
        </w:rPr>
        <w:t>1</w:t>
      </w:r>
      <w:r w:rsidRPr="0049044B">
        <w:rPr>
          <w:rFonts w:ascii="Times New Roman" w:eastAsia="Times New Roman" w:hAnsi="Times New Roman" w:cs="Times New Roman"/>
          <w:color w:val="000000"/>
          <w:sz w:val="28"/>
          <w:szCs w:val="28"/>
        </w:rPr>
        <w:t xml:space="preserve"> р.</w:t>
      </w:r>
    </w:p>
    <w:sectPr w:rsidR="00BC2D5D" w:rsidRPr="0049044B" w:rsidSect="00026487">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A2DD" w14:textId="77777777" w:rsidR="004C7F12" w:rsidRDefault="004C7F12" w:rsidP="00D07136">
      <w:r>
        <w:separator/>
      </w:r>
    </w:p>
  </w:endnote>
  <w:endnote w:type="continuationSeparator" w:id="0">
    <w:p w14:paraId="3E35522A" w14:textId="77777777" w:rsidR="004C7F12" w:rsidRDefault="004C7F12" w:rsidP="00D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C28E2" w14:textId="77777777" w:rsidR="004C7F12" w:rsidRDefault="004C7F12" w:rsidP="00D07136">
      <w:r>
        <w:separator/>
      </w:r>
    </w:p>
  </w:footnote>
  <w:footnote w:type="continuationSeparator" w:id="0">
    <w:p w14:paraId="478AE6EA" w14:textId="77777777" w:rsidR="004C7F12" w:rsidRDefault="004C7F12" w:rsidP="00D07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8507"/>
      <w:docPartObj>
        <w:docPartGallery w:val="Page Numbers (Top of Page)"/>
        <w:docPartUnique/>
      </w:docPartObj>
    </w:sdtPr>
    <w:sdtEndPr/>
    <w:sdtContent>
      <w:p w14:paraId="57D160D7" w14:textId="77777777" w:rsidR="00D07136" w:rsidRDefault="00D07136">
        <w:pPr>
          <w:pStyle w:val="a6"/>
          <w:jc w:val="center"/>
        </w:pPr>
        <w:r>
          <w:fldChar w:fldCharType="begin"/>
        </w:r>
        <w:r>
          <w:instrText>PAGE   \* MERGEFORMAT</w:instrText>
        </w:r>
        <w:r>
          <w:fldChar w:fldCharType="separate"/>
        </w:r>
        <w:r w:rsidR="008A5352" w:rsidRPr="008A5352">
          <w:rPr>
            <w:noProof/>
            <w:lang w:val="ru-RU"/>
          </w:rPr>
          <w:t>14</w:t>
        </w:r>
        <w:r>
          <w:fldChar w:fldCharType="end"/>
        </w:r>
      </w:p>
    </w:sdtContent>
  </w:sdt>
  <w:p w14:paraId="167CEF06" w14:textId="77777777" w:rsidR="00D07136" w:rsidRDefault="00D0713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A51"/>
    <w:multiLevelType w:val="multilevel"/>
    <w:tmpl w:val="A000B4B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nsid w:val="0A6B49D3"/>
    <w:multiLevelType w:val="multilevel"/>
    <w:tmpl w:val="E8E06018"/>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nsid w:val="4C9A6602"/>
    <w:multiLevelType w:val="hybridMultilevel"/>
    <w:tmpl w:val="3EAEE564"/>
    <w:lvl w:ilvl="0" w:tplc="C5CA901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728B0C1B"/>
    <w:multiLevelType w:val="multilevel"/>
    <w:tmpl w:val="47342280"/>
    <w:lvl w:ilvl="0">
      <w:start w:val="2"/>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D"/>
    <w:rsid w:val="00020F29"/>
    <w:rsid w:val="000211A9"/>
    <w:rsid w:val="00024593"/>
    <w:rsid w:val="00026487"/>
    <w:rsid w:val="00050269"/>
    <w:rsid w:val="0006204C"/>
    <w:rsid w:val="000907A7"/>
    <w:rsid w:val="000A36E1"/>
    <w:rsid w:val="000D04D3"/>
    <w:rsid w:val="000E61D6"/>
    <w:rsid w:val="000F26AF"/>
    <w:rsid w:val="00112C37"/>
    <w:rsid w:val="00134C45"/>
    <w:rsid w:val="00146B94"/>
    <w:rsid w:val="0015186C"/>
    <w:rsid w:val="00174586"/>
    <w:rsid w:val="001802B2"/>
    <w:rsid w:val="001B6A1D"/>
    <w:rsid w:val="001D536E"/>
    <w:rsid w:val="00291CD5"/>
    <w:rsid w:val="0029268B"/>
    <w:rsid w:val="002A4F4E"/>
    <w:rsid w:val="002A53F3"/>
    <w:rsid w:val="002C465D"/>
    <w:rsid w:val="003015E9"/>
    <w:rsid w:val="003123DC"/>
    <w:rsid w:val="00313D4D"/>
    <w:rsid w:val="00316A33"/>
    <w:rsid w:val="00325A11"/>
    <w:rsid w:val="00326D04"/>
    <w:rsid w:val="00336D0D"/>
    <w:rsid w:val="003778E8"/>
    <w:rsid w:val="00387B1D"/>
    <w:rsid w:val="003A79B9"/>
    <w:rsid w:val="003C2D5A"/>
    <w:rsid w:val="003C2EB7"/>
    <w:rsid w:val="003D0CF1"/>
    <w:rsid w:val="003E399D"/>
    <w:rsid w:val="003F142E"/>
    <w:rsid w:val="003F721B"/>
    <w:rsid w:val="00401BC3"/>
    <w:rsid w:val="00442262"/>
    <w:rsid w:val="0049044B"/>
    <w:rsid w:val="004C7F12"/>
    <w:rsid w:val="004D6335"/>
    <w:rsid w:val="004E6C02"/>
    <w:rsid w:val="004F0F74"/>
    <w:rsid w:val="00536DBC"/>
    <w:rsid w:val="00540A96"/>
    <w:rsid w:val="005771F0"/>
    <w:rsid w:val="005846DC"/>
    <w:rsid w:val="005864CF"/>
    <w:rsid w:val="005A2BA7"/>
    <w:rsid w:val="00601408"/>
    <w:rsid w:val="006128F3"/>
    <w:rsid w:val="0061390B"/>
    <w:rsid w:val="00640A30"/>
    <w:rsid w:val="0064240D"/>
    <w:rsid w:val="00664DC9"/>
    <w:rsid w:val="006834F9"/>
    <w:rsid w:val="006A68FC"/>
    <w:rsid w:val="006B309B"/>
    <w:rsid w:val="006B3BB0"/>
    <w:rsid w:val="006C06B5"/>
    <w:rsid w:val="006C4AE6"/>
    <w:rsid w:val="006E5025"/>
    <w:rsid w:val="006F508F"/>
    <w:rsid w:val="007443B5"/>
    <w:rsid w:val="00775D4B"/>
    <w:rsid w:val="007A2127"/>
    <w:rsid w:val="007D5FF7"/>
    <w:rsid w:val="008039F7"/>
    <w:rsid w:val="008228C8"/>
    <w:rsid w:val="008342F3"/>
    <w:rsid w:val="00843FA3"/>
    <w:rsid w:val="00860281"/>
    <w:rsid w:val="008774A7"/>
    <w:rsid w:val="008922B5"/>
    <w:rsid w:val="008A5352"/>
    <w:rsid w:val="008F4097"/>
    <w:rsid w:val="00904DCF"/>
    <w:rsid w:val="00935A59"/>
    <w:rsid w:val="00936ECF"/>
    <w:rsid w:val="009449C5"/>
    <w:rsid w:val="0095099E"/>
    <w:rsid w:val="00993E5D"/>
    <w:rsid w:val="009B6239"/>
    <w:rsid w:val="009F630F"/>
    <w:rsid w:val="009F6C13"/>
    <w:rsid w:val="00A07BBB"/>
    <w:rsid w:val="00A507DA"/>
    <w:rsid w:val="00A52F4F"/>
    <w:rsid w:val="00A65452"/>
    <w:rsid w:val="00AA0353"/>
    <w:rsid w:val="00AC23FE"/>
    <w:rsid w:val="00AC30B2"/>
    <w:rsid w:val="00AD744E"/>
    <w:rsid w:val="00AE2459"/>
    <w:rsid w:val="00AF38A5"/>
    <w:rsid w:val="00B000D1"/>
    <w:rsid w:val="00B00EF4"/>
    <w:rsid w:val="00B02C6F"/>
    <w:rsid w:val="00B45093"/>
    <w:rsid w:val="00B476AE"/>
    <w:rsid w:val="00B63F03"/>
    <w:rsid w:val="00B7018C"/>
    <w:rsid w:val="00B74F89"/>
    <w:rsid w:val="00B934C0"/>
    <w:rsid w:val="00BA3B72"/>
    <w:rsid w:val="00BB634F"/>
    <w:rsid w:val="00BC2D5D"/>
    <w:rsid w:val="00BD313A"/>
    <w:rsid w:val="00BE06C3"/>
    <w:rsid w:val="00C002C9"/>
    <w:rsid w:val="00C459C4"/>
    <w:rsid w:val="00C52C91"/>
    <w:rsid w:val="00C6243E"/>
    <w:rsid w:val="00C6261F"/>
    <w:rsid w:val="00C6526F"/>
    <w:rsid w:val="00C722AC"/>
    <w:rsid w:val="00CA48E0"/>
    <w:rsid w:val="00CB415F"/>
    <w:rsid w:val="00CE371F"/>
    <w:rsid w:val="00CF39E2"/>
    <w:rsid w:val="00CF76B7"/>
    <w:rsid w:val="00D07136"/>
    <w:rsid w:val="00D30D20"/>
    <w:rsid w:val="00D8172C"/>
    <w:rsid w:val="00D94316"/>
    <w:rsid w:val="00D9483B"/>
    <w:rsid w:val="00D96E46"/>
    <w:rsid w:val="00DC1DE9"/>
    <w:rsid w:val="00DC56AD"/>
    <w:rsid w:val="00DE14D4"/>
    <w:rsid w:val="00DF44AC"/>
    <w:rsid w:val="00E07453"/>
    <w:rsid w:val="00E52AB0"/>
    <w:rsid w:val="00EA2FA8"/>
    <w:rsid w:val="00EA5326"/>
    <w:rsid w:val="00EA7D0F"/>
    <w:rsid w:val="00EF67D7"/>
    <w:rsid w:val="00F20906"/>
    <w:rsid w:val="00F25CF9"/>
    <w:rsid w:val="00F55B11"/>
    <w:rsid w:val="00F56302"/>
    <w:rsid w:val="00F9329F"/>
    <w:rsid w:val="00FC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2D5D"/>
    <w:pPr>
      <w:spacing w:after="0" w:line="240" w:lineRule="auto"/>
    </w:pPr>
    <w:rPr>
      <w:rFonts w:ascii="Calibri" w:eastAsia="Calibri" w:hAnsi="Calibri" w:cs="Calibri"/>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9"/>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8">
    <w:name w:val="8"/>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7">
    <w:name w:val="7"/>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6">
    <w:name w:val="6"/>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5">
    <w:name w:val="5"/>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4">
    <w:name w:val="4"/>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3">
    <w:name w:val="3"/>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2">
    <w:name w:val="2"/>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1">
    <w:name w:val="1"/>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paragraph" w:styleId="a3">
    <w:name w:val="Balloon Text"/>
    <w:basedOn w:val="a"/>
    <w:link w:val="a4"/>
    <w:uiPriority w:val="99"/>
    <w:semiHidden/>
    <w:unhideWhenUsed/>
    <w:rsid w:val="00A65452"/>
    <w:rPr>
      <w:rFonts w:ascii="Segoe UI" w:hAnsi="Segoe UI" w:cs="Segoe UI"/>
      <w:sz w:val="18"/>
      <w:szCs w:val="18"/>
    </w:rPr>
  </w:style>
  <w:style w:type="character" w:customStyle="1" w:styleId="a4">
    <w:name w:val="Текст выноски Знак"/>
    <w:basedOn w:val="a0"/>
    <w:link w:val="a3"/>
    <w:uiPriority w:val="99"/>
    <w:semiHidden/>
    <w:rsid w:val="00A65452"/>
    <w:rPr>
      <w:rFonts w:ascii="Segoe UI" w:eastAsia="Calibri" w:hAnsi="Segoe UI" w:cs="Segoe UI"/>
      <w:sz w:val="18"/>
      <w:szCs w:val="18"/>
      <w:lang w:val="uk-UA" w:eastAsia="ru-RU"/>
    </w:rPr>
  </w:style>
  <w:style w:type="paragraph" w:styleId="a5">
    <w:name w:val="List Paragraph"/>
    <w:basedOn w:val="a"/>
    <w:uiPriority w:val="34"/>
    <w:qFormat/>
    <w:rsid w:val="003A79B9"/>
    <w:pPr>
      <w:ind w:left="720"/>
      <w:contextualSpacing/>
    </w:pPr>
  </w:style>
  <w:style w:type="paragraph" w:styleId="a6">
    <w:name w:val="header"/>
    <w:basedOn w:val="a"/>
    <w:link w:val="a7"/>
    <w:uiPriority w:val="99"/>
    <w:unhideWhenUsed/>
    <w:rsid w:val="00D07136"/>
    <w:pPr>
      <w:tabs>
        <w:tab w:val="center" w:pos="4677"/>
        <w:tab w:val="right" w:pos="9355"/>
      </w:tabs>
    </w:pPr>
  </w:style>
  <w:style w:type="character" w:customStyle="1" w:styleId="a7">
    <w:name w:val="Верхний колонтитул Знак"/>
    <w:basedOn w:val="a0"/>
    <w:link w:val="a6"/>
    <w:uiPriority w:val="99"/>
    <w:rsid w:val="00D07136"/>
    <w:rPr>
      <w:rFonts w:ascii="Calibri" w:eastAsia="Calibri" w:hAnsi="Calibri" w:cs="Calibri"/>
      <w:sz w:val="20"/>
      <w:szCs w:val="20"/>
      <w:lang w:val="uk-UA" w:eastAsia="ru-RU"/>
    </w:rPr>
  </w:style>
  <w:style w:type="paragraph" w:styleId="a8">
    <w:name w:val="footer"/>
    <w:basedOn w:val="a"/>
    <w:link w:val="a9"/>
    <w:uiPriority w:val="99"/>
    <w:unhideWhenUsed/>
    <w:rsid w:val="00D07136"/>
    <w:pPr>
      <w:tabs>
        <w:tab w:val="center" w:pos="4677"/>
        <w:tab w:val="right" w:pos="9355"/>
      </w:tabs>
    </w:pPr>
  </w:style>
  <w:style w:type="character" w:customStyle="1" w:styleId="a9">
    <w:name w:val="Нижний колонтитул Знак"/>
    <w:basedOn w:val="a0"/>
    <w:link w:val="a8"/>
    <w:uiPriority w:val="99"/>
    <w:rsid w:val="00D07136"/>
    <w:rPr>
      <w:rFonts w:ascii="Calibri" w:eastAsia="Calibri" w:hAnsi="Calibri" w:cs="Calibri"/>
      <w:sz w:val="20"/>
      <w:szCs w:val="20"/>
      <w:lang w:val="uk-UA" w:eastAsia="ru-RU"/>
    </w:rPr>
  </w:style>
  <w:style w:type="paragraph" w:customStyle="1" w:styleId="rvps2">
    <w:name w:val="rvps2"/>
    <w:basedOn w:val="a"/>
    <w:rsid w:val="00D8172C"/>
    <w:pPr>
      <w:spacing w:before="100" w:beforeAutospacing="1" w:after="100" w:afterAutospacing="1"/>
    </w:pPr>
    <w:rPr>
      <w:rFonts w:ascii="Times New Roman" w:eastAsia="Times New Roman" w:hAnsi="Times New Roman" w:cs="Times New Roman"/>
      <w:sz w:val="24"/>
      <w:szCs w:val="24"/>
      <w:lang w:val="ru-RU"/>
    </w:rPr>
  </w:style>
  <w:style w:type="character" w:styleId="aa">
    <w:name w:val="Hyperlink"/>
    <w:basedOn w:val="a0"/>
    <w:uiPriority w:val="99"/>
    <w:unhideWhenUsed/>
    <w:rsid w:val="008039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2D5D"/>
    <w:pPr>
      <w:spacing w:after="0" w:line="240" w:lineRule="auto"/>
    </w:pPr>
    <w:rPr>
      <w:rFonts w:ascii="Calibri" w:eastAsia="Calibri" w:hAnsi="Calibri" w:cs="Calibri"/>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9"/>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8">
    <w:name w:val="8"/>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7">
    <w:name w:val="7"/>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6">
    <w:name w:val="6"/>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5">
    <w:name w:val="5"/>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4">
    <w:name w:val="4"/>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3">
    <w:name w:val="3"/>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2">
    <w:name w:val="2"/>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1">
    <w:name w:val="1"/>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paragraph" w:styleId="a3">
    <w:name w:val="Balloon Text"/>
    <w:basedOn w:val="a"/>
    <w:link w:val="a4"/>
    <w:uiPriority w:val="99"/>
    <w:semiHidden/>
    <w:unhideWhenUsed/>
    <w:rsid w:val="00A65452"/>
    <w:rPr>
      <w:rFonts w:ascii="Segoe UI" w:hAnsi="Segoe UI" w:cs="Segoe UI"/>
      <w:sz w:val="18"/>
      <w:szCs w:val="18"/>
    </w:rPr>
  </w:style>
  <w:style w:type="character" w:customStyle="1" w:styleId="a4">
    <w:name w:val="Текст выноски Знак"/>
    <w:basedOn w:val="a0"/>
    <w:link w:val="a3"/>
    <w:uiPriority w:val="99"/>
    <w:semiHidden/>
    <w:rsid w:val="00A65452"/>
    <w:rPr>
      <w:rFonts w:ascii="Segoe UI" w:eastAsia="Calibri" w:hAnsi="Segoe UI" w:cs="Segoe UI"/>
      <w:sz w:val="18"/>
      <w:szCs w:val="18"/>
      <w:lang w:val="uk-UA" w:eastAsia="ru-RU"/>
    </w:rPr>
  </w:style>
  <w:style w:type="paragraph" w:styleId="a5">
    <w:name w:val="List Paragraph"/>
    <w:basedOn w:val="a"/>
    <w:uiPriority w:val="34"/>
    <w:qFormat/>
    <w:rsid w:val="003A79B9"/>
    <w:pPr>
      <w:ind w:left="720"/>
      <w:contextualSpacing/>
    </w:pPr>
  </w:style>
  <w:style w:type="paragraph" w:styleId="a6">
    <w:name w:val="header"/>
    <w:basedOn w:val="a"/>
    <w:link w:val="a7"/>
    <w:uiPriority w:val="99"/>
    <w:unhideWhenUsed/>
    <w:rsid w:val="00D07136"/>
    <w:pPr>
      <w:tabs>
        <w:tab w:val="center" w:pos="4677"/>
        <w:tab w:val="right" w:pos="9355"/>
      </w:tabs>
    </w:pPr>
  </w:style>
  <w:style w:type="character" w:customStyle="1" w:styleId="a7">
    <w:name w:val="Верхний колонтитул Знак"/>
    <w:basedOn w:val="a0"/>
    <w:link w:val="a6"/>
    <w:uiPriority w:val="99"/>
    <w:rsid w:val="00D07136"/>
    <w:rPr>
      <w:rFonts w:ascii="Calibri" w:eastAsia="Calibri" w:hAnsi="Calibri" w:cs="Calibri"/>
      <w:sz w:val="20"/>
      <w:szCs w:val="20"/>
      <w:lang w:val="uk-UA" w:eastAsia="ru-RU"/>
    </w:rPr>
  </w:style>
  <w:style w:type="paragraph" w:styleId="a8">
    <w:name w:val="footer"/>
    <w:basedOn w:val="a"/>
    <w:link w:val="a9"/>
    <w:uiPriority w:val="99"/>
    <w:unhideWhenUsed/>
    <w:rsid w:val="00D07136"/>
    <w:pPr>
      <w:tabs>
        <w:tab w:val="center" w:pos="4677"/>
        <w:tab w:val="right" w:pos="9355"/>
      </w:tabs>
    </w:pPr>
  </w:style>
  <w:style w:type="character" w:customStyle="1" w:styleId="a9">
    <w:name w:val="Нижний колонтитул Знак"/>
    <w:basedOn w:val="a0"/>
    <w:link w:val="a8"/>
    <w:uiPriority w:val="99"/>
    <w:rsid w:val="00D07136"/>
    <w:rPr>
      <w:rFonts w:ascii="Calibri" w:eastAsia="Calibri" w:hAnsi="Calibri" w:cs="Calibri"/>
      <w:sz w:val="20"/>
      <w:szCs w:val="20"/>
      <w:lang w:val="uk-UA" w:eastAsia="ru-RU"/>
    </w:rPr>
  </w:style>
  <w:style w:type="paragraph" w:customStyle="1" w:styleId="rvps2">
    <w:name w:val="rvps2"/>
    <w:basedOn w:val="a"/>
    <w:rsid w:val="00D8172C"/>
    <w:pPr>
      <w:spacing w:before="100" w:beforeAutospacing="1" w:after="100" w:afterAutospacing="1"/>
    </w:pPr>
    <w:rPr>
      <w:rFonts w:ascii="Times New Roman" w:eastAsia="Times New Roman" w:hAnsi="Times New Roman" w:cs="Times New Roman"/>
      <w:sz w:val="24"/>
      <w:szCs w:val="24"/>
      <w:lang w:val="ru-RU"/>
    </w:rPr>
  </w:style>
  <w:style w:type="character" w:styleId="aa">
    <w:name w:val="Hyperlink"/>
    <w:basedOn w:val="a0"/>
    <w:uiPriority w:val="99"/>
    <w:unhideWhenUsed/>
    <w:rsid w:val="00803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57745">
      <w:bodyDiv w:val="1"/>
      <w:marLeft w:val="0"/>
      <w:marRight w:val="0"/>
      <w:marTop w:val="0"/>
      <w:marBottom w:val="0"/>
      <w:divBdr>
        <w:top w:val="none" w:sz="0" w:space="0" w:color="auto"/>
        <w:left w:val="none" w:sz="0" w:space="0" w:color="auto"/>
        <w:bottom w:val="none" w:sz="0" w:space="0" w:color="auto"/>
        <w:right w:val="none" w:sz="0" w:space="0" w:color="auto"/>
      </w:divBdr>
    </w:div>
    <w:div w:id="18242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tu.gov.ua" TargetMode="External"/><Relationship Id="rId4" Type="http://schemas.microsoft.com/office/2007/relationships/stylesWithEffects" Target="stylesWithEffects.xml"/><Relationship Id="rId9" Type="http://schemas.openxmlformats.org/officeDocument/2006/relationships/hyperlink" Target="https://prom.ua/ua/p1065499884-tehnicheskaya-sol-navalom.html?&amp;primelead=Mi4w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8119-BED5-4D45-B216-0CA3A029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15757</Words>
  <Characters>8983</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Lydmila</dc:creator>
  <cp:lastModifiedBy>Томчук Юрий Иванович</cp:lastModifiedBy>
  <cp:revision>5</cp:revision>
  <cp:lastPrinted>2021-03-19T07:25:00Z</cp:lastPrinted>
  <dcterms:created xsi:type="dcterms:W3CDTF">2021-04-09T10:35:00Z</dcterms:created>
  <dcterms:modified xsi:type="dcterms:W3CDTF">2021-04-15T07:17:00Z</dcterms:modified>
</cp:coreProperties>
</file>