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96" w:rsidRPr="00C34DED" w:rsidRDefault="00703C96" w:rsidP="00703C9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БЮДЖЕТНІ ВИТРАТИ</w:t>
      </w:r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spellStart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адміністрування</w:t>
      </w:r>
      <w:proofErr w:type="spellEnd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суб’єктів</w:t>
      </w:r>
      <w:proofErr w:type="spellEnd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великого і </w:t>
      </w:r>
      <w:proofErr w:type="spellStart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середнього</w:t>
      </w:r>
      <w:proofErr w:type="spellEnd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підприємництва</w:t>
      </w:r>
      <w:proofErr w:type="spellEnd"/>
    </w:p>
    <w:p w:rsidR="00703C96" w:rsidRPr="00C34DED" w:rsidRDefault="00703C96" w:rsidP="00703C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91"/>
      <w:bookmarkEnd w:id="0"/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адміністрування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кожного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залучений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C96" w:rsidRPr="00C34DED" w:rsidRDefault="00703C96" w:rsidP="00703C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92"/>
      <w:bookmarkEnd w:id="1"/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орган, для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адміністрування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C96" w:rsidRPr="00C34DED" w:rsidRDefault="00703C96" w:rsidP="00703C9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93"/>
      <w:bookmarkEnd w:id="2"/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Державна служба України з безпеки на транспорті</w:t>
      </w:r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DE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назва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державного органу)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076"/>
        <w:gridCol w:w="1408"/>
        <w:gridCol w:w="1220"/>
        <w:gridCol w:w="1996"/>
        <w:gridCol w:w="1649"/>
      </w:tblGrid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94"/>
            <w:bookmarkEnd w:id="3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і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типового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2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на процедуру</w:t>
            </w:r>
          </w:p>
        </w:tc>
        <w:tc>
          <w:tcPr>
            <w:tcW w:w="7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плата)</w:t>
            </w:r>
          </w:p>
        </w:tc>
        <w:tc>
          <w:tcPr>
            <w:tcW w:w="6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припадають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</w:p>
        </w:tc>
        <w:tc>
          <w:tcPr>
            <w:tcW w:w="1068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підпадають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88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(за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636D79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3C96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амеральні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636D79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03C96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иїзні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="0064776A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64776A" w:rsidRPr="00C34DED" w:rsidRDefault="0064776A" w:rsidP="00D0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анулюванні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76A" w:rsidRPr="00C34DED" w:rsidRDefault="0064776A" w:rsidP="00C3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</w:p>
        </w:tc>
        <w:tc>
          <w:tcPr>
            <w:tcW w:w="432" w:type="pct"/>
            <w:hideMark/>
          </w:tcPr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A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="00834D94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7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D0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100.61</w:t>
            </w:r>
            <w:r w:rsidR="00636D79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</w:tblGrid>
            <w:tr w:rsidR="00D05FCE" w:rsidRPr="00C34DED" w:rsidTr="00D05FCE">
              <w:tc>
                <w:tcPr>
                  <w:tcW w:w="2550" w:type="dxa"/>
                  <w:vAlign w:val="center"/>
                  <w:hideMark/>
                </w:tcPr>
                <w:p w:rsidR="00D05FCE" w:rsidRPr="00C34DED" w:rsidRDefault="00D05FCE" w:rsidP="00D05FC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3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88.25</w:t>
                  </w:r>
                  <w:r w:rsidR="00636D79" w:rsidRPr="00C3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грн.</w:t>
                  </w:r>
                </w:p>
              </w:tc>
            </w:tr>
          </w:tbl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D0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30,183</w:t>
            </w:r>
            <w:r w:rsidR="00636D79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E" w:rsidRPr="00C34DED" w:rsidRDefault="00D05FCE" w:rsidP="00D0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22,063</w:t>
            </w:r>
            <w:r w:rsidR="00636D79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D05FCE" w:rsidRPr="00C34DED" w:rsidRDefault="00D05FCE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уточнити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</w:p>
        </w:tc>
        <w:tc>
          <w:tcPr>
            <w:tcW w:w="432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8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pct"/>
            <w:hideMark/>
          </w:tcPr>
          <w:p w:rsidR="00703C96" w:rsidRPr="00C34DED" w:rsidRDefault="0064776A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pct"/>
            <w:hideMark/>
          </w:tcPr>
          <w:p w:rsidR="00703C96" w:rsidRPr="00C34DED" w:rsidRDefault="00EF3654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52, 246</w:t>
            </w:r>
            <w:r w:rsidR="00636D79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703C96" w:rsidRPr="00C34DED" w:rsidTr="00D05FCE">
        <w:trPr>
          <w:jc w:val="center"/>
        </w:trPr>
        <w:tc>
          <w:tcPr>
            <w:tcW w:w="1211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432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3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pct"/>
            <w:hideMark/>
          </w:tcPr>
          <w:p w:rsidR="00703C96" w:rsidRPr="00C34DED" w:rsidRDefault="00703C96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pct"/>
            <w:hideMark/>
          </w:tcPr>
          <w:p w:rsidR="00703C96" w:rsidRPr="00C34DED" w:rsidRDefault="00EF3654" w:rsidP="00703C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261,23</w:t>
            </w:r>
            <w:r w:rsidR="00636D79" w:rsidRPr="00C3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:rsidR="00703C96" w:rsidRPr="00C34DED" w:rsidRDefault="00703C96" w:rsidP="0070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195"/>
      <w:bookmarkEnd w:id="4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Pr="00C3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*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Вартість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витрат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пов’язаних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адмініструванням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процесу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державними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органами,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визначається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шляхом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множення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фактичних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витрат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часу персоналу на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заробітну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плату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спеціаліста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відповідної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кваліфікації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та на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кількість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суб’єктів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що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підпадають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під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дію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процедури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регулювання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та на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кількість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процедур за </w:t>
      </w:r>
      <w:proofErr w:type="spellStart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рік</w:t>
      </w:r>
      <w:proofErr w:type="spellEnd"/>
      <w:r w:rsidRPr="00C34D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4D94" w:rsidRPr="00C34DED" w:rsidRDefault="00834D94">
      <w:pPr>
        <w:rPr>
          <w:rFonts w:ascii="Times New Roman" w:hAnsi="Times New Roman" w:cs="Times New Roman"/>
          <w:lang w:val="uk-UA"/>
        </w:rPr>
      </w:pPr>
      <w:r w:rsidRPr="00C34DED">
        <w:rPr>
          <w:rFonts w:ascii="Times New Roman" w:hAnsi="Times New Roman" w:cs="Times New Roman"/>
        </w:rPr>
        <w:t>**</w:t>
      </w:r>
      <w:r w:rsidRPr="00C34DED">
        <w:rPr>
          <w:rFonts w:ascii="Times New Roman" w:hAnsi="Times New Roman" w:cs="Times New Roman"/>
          <w:lang w:val="uk-UA"/>
        </w:rPr>
        <w:t xml:space="preserve"> розрахунки проводились на основі даних отриманих від Державної служби України з безпеки на транспорті</w:t>
      </w:r>
      <w:r w:rsidRPr="00834D94">
        <w:rPr>
          <w:rFonts w:ascii="Times New Roman" w:hAnsi="Times New Roman" w:cs="Times New Roman"/>
          <w:lang w:val="uk-UA"/>
        </w:rPr>
        <w:t xml:space="preserve"> </w:t>
      </w:r>
      <w:bookmarkStart w:id="5" w:name="_GoBack"/>
      <w:bookmarkEnd w:id="5"/>
    </w:p>
    <w:sectPr w:rsidR="00834D94" w:rsidRPr="00C3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6"/>
    <w:rsid w:val="00222E2F"/>
    <w:rsid w:val="002907A0"/>
    <w:rsid w:val="0031316E"/>
    <w:rsid w:val="0043543A"/>
    <w:rsid w:val="00636D79"/>
    <w:rsid w:val="0064776A"/>
    <w:rsid w:val="00703C96"/>
    <w:rsid w:val="00834D94"/>
    <w:rsid w:val="00C34DED"/>
    <w:rsid w:val="00D05FCE"/>
    <w:rsid w:val="00EA2B2E"/>
    <w:rsid w:val="00EB2019"/>
    <w:rsid w:val="00E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9C3"/>
  <w15:chartTrackingRefBased/>
  <w15:docId w15:val="{58E50E68-F79B-435C-9F93-92D5F4D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03C96"/>
  </w:style>
  <w:style w:type="paragraph" w:customStyle="1" w:styleId="rvps2">
    <w:name w:val="rvps2"/>
    <w:basedOn w:val="a"/>
    <w:rsid w:val="007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703C96"/>
  </w:style>
  <w:style w:type="paragraph" w:customStyle="1" w:styleId="rvps14">
    <w:name w:val="rvps14"/>
    <w:basedOn w:val="a"/>
    <w:rsid w:val="007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0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Onyshchenko Catherine</dc:creator>
  <cp:keywords/>
  <dc:description/>
  <cp:lastModifiedBy>Шляхта Андрій Володимирович</cp:lastModifiedBy>
  <cp:revision>6</cp:revision>
  <dcterms:created xsi:type="dcterms:W3CDTF">2021-02-10T08:18:00Z</dcterms:created>
  <dcterms:modified xsi:type="dcterms:W3CDTF">2021-02-12T11:22:00Z</dcterms:modified>
</cp:coreProperties>
</file>