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FB" w:rsidRPr="00B521FB" w:rsidRDefault="00B521FB" w:rsidP="00B521F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Toc523763918"/>
      <w:r w:rsidRPr="00B521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Додаток 4</w:t>
      </w:r>
    </w:p>
    <w:p w:rsidR="00B521FB" w:rsidRDefault="00B521FB" w:rsidP="00B521F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Pr="00B521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B521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зу впливу </w:t>
      </w:r>
      <w:r w:rsidRPr="00B521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регуляторного акта</w:t>
      </w:r>
    </w:p>
    <w:p w:rsidR="00B521FB" w:rsidRDefault="00B521FB" w:rsidP="00B5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521FB" w:rsidRPr="00B521FB" w:rsidRDefault="00B521FB" w:rsidP="00B5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0F77" w:rsidRPr="009B72B8" w:rsidRDefault="00D30F77" w:rsidP="00D30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72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ТЕСТ малого підприємництва (М-Тест)</w:t>
      </w:r>
      <w:bookmarkEnd w:id="0"/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00"/>
      <w:bookmarkEnd w:id="1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201"/>
      <w:bookmarkEnd w:id="2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</w:t>
      </w:r>
      <w:r w:rsidR="0041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розробником у період з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1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2018 року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 вересня 2018 р</w:t>
      </w:r>
      <w:r w:rsidR="0041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F77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721"/>
        <w:gridCol w:w="1811"/>
        <w:gridCol w:w="2192"/>
      </w:tblGrid>
      <w:tr w:rsidR="00D30F77" w:rsidRPr="00354231" w:rsidTr="00D30F77">
        <w:trPr>
          <w:jc w:val="center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202"/>
            <w:bookmarkEnd w:id="3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D30F77" w:rsidRPr="00354231" w:rsidTr="00D30F77">
        <w:trPr>
          <w:jc w:val="center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 зустрічі з представниками 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міжнародної технічної допомоги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Отримано рекомендації щодо імплементації Регламенту (ЄС) 1071/2009</w:t>
            </w:r>
          </w:p>
        </w:tc>
      </w:tr>
      <w:tr w:rsidR="00D30F77" w:rsidRPr="00354231" w:rsidTr="00D30F77">
        <w:trPr>
          <w:jc w:val="center"/>
        </w:trPr>
        <w:tc>
          <w:tcPr>
            <w:tcW w:w="867" w:type="pct"/>
            <w:tcBorders>
              <w:top w:val="single" w:sz="4" w:space="0" w:color="auto"/>
            </w:tcBorders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 зустрічі з іншими центральними органами виконавчої влади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консультації щодо методів впровадження ліцензійних умов, передбачених Регламентом (ЕС) 1071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/2009</w:t>
            </w:r>
          </w:p>
        </w:tc>
      </w:tr>
      <w:tr w:rsidR="00D30F77" w:rsidRPr="00354231" w:rsidTr="00D30F77">
        <w:trPr>
          <w:jc w:val="center"/>
        </w:trPr>
        <w:tc>
          <w:tcPr>
            <w:tcW w:w="867" w:type="pct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1" w:type="pct"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представниками бізнес-середовища</w:t>
            </w:r>
          </w:p>
        </w:tc>
        <w:tc>
          <w:tcPr>
            <w:tcW w:w="969" w:type="pct"/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3" w:type="pct"/>
            <w:shd w:val="clear" w:color="auto" w:fill="auto"/>
          </w:tcPr>
          <w:p w:rsidR="00D30F77" w:rsidRPr="00354231" w:rsidRDefault="004106A2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Регуляторний вплив проєкту З</w:t>
            </w:r>
            <w:r w:rsidR="00D30F77"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акону</w:t>
            </w:r>
          </w:p>
        </w:tc>
      </w:tr>
      <w:tr w:rsidR="00D30F77" w:rsidRPr="00354231" w:rsidTr="00D30F77">
        <w:trPr>
          <w:jc w:val="center"/>
        </w:trPr>
        <w:tc>
          <w:tcPr>
            <w:tcW w:w="867" w:type="pct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1" w:type="pct"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Запити до Державної служби статистики України</w:t>
            </w:r>
          </w:p>
        </w:tc>
        <w:tc>
          <w:tcPr>
            <w:tcW w:w="969" w:type="pct"/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Отримано статистичні відомості </w:t>
            </w:r>
          </w:p>
        </w:tc>
      </w:tr>
    </w:tbl>
    <w:p w:rsidR="00D30F77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203"/>
      <w:bookmarkEnd w:id="4"/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Вимірювання впливу регулювання на суб’єктів малого підприємництва (мікро- та малі):</w:t>
      </w:r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204"/>
      <w:bookmarkEnd w:id="5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кількість суб’єктів малого підприємництва, на яких поширюється регулювання: 55 308 (одиниць), у тому числі мікропідприємництва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54231">
        <w:rPr>
          <w:rFonts w:ascii="Times New Roman" w:eastAsia="Calibri" w:hAnsi="Times New Roman" w:cs="Times New Roman"/>
          <w:sz w:val="28"/>
          <w:szCs w:val="28"/>
        </w:rPr>
        <w:t>53 822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(одиниць);</w:t>
      </w:r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205"/>
      <w:bookmarkEnd w:id="6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63,8% (відсотків) (відповідно до таблиці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суб’єктів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F77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206"/>
      <w:bookmarkEnd w:id="7"/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p w:rsidR="00D30F77" w:rsidRPr="00354231" w:rsidRDefault="00D30F77" w:rsidP="00D30F7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520"/>
        <w:gridCol w:w="1718"/>
        <w:gridCol w:w="1356"/>
        <w:gridCol w:w="1278"/>
      </w:tblGrid>
      <w:tr w:rsidR="00D30F77" w:rsidRPr="00354231" w:rsidTr="00D30F77">
        <w:trPr>
          <w:trHeight w:val="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n207"/>
            <w:bookmarkEnd w:id="8"/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за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п’ять років</w:t>
            </w:r>
          </w:p>
        </w:tc>
      </w:tr>
      <w:tr w:rsidR="00D30F77" w:rsidRPr="00354231" w:rsidTr="00D30F77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77" w:rsidRPr="00354231" w:rsidRDefault="004106A2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«прямих»</w:t>
            </w:r>
            <w:r w:rsidR="00D30F77"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tcBorders>
              <w:top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необхідного обладнання (пристроїв, машин, механізмів)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кількість необхідних одиниць обладнання Х вартість одиниці</w:t>
            </w:r>
          </w:p>
        </w:tc>
        <w:tc>
          <w:tcPr>
            <w:tcW w:w="900" w:type="pct"/>
            <w:tcBorders>
              <w:top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</w:t>
            </w: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суб’єкту малого підприємництва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експлуатації обладнання (експлуатаційні витрати – витратні матеріали)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 (уточнити)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(сума рядків 1 + 2 + 3 + 4 + 5)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150" w:type="pct"/>
            <w:gridSpan w:val="3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55 308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Сумарно, гривень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відповідний стовпчик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  кількість </w:t>
            </w: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0" w:type="pct"/>
            <w:gridSpan w:val="5"/>
            <w:hideMark/>
          </w:tcPr>
          <w:p w:rsidR="00D30F77" w:rsidRDefault="00D30F77" w:rsidP="00D30F77">
            <w:pPr>
              <w:spacing w:after="0" w:line="240" w:lineRule="auto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D30F77" w:rsidRPr="00354231" w:rsidRDefault="00D30F77" w:rsidP="00D30F77">
            <w:pPr>
              <w:spacing w:after="0" w:line="240" w:lineRule="auto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офіційного звітування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</w:t>
            </w: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 щодо забезпечення процесу перевірок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shd w:val="clear" w:color="auto" w:fill="auto"/>
            <w:hideMark/>
          </w:tcPr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7A6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процедури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отримання адміністративних послуг (ліцензій)</w:t>
            </w:r>
          </w:p>
        </w:tc>
        <w:tc>
          <w:tcPr>
            <w:tcW w:w="900" w:type="pct"/>
            <w:shd w:val="clear" w:color="auto" w:fill="auto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0" w:type="pct"/>
            <w:shd w:val="clear" w:color="auto" w:fill="auto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50" w:type="pct"/>
            <w:shd w:val="clear" w:color="auto" w:fill="auto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7A6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Разом, гривень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(сума рядків 9 + 10 + 11 + 12 + 13)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050" w:type="pct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51 450**</w:t>
            </w:r>
          </w:p>
        </w:tc>
        <w:tc>
          <w:tcPr>
            <w:tcW w:w="70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51 450**</w:t>
            </w:r>
          </w:p>
        </w:tc>
        <w:tc>
          <w:tcPr>
            <w:tcW w:w="550" w:type="pct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51 450**</w:t>
            </w:r>
          </w:p>
        </w:tc>
      </w:tr>
      <w:tr w:rsidR="00D30F77" w:rsidRPr="00354231" w:rsidTr="00D30F77">
        <w:trPr>
          <w:trHeight w:val="15"/>
        </w:trPr>
        <w:tc>
          <w:tcPr>
            <w:tcW w:w="500" w:type="pct"/>
            <w:shd w:val="clear" w:color="auto" w:fill="FFFFFF"/>
            <w:hideMark/>
          </w:tcPr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shd w:val="clear" w:color="auto" w:fill="FFFFFF"/>
            <w:hideMark/>
          </w:tcPr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Сумарно, гривень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:rsidR="00D30F77" w:rsidRPr="00354231" w:rsidRDefault="00D30F77" w:rsidP="00D30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900" w:type="pct"/>
            <w:shd w:val="clear" w:color="auto" w:fill="FFFFFF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Pr="00354231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vAlign w:val="bottom"/>
            <w:hideMark/>
          </w:tcPr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</w:t>
            </w: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6A2" w:rsidRDefault="004106A2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Pr="0035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F77" w:rsidRPr="00354231" w:rsidRDefault="00D30F77" w:rsidP="00D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* Враховуючи 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4231">
        <w:rPr>
          <w:rFonts w:ascii="Times New Roman" w:eastAsia="Calibri" w:hAnsi="Times New Roman" w:cs="Times New Roman"/>
          <w:sz w:val="28"/>
          <w:szCs w:val="28"/>
        </w:rPr>
        <w:t>, що вартість ліцензії на перевезення закріплена на рівні одного прожиткового мінімуму (з 01.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54231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у розмірі </w:t>
      </w:r>
      <w:r>
        <w:rPr>
          <w:rFonts w:ascii="Times New Roman" w:eastAsia="Calibri" w:hAnsi="Times New Roman" w:cs="Times New Roman"/>
          <w:sz w:val="28"/>
          <w:szCs w:val="28"/>
        </w:rPr>
        <w:t>2027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 грн). Подальша вартість ліцензії залежати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="00093EC9">
        <w:rPr>
          <w:rFonts w:ascii="Times New Roman" w:eastAsia="Calibri" w:hAnsi="Times New Roman" w:cs="Times New Roman"/>
          <w:sz w:val="28"/>
          <w:szCs w:val="28"/>
        </w:rPr>
        <w:t xml:space="preserve"> від установленого з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аконом України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54231">
        <w:rPr>
          <w:rFonts w:ascii="Times New Roman" w:eastAsia="Calibri" w:hAnsi="Times New Roman" w:cs="Times New Roman"/>
          <w:sz w:val="28"/>
          <w:szCs w:val="28"/>
        </w:rPr>
        <w:t xml:space="preserve">ро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54231">
        <w:rPr>
          <w:rFonts w:ascii="Times New Roman" w:eastAsia="Calibri" w:hAnsi="Times New Roman" w:cs="Times New Roman"/>
          <w:sz w:val="28"/>
          <w:szCs w:val="28"/>
        </w:rPr>
        <w:t>ержавний бюджет України на відповідний період показника прожиткового мінімуму.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Calibri" w:hAnsi="Times New Roman" w:cs="Times New Roman"/>
          <w:sz w:val="28"/>
          <w:szCs w:val="28"/>
        </w:rPr>
        <w:t>**За вищевказаними розрахунками, с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уб’єкти господарської діяльності, що здійснюють внутрішні перевезення вантажів без отримання ліцензії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</w:t>
      </w:r>
      <w:r w:rsidRPr="00354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450.</w:t>
      </w:r>
    </w:p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орієнтовна кількість автотранспортних засобів, за допомогою яких провадиться діяльність у сфері надання послуг з перевезень пасажирів і вантажів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близько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одиниць. Згідно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09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один менеджер (управитель) може обслуговувати не більше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транспортних засобів. </w:t>
      </w:r>
    </w:p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існує необхідність у видачі свідоцтв професійної компетентності для 7 000 менеджерів (управителів) з перевезень. </w:t>
      </w:r>
    </w:p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потреби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 та (або) екзаменування 30 менеджерів 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по 3 групи впродовж короткотермінових курсів за 3 місяці (4 випуски за рік) необхідним є функціонування не менше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10 центрів з видачі свідоцтв професійної компетентності, діяльність яких визначатиметься окремим підзаконним актом. Центри з видачі свідоцтв професійної  компетентності є уповноважен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компетентним органом суб’єкт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господарювання будь-якої форми власності. </w:t>
      </w:r>
    </w:p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підготовка усіх менеджерів (управителів) з перевезень може бути проведена впродовж одного року.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ведені дані враховують максимально можливу кількість менеджерів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потребують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підготовки. 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коефіцієнт варіації щодо зменшення кількості менеджерів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потребують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зменшуватис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особливостей проє</w:t>
      </w:r>
      <w:bookmarkStart w:id="9" w:name="_GoBack"/>
      <w:bookmarkEnd w:id="9"/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 визначено: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перехідний період впровадження норм;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можливість отримання свідоцтва професійної компетентності без підготовки шляхом складання іспитів;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можливість отримання свідоцтва професійної компетентності без складання іспитів у разі підтвердження досвіду управління діяльністю з перевезення пасажирів та (або) вантажів;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дії свідоцтва професійної компетентності – 10 років.</w:t>
      </w:r>
    </w:p>
    <w:p w:rsidR="00D30F77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слід зазначити, що для відповідності 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професійної компетентності автомобільному перевізнику необхідно буде забезпечити складання відповідного іспиту та отримання свідоцтва професійної компетентності особою, відповідальною за організацію та управління транспортною діяльністю. 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частина автомобільних перевізників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зазнають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свідоцтва професійної компетентності менеджером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перевезень за результатами складання іспитів. Зазначені витрати прямо пов’язані з ціною на послуги центрів з видачі свідоцтв професійної компетентності.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ціна на підготовку і складання іспитів буде формуватися на ринкових засадах та визначатиметься кожним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центрів окремо. 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більшість перевізників отримають свідоцтво професійної компетентності без складання іспитів, як це передбачено перехідними положеннями до Закону України «Про автомобільний транспорт», зазначеними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кті Закону. Такі перевізників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зазнають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витрат у сумі 200 –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(за оціночними даними) один раз на 10 років,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справляють істотн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суб’єкт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підприємництва. </w:t>
      </w:r>
    </w:p>
    <w:p w:rsidR="00D30F77" w:rsidRPr="00354231" w:rsidRDefault="00D30F77" w:rsidP="00D3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Будь-які обов’язкові державні платежі або збори, пов’язані з </w:t>
      </w:r>
      <w:r w:rsidR="004106A2"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видачою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свідоцтва професійної компетентності менеджера (управителя) з перевезень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r w:rsidRPr="003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Закону не передбачені. </w:t>
      </w:r>
    </w:p>
    <w:sectPr w:rsidR="00D30F77" w:rsidRPr="00354231" w:rsidSect="00716A9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50" w:rsidRDefault="00672A50">
      <w:pPr>
        <w:spacing w:after="0" w:line="240" w:lineRule="auto"/>
      </w:pPr>
      <w:r>
        <w:separator/>
      </w:r>
    </w:p>
  </w:endnote>
  <w:endnote w:type="continuationSeparator" w:id="0">
    <w:p w:rsidR="00672A50" w:rsidRDefault="0067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50" w:rsidRDefault="00672A50">
      <w:pPr>
        <w:spacing w:after="0" w:line="240" w:lineRule="auto"/>
      </w:pPr>
      <w:r>
        <w:separator/>
      </w:r>
    </w:p>
  </w:footnote>
  <w:footnote w:type="continuationSeparator" w:id="0">
    <w:p w:rsidR="00672A50" w:rsidRDefault="0067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6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0F77" w:rsidRPr="009B4814" w:rsidRDefault="00D30F7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6F4" w:rsidRPr="005E76F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9B4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0F77" w:rsidRDefault="00D30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7"/>
    <w:rsid w:val="00075749"/>
    <w:rsid w:val="00093EC9"/>
    <w:rsid w:val="00240939"/>
    <w:rsid w:val="004106A2"/>
    <w:rsid w:val="005E76F4"/>
    <w:rsid w:val="00672A50"/>
    <w:rsid w:val="00691645"/>
    <w:rsid w:val="00716A97"/>
    <w:rsid w:val="007A65DC"/>
    <w:rsid w:val="00A366A9"/>
    <w:rsid w:val="00B521FB"/>
    <w:rsid w:val="00D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3783"/>
  <w15:chartTrackingRefBased/>
  <w15:docId w15:val="{448A1D74-27CE-4175-8EF3-A314992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F77"/>
  </w:style>
  <w:style w:type="paragraph" w:styleId="a5">
    <w:name w:val="Balloon Text"/>
    <w:basedOn w:val="a"/>
    <w:link w:val="a6"/>
    <w:uiPriority w:val="99"/>
    <w:semiHidden/>
    <w:unhideWhenUsed/>
    <w:rsid w:val="0071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5857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Юсина Лидия</cp:lastModifiedBy>
  <cp:revision>2</cp:revision>
  <cp:lastPrinted>2020-01-14T07:57:00Z</cp:lastPrinted>
  <dcterms:created xsi:type="dcterms:W3CDTF">2020-01-14T13:06:00Z</dcterms:created>
  <dcterms:modified xsi:type="dcterms:W3CDTF">2020-01-14T13:06:00Z</dcterms:modified>
</cp:coreProperties>
</file>