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E2" w:rsidRDefault="00BA36E2" w:rsidP="000C5E4F">
      <w:pPr>
        <w:pStyle w:val="7"/>
        <w:tabs>
          <w:tab w:val="left" w:pos="851"/>
        </w:tabs>
        <w:ind w:left="5103"/>
        <w:jc w:val="both"/>
        <w:rPr>
          <w:szCs w:val="24"/>
        </w:rPr>
      </w:pPr>
      <w:bookmarkStart w:id="0" w:name="_GoBack"/>
      <w:bookmarkEnd w:id="0"/>
      <w:r w:rsidRPr="00FE443B">
        <w:rPr>
          <w:lang w:val="uk-UA"/>
        </w:rPr>
        <w:t>Додаток</w:t>
      </w:r>
      <w:r w:rsidRPr="00FE443B">
        <w:rPr>
          <w:lang w:val="uk-UA"/>
        </w:rPr>
        <w:br/>
        <w:t>до</w:t>
      </w:r>
      <w:r>
        <w:t xml:space="preserve"> </w:t>
      </w:r>
      <w:r w:rsidRPr="0060120E">
        <w:rPr>
          <w:szCs w:val="24"/>
          <w:lang w:val="uk-UA"/>
        </w:rPr>
        <w:t>пояснювальн</w:t>
      </w:r>
      <w:r>
        <w:rPr>
          <w:szCs w:val="24"/>
          <w:lang w:val="uk-UA"/>
        </w:rPr>
        <w:t>ої</w:t>
      </w:r>
      <w:r w:rsidRPr="0060120E">
        <w:rPr>
          <w:szCs w:val="24"/>
          <w:lang w:val="uk-UA"/>
        </w:rPr>
        <w:t xml:space="preserve"> записк</w:t>
      </w:r>
      <w:r>
        <w:rPr>
          <w:szCs w:val="24"/>
          <w:lang w:val="uk-UA"/>
        </w:rPr>
        <w:t xml:space="preserve">и </w:t>
      </w:r>
      <w:r w:rsidRPr="0060120E">
        <w:rPr>
          <w:szCs w:val="24"/>
        </w:rPr>
        <w:t>до проєкту Закону України «</w:t>
      </w:r>
      <w:r w:rsidRPr="00DE2360">
        <w:rPr>
          <w:szCs w:val="24"/>
        </w:rPr>
        <w:t>Про внесення змін до Закону України «Про автомобільний транспорт» щодо стимулювання використання транспортних засобів, оснащених електричними двигунами»</w:t>
      </w:r>
    </w:p>
    <w:p w:rsidR="00BA36E2" w:rsidRPr="00DE2360" w:rsidRDefault="00BA36E2" w:rsidP="00BA36E2">
      <w:pPr>
        <w:pStyle w:val="7"/>
        <w:tabs>
          <w:tab w:val="left" w:pos="851"/>
        </w:tabs>
        <w:ind w:left="4962"/>
        <w:jc w:val="both"/>
        <w:rPr>
          <w:color w:val="333333"/>
          <w:shd w:val="clear" w:color="auto" w:fill="FFFFFF"/>
          <w:lang w:val="uk-UA"/>
        </w:rPr>
      </w:pPr>
      <w:r w:rsidRPr="00DE2360">
        <w:rPr>
          <w:b/>
          <w:sz w:val="28"/>
          <w:szCs w:val="28"/>
          <w:lang w:val="uk-UA"/>
        </w:rPr>
        <w:br/>
      </w:r>
    </w:p>
    <w:p w:rsidR="00BA36E2" w:rsidRDefault="00BA36E2" w:rsidP="00BA3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Довідкові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 інші інформаційно-аналітичні матеріали, </w:t>
      </w:r>
    </w:p>
    <w:p w:rsidR="00BA36E2" w:rsidRDefault="00BA36E2" w:rsidP="00BA36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1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 обґрунтовують необхідність прийняття акта</w:t>
      </w:r>
    </w:p>
    <w:p w:rsidR="00BA36E2" w:rsidRDefault="00BA36E2" w:rsidP="00BA36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2EF5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даними Держстату України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>при порівнянні даних за 2016 та 2019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 xml:space="preserve">викидів забруднюючих речовин </w:t>
      </w:r>
      <w:r>
        <w:rPr>
          <w:rFonts w:ascii="Times New Roman" w:hAnsi="Times New Roman" w:cs="Times New Roman"/>
          <w:sz w:val="28"/>
          <w:szCs w:val="28"/>
        </w:rPr>
        <w:t>в атмосферне повітря</w:t>
      </w:r>
      <w:r w:rsidRPr="00521980">
        <w:rPr>
          <w:rFonts w:ascii="Times New Roman" w:hAnsi="Times New Roman" w:cs="Times New Roman"/>
          <w:sz w:val="28"/>
          <w:szCs w:val="28"/>
        </w:rPr>
        <w:t xml:space="preserve"> від автомобільного транспорту розрахован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21980">
        <w:rPr>
          <w:rFonts w:ascii="Times New Roman" w:hAnsi="Times New Roman" w:cs="Times New Roman"/>
          <w:sz w:val="28"/>
          <w:szCs w:val="28"/>
        </w:rPr>
        <w:t xml:space="preserve">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80">
        <w:rPr>
          <w:rFonts w:ascii="Times New Roman" w:hAnsi="Times New Roman" w:cs="Times New Roman"/>
          <w:sz w:val="28"/>
          <w:szCs w:val="28"/>
        </w:rPr>
        <w:t>Севастополя та частини тимчасово окупованих територій у Донецькій та Луганській област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7D1E40">
        <w:rPr>
          <w:rFonts w:ascii="Times New Roman" w:hAnsi="Times New Roman" w:cs="Times New Roman"/>
          <w:sz w:val="28"/>
          <w:szCs w:val="28"/>
        </w:rPr>
        <w:t>прослідковується</w:t>
      </w:r>
      <w:r>
        <w:rPr>
          <w:rFonts w:ascii="Times New Roman" w:hAnsi="Times New Roman" w:cs="Times New Roman"/>
          <w:sz w:val="28"/>
          <w:szCs w:val="28"/>
        </w:rPr>
        <w:t xml:space="preserve"> негативна тенденція до зростання викидів забруднюючих речовин. Так за 2016 рік було здійснено сумарний викид забруднюючих речовин у розмірі </w:t>
      </w:r>
      <w:r w:rsidRPr="0060120E">
        <w:rPr>
          <w:rFonts w:ascii="Times New Roman" w:hAnsi="Times New Roman" w:cs="Times New Roman"/>
          <w:bCs/>
          <w:sz w:val="28"/>
          <w:szCs w:val="28"/>
        </w:rPr>
        <w:t>160851</w:t>
      </w:r>
      <w:r>
        <w:rPr>
          <w:rFonts w:ascii="Times New Roman" w:hAnsi="Times New Roman" w:cs="Times New Roman"/>
          <w:bCs/>
          <w:sz w:val="28"/>
          <w:szCs w:val="28"/>
        </w:rPr>
        <w:t xml:space="preserve">7 т, а за 2019 – </w:t>
      </w:r>
      <w:r w:rsidRPr="0060120E">
        <w:rPr>
          <w:rFonts w:ascii="Times New Roman" w:hAnsi="Times New Roman" w:cs="Times New Roman"/>
          <w:bCs/>
          <w:color w:val="000000"/>
          <w:sz w:val="28"/>
          <w:szCs w:val="28"/>
        </w:rPr>
        <w:t>1648827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 У перерахунку обсягів викидів на одну особу це становитиме 37,7 кг та 39,2 кг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відповідно. Окремо слід зазначити статистику за 2020 рік, в якому </w:t>
      </w:r>
      <w:r>
        <w:rPr>
          <w:rFonts w:ascii="Times New Roman" w:hAnsi="Times New Roman"/>
          <w:sz w:val="28"/>
          <w:szCs w:val="28"/>
        </w:rPr>
        <w:t xml:space="preserve">у зв’язку з пандемією </w:t>
      </w:r>
      <w:r w:rsidRPr="00596AC2">
        <w:rPr>
          <w:rFonts w:ascii="Times New Roman" w:hAnsi="Times New Roman"/>
          <w:sz w:val="28"/>
          <w:szCs w:val="28"/>
        </w:rPr>
        <w:t xml:space="preserve">викликаною </w:t>
      </w:r>
      <w:r w:rsidRPr="00596AC2">
        <w:rPr>
          <w:rFonts w:ascii="Times New Roman" w:hAnsi="Times New Roman"/>
          <w:sz w:val="28"/>
          <w:szCs w:val="28"/>
          <w:shd w:val="clear" w:color="auto" w:fill="FFFFFF"/>
        </w:rPr>
        <w:t>коронавірусною хворобою 2019 (</w:t>
      </w:r>
      <w:r w:rsidRPr="00596AC2">
        <w:rPr>
          <w:rStyle w:val="a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COVID</w:t>
      </w:r>
      <w:r w:rsidRPr="00596AC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96AC2">
        <w:rPr>
          <w:rStyle w:val="a7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19</w:t>
      </w:r>
      <w:r w:rsidRPr="00596AC2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обмежувальними заходами та зростанням у зв’язку з цим використання приватного транспорту кількість </w:t>
      </w:r>
      <w:r>
        <w:rPr>
          <w:rFonts w:ascii="Times New Roman" w:hAnsi="Times New Roman"/>
          <w:sz w:val="28"/>
          <w:szCs w:val="28"/>
        </w:rPr>
        <w:t xml:space="preserve">викидів забруднюючих речовин </w:t>
      </w:r>
      <w:r w:rsidRPr="00596AC2">
        <w:rPr>
          <w:rFonts w:ascii="Times New Roman" w:hAnsi="Times New Roman"/>
          <w:sz w:val="28"/>
          <w:szCs w:val="28"/>
        </w:rPr>
        <w:t>в атмосферне повітря від автомобільного транспорту</w:t>
      </w:r>
      <w:r>
        <w:rPr>
          <w:rFonts w:ascii="Times New Roman" w:hAnsi="Times New Roman"/>
          <w:sz w:val="28"/>
          <w:szCs w:val="28"/>
        </w:rPr>
        <w:t xml:space="preserve"> різко зросла на 10,5% від рівня 2016 року до 1778659 т (попередні дані). Іншими словами зростання кількості викидів лише за 2020 рік було в 3 рази більшим ніж сумарно за чотири попередні роки разом взяті. В перерахунку на особу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обсягів викидів в 2020 році зріс до 42,6 кг. </w:t>
      </w:r>
      <w:r>
        <w:rPr>
          <w:rFonts w:ascii="Times New Roman" w:hAnsi="Times New Roman"/>
          <w:sz w:val="28"/>
          <w:szCs w:val="28"/>
        </w:rPr>
        <w:t>При цьому робота автомобільного транспорту у сфері громадських перевезень за 2020 рік склала лише 56,4% у порівнянні з 2019 роком, що демонструє залежність зростання викидів від зменшення роботи громадського транспорту і зворотну тенденцію щодо зменшення викидів при збільшенні роботи громадського транспорту.</w:t>
      </w:r>
    </w:p>
    <w:p w:rsidR="00BA36E2" w:rsidRPr="008A6BFF" w:rsidRDefault="00BA36E2" w:rsidP="00BA36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A6BF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BFF">
        <w:rPr>
          <w:rFonts w:ascii="Times New Roman" w:hAnsi="Times New Roman"/>
          <w:sz w:val="28"/>
          <w:szCs w:val="28"/>
        </w:rPr>
        <w:t>нижченаведеній таблиці відображені дані щодо викидів забруднюючих речовин від автомобільного транспорту і розраховані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</w:t>
      </w:r>
      <w:r w:rsidR="007D1E40">
        <w:rPr>
          <w:rFonts w:ascii="Times New Roman" w:hAnsi="Times New Roman"/>
          <w:sz w:val="28"/>
          <w:szCs w:val="28"/>
        </w:rPr>
        <w:t xml:space="preserve"> </w:t>
      </w:r>
      <w:r w:rsidRPr="008A6BFF">
        <w:rPr>
          <w:rFonts w:ascii="Times New Roman" w:hAnsi="Times New Roman"/>
          <w:sz w:val="28"/>
          <w:szCs w:val="28"/>
        </w:rPr>
        <w:t xml:space="preserve">Севастополя та частини тимчасово окупованих територій у Донецькій та Луганській областях. </w:t>
      </w:r>
    </w:p>
    <w:p w:rsidR="00BA36E2" w:rsidRDefault="00BA36E2" w:rsidP="00BA36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6BFF">
        <w:rPr>
          <w:rFonts w:ascii="Times New Roman" w:hAnsi="Times New Roman"/>
          <w:sz w:val="28"/>
          <w:szCs w:val="28"/>
        </w:rPr>
        <w:t xml:space="preserve">За умови </w:t>
      </w:r>
      <w:r>
        <w:rPr>
          <w:rFonts w:ascii="Times New Roman" w:hAnsi="Times New Roman"/>
          <w:sz w:val="28"/>
          <w:szCs w:val="28"/>
        </w:rPr>
        <w:t xml:space="preserve">належного та достатнього розвитку громадського транспорту значно зменшиться використання приватного транспорту для перевезення пасажирів, що спричинить зменшення попиту на пальне для автомобілів з </w:t>
      </w:r>
      <w:r>
        <w:rPr>
          <w:rFonts w:ascii="Times New Roman" w:hAnsi="Times New Roman"/>
          <w:sz w:val="28"/>
          <w:szCs w:val="28"/>
        </w:rPr>
        <w:lastRenderedPageBreak/>
        <w:t xml:space="preserve">двигунами внутрішнього згорання та як наслідок зменшиться кількість викидів забруднюючих речовин в атмосферне повітря від автомобільного  транспорту.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418"/>
        <w:gridCol w:w="1134"/>
        <w:gridCol w:w="992"/>
        <w:gridCol w:w="872"/>
      </w:tblGrid>
      <w:tr w:rsidR="00BA36E2" w:rsidRPr="008A6BFF" w:rsidTr="002F664B">
        <w:tc>
          <w:tcPr>
            <w:tcW w:w="1980" w:type="dxa"/>
            <w:vMerge w:val="restart"/>
          </w:tcPr>
          <w:p w:rsidR="00BA36E2" w:rsidRPr="00221B2C" w:rsidRDefault="00BA36E2" w:rsidP="002F664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A36E2" w:rsidRPr="00221B2C" w:rsidRDefault="00BA36E2" w:rsidP="002F664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викидів забруднюючих речовин, т </w:t>
            </w:r>
          </w:p>
        </w:tc>
        <w:tc>
          <w:tcPr>
            <w:tcW w:w="2998" w:type="dxa"/>
            <w:gridSpan w:val="3"/>
          </w:tcPr>
          <w:p w:rsidR="00BA36E2" w:rsidRPr="00221B2C" w:rsidRDefault="00BA36E2" w:rsidP="002F664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викидів забруднюючих речовин на одну особу, кг     </w:t>
            </w:r>
          </w:p>
        </w:tc>
      </w:tr>
      <w:tr w:rsidR="00BA36E2" w:rsidRPr="008A6BFF" w:rsidTr="002F664B">
        <w:tc>
          <w:tcPr>
            <w:tcW w:w="1980" w:type="dxa"/>
            <w:vMerge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9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8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134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872" w:type="dxa"/>
          </w:tcPr>
          <w:p w:rsidR="00BA36E2" w:rsidRPr="00221B2C" w:rsidRDefault="00BA36E2" w:rsidP="002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1608516,6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1648827,0</w:t>
            </w:r>
          </w:p>
        </w:tc>
        <w:tc>
          <w:tcPr>
            <w:tcW w:w="1418" w:type="dxa"/>
            <w:vAlign w:val="bottom"/>
          </w:tcPr>
          <w:p w:rsidR="00BA36E2" w:rsidRPr="007655F1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F1">
              <w:rPr>
                <w:rFonts w:ascii="Times New Roman" w:hAnsi="Times New Roman" w:cs="Times New Roman"/>
                <w:b/>
                <w:sz w:val="24"/>
                <w:szCs w:val="24"/>
              </w:rPr>
              <w:t>1778659,0</w:t>
            </w: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872" w:type="dxa"/>
            <w:vAlign w:val="bottom"/>
          </w:tcPr>
          <w:p w:rsidR="00BA36E2" w:rsidRPr="007655F1" w:rsidRDefault="00BA36E2" w:rsidP="002F66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5F1"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діоксид сірки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17637,5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19803,2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оксид вуглецю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1227084,7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1255224,6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діоксид азоту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164288,3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178778,1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оксид азоту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839,9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  <w:vAlign w:val="bottom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неметанові леткі</w:t>
            </w:r>
            <w:r w:rsidRPr="00221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органічні сполуки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170602,0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162622,1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аміак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метан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5068,7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5128,4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E2" w:rsidRPr="008A6BFF" w:rsidTr="002F664B">
        <w:tc>
          <w:tcPr>
            <w:tcW w:w="1980" w:type="dxa"/>
          </w:tcPr>
          <w:p w:rsidR="00BA36E2" w:rsidRPr="00221B2C" w:rsidRDefault="00BA36E2" w:rsidP="002F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sz w:val="24"/>
                <w:szCs w:val="24"/>
              </w:rPr>
              <w:t> сажа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122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22986,8</w:t>
            </w:r>
          </w:p>
        </w:tc>
        <w:tc>
          <w:tcPr>
            <w:tcW w:w="1559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26465,7</w:t>
            </w:r>
          </w:p>
        </w:tc>
        <w:tc>
          <w:tcPr>
            <w:tcW w:w="1418" w:type="dxa"/>
            <w:vAlign w:val="bottom"/>
          </w:tcPr>
          <w:p w:rsidR="00BA36E2" w:rsidRPr="00221B2C" w:rsidRDefault="00BA36E2" w:rsidP="002F664B">
            <w:pPr>
              <w:ind w:left="-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72" w:type="dxa"/>
            <w:vAlign w:val="bottom"/>
          </w:tcPr>
          <w:p w:rsidR="00BA36E2" w:rsidRPr="00221B2C" w:rsidRDefault="00BA36E2" w:rsidP="002F6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E2" w:rsidRPr="008A6BFF" w:rsidRDefault="00BA36E2" w:rsidP="00BA36E2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7655F1">
        <w:rPr>
          <w:rFonts w:ascii="Times New Roman" w:hAnsi="Times New Roman"/>
          <w:sz w:val="24"/>
          <w:szCs w:val="24"/>
        </w:rPr>
        <w:t>попередні дані</w:t>
      </w:r>
    </w:p>
    <w:p w:rsidR="00BA36E2" w:rsidRDefault="00BA36E2" w:rsidP="00BA3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Крім викидів забруднюючих речовин, автомобільний транспорт з кожної тони </w:t>
      </w:r>
      <w:r w:rsidRPr="0060120E">
        <w:rPr>
          <w:rFonts w:ascii="Times New Roman" w:hAnsi="Times New Roman" w:cs="Times New Roman"/>
          <w:sz w:val="28"/>
          <w:szCs w:val="28"/>
        </w:rPr>
        <w:t>спожито бензину моторного та газойлю (палива дизельного) здійснює викид в атмосферне повітря 3183 кг вуглекислого газу (СО2). В річному обсягу лише автомобільним транспортом протягом 2019 року в атмосферне повітря, внаслідок споживання бензину та газойлю було викинуто 5398000*3,183= 17181834 тон вуглекислого газу (СО2).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0E">
        <w:rPr>
          <w:rFonts w:ascii="Times New Roman" w:hAnsi="Times New Roman" w:cs="Times New Roman"/>
          <w:sz w:val="28"/>
          <w:szCs w:val="28"/>
        </w:rPr>
        <w:t xml:space="preserve">розрахунковими даними наведеними ДП «Укравтогаз» НАК «Нафтогаз України» </w:t>
      </w:r>
      <w:r w:rsidRPr="00F12EF5">
        <w:rPr>
          <w:rFonts w:ascii="Times New Roman" w:hAnsi="Times New Roman" w:cs="Times New Roman"/>
          <w:sz w:val="28"/>
          <w:szCs w:val="28"/>
        </w:rPr>
        <w:t>за спалювання 1 тони газу, у якості моторного палива, здійснюється викид 2,5 тони вуглекислого газу (СО2); від споживання газу автомобільним транспортом протягом 2019 року в атмосферне повітря було викинуто біля 4500000 тон вуглекислого газу (СО2).</w:t>
      </w:r>
    </w:p>
    <w:p w:rsidR="00BA36E2" w:rsidRPr="00393023" w:rsidRDefault="00BA36E2" w:rsidP="00BA36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Дані з відкритих джерел засвідчують, що столиця України місто Київ, не маючи на своїй території великих промислових забруднювачів</w:t>
      </w:r>
      <w:r w:rsidR="007D1E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як металургійні чи гірничо-збагачувальні комбінати, шахти, нафтопереробні заводи чи заводи з переробки хімічної промисловості і тому подібне, а лише завдяки викидам автомобільного транспорту постійно знаходиться біля першої десятки найбільш забруднених міст світу. При цьому за кількістю мешканців Київ посідає місце в кінці першої сотні найбільш чисельних міст світу, відповідно і кількість автомобільного транспорту в столиці України є меншою за кількість автомобілів у багатьох десятків інших міст світу. Однак старий вік транспортних засобів, та відповідно їх технічний стан призводять до такої кількості викидів </w:t>
      </w:r>
      <w:r w:rsidRPr="00393023">
        <w:rPr>
          <w:rFonts w:ascii="Times New Roman" w:hAnsi="Times New Roman" w:cs="Times New Roman"/>
          <w:iCs/>
          <w:sz w:val="28"/>
          <w:szCs w:val="28"/>
        </w:rPr>
        <w:t>забруднюючих речовин в атмосферне повітря</w:t>
      </w:r>
      <w:r w:rsidRPr="00393023">
        <w:rPr>
          <w:rFonts w:ascii="Times New Roman" w:hAnsi="Times New Roman" w:cs="Times New Roman"/>
          <w:sz w:val="28"/>
          <w:szCs w:val="28"/>
          <w:shd w:val="clear" w:color="auto" w:fill="FFFFFF"/>
        </w:rPr>
        <w:t>, що Київ входить до когорти найбільш брудних міст світу.</w:t>
      </w:r>
    </w:p>
    <w:p w:rsidR="00BA36E2" w:rsidRDefault="00BA36E2" w:rsidP="00BA3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BD">
        <w:rPr>
          <w:rFonts w:ascii="Times New Roman" w:hAnsi="Times New Roman" w:cs="Times New Roman"/>
          <w:sz w:val="28"/>
          <w:szCs w:val="28"/>
        </w:rPr>
        <w:t>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BD">
        <w:rPr>
          <w:rFonts w:ascii="Times New Roman" w:hAnsi="Times New Roman" w:cs="Times New Roman"/>
          <w:sz w:val="28"/>
          <w:szCs w:val="28"/>
        </w:rPr>
        <w:t>даних з відкритих джерел</w:t>
      </w:r>
      <w:r w:rsidR="007D1E40">
        <w:rPr>
          <w:rFonts w:ascii="Times New Roman" w:hAnsi="Times New Roman" w:cs="Times New Roman"/>
          <w:sz w:val="28"/>
          <w:szCs w:val="28"/>
        </w:rPr>
        <w:t>,</w:t>
      </w:r>
      <w:r w:rsidRPr="00EA02BD">
        <w:rPr>
          <w:rFonts w:ascii="Times New Roman" w:hAnsi="Times New Roman" w:cs="Times New Roman"/>
          <w:sz w:val="28"/>
          <w:szCs w:val="28"/>
        </w:rPr>
        <w:t xml:space="preserve"> експлуатаційні витрати автобуса вартістю 200 тис. ЄВРО з дизельним двигуном у місті Львів становлять 1450 тис. грн, експлуатаційні витрати електробуса вартістю 300 тис. ЄВРО на тому ж маршруті (пробіг 200 км на день) становлять лише 297 тис. грн. Різниця в експлуатаційних витратах (1150 тис. грн, або біля 34 тис. ЄВРО) дозволяє за 3 роки експлуатації електробуса покрити різницю вартості електробуса та автобуса. Ця ж пропорція є справедливою для будь-яких інших одиниць автомобілів та електромобілів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6E2" w:rsidRPr="00221B2C" w:rsidRDefault="00BA36E2" w:rsidP="00BA36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B2C">
        <w:rPr>
          <w:rFonts w:ascii="Times New Roman" w:hAnsi="Times New Roman"/>
          <w:sz w:val="28"/>
          <w:szCs w:val="28"/>
          <w:shd w:val="clear" w:color="auto" w:fill="FFFFFF"/>
        </w:rPr>
        <w:t>За даними Мінінфраструктури станом на 01.01.2020 в автомобільних парках перевізників налічується 51909 одиниць автобусів, які до 01.01.2030 необхідно замінити на електробуси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Умова, за якої парк автомобільного перевізника має складатися з не менш як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дев’яноста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 xml:space="preserve"> відсотків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електробусів вітчизняного виробництва, на частку яких має припадати не менше восьмидесяти п’яти 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>відсотків місць для сидіння пасажирів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із загального числа </w:t>
      </w:r>
      <w:r w:rsidRPr="00951DEC">
        <w:rPr>
          <w:rFonts w:ascii="Times New Roman" w:hAnsi="Times New Roman"/>
          <w:sz w:val="28"/>
          <w:szCs w:val="28"/>
          <w:shd w:val="clear" w:color="auto" w:fill="FFFFFF"/>
        </w:rPr>
        <w:t>місць для сидіння пасажирів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якими обладнаний парк електробусів перевізника</w:t>
      </w:r>
      <w:r w:rsidR="007D1E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буде стимулювати розвиток вітчизняного автомобілебудування. Згідно інформації</w:t>
      </w:r>
      <w:r w:rsidR="007D1E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отриманої в робочому порядку від представників вітчизняного автомобілебудування</w:t>
      </w:r>
      <w:r w:rsidR="007D1E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сумарна потужність виробництва вітчизняних виробників на сьогодні може коливатися біля однієї тисячі електробусів на рік та може бути збільшена протягом 2-3 років до десяти тисяч електробусів на рік, що є достатнім для повної заміни парку автобусів перевізників на електробуси протягом 5-ти років.</w:t>
      </w:r>
    </w:p>
    <w:p w:rsidR="00BA36E2" w:rsidRDefault="00BA36E2" w:rsidP="00BA36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Вищевикладене засвідчує, що реалізація закону </w:t>
      </w:r>
      <w:r w:rsidRPr="00887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матиме позитивний вплив на ринкове середовище, забезпечення захисту прав та інтересів суб’єктів господарювання, громадян і держави; громадське здоров’я, покращення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36E2" w:rsidRDefault="00BA36E2" w:rsidP="00BA36E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36E2" w:rsidRPr="00887D23" w:rsidRDefault="00BA36E2" w:rsidP="00BA36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EA5B4F" w:rsidRPr="00BA36E2" w:rsidRDefault="00EA5B4F" w:rsidP="00BA36E2"/>
    <w:sectPr w:rsidR="00EA5B4F" w:rsidRPr="00BA36E2" w:rsidSect="00887D2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86" w:rsidRDefault="003B4286" w:rsidP="00887D23">
      <w:pPr>
        <w:spacing w:after="0" w:line="240" w:lineRule="auto"/>
      </w:pPr>
      <w:r>
        <w:separator/>
      </w:r>
    </w:p>
  </w:endnote>
  <w:endnote w:type="continuationSeparator" w:id="0">
    <w:p w:rsidR="003B4286" w:rsidRDefault="003B4286" w:rsidP="0088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86" w:rsidRDefault="003B4286" w:rsidP="00887D23">
      <w:pPr>
        <w:spacing w:after="0" w:line="240" w:lineRule="auto"/>
      </w:pPr>
      <w:r>
        <w:separator/>
      </w:r>
    </w:p>
  </w:footnote>
  <w:footnote w:type="continuationSeparator" w:id="0">
    <w:p w:rsidR="003B4286" w:rsidRDefault="003B4286" w:rsidP="0088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052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7D23" w:rsidRPr="00887D23" w:rsidRDefault="00887D2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7D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42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7D23" w:rsidRDefault="00887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E"/>
    <w:rsid w:val="000C5E4F"/>
    <w:rsid w:val="00221B2C"/>
    <w:rsid w:val="00270047"/>
    <w:rsid w:val="003B4286"/>
    <w:rsid w:val="003E33C9"/>
    <w:rsid w:val="004329C5"/>
    <w:rsid w:val="004360C4"/>
    <w:rsid w:val="00597AA6"/>
    <w:rsid w:val="0060120E"/>
    <w:rsid w:val="00662F0A"/>
    <w:rsid w:val="006D4268"/>
    <w:rsid w:val="006E0355"/>
    <w:rsid w:val="007655F1"/>
    <w:rsid w:val="007C3B6C"/>
    <w:rsid w:val="007D1A51"/>
    <w:rsid w:val="007D1E40"/>
    <w:rsid w:val="00887D23"/>
    <w:rsid w:val="008D6D8C"/>
    <w:rsid w:val="009205AF"/>
    <w:rsid w:val="00936D25"/>
    <w:rsid w:val="00A13928"/>
    <w:rsid w:val="00BA36E2"/>
    <w:rsid w:val="00BE0727"/>
    <w:rsid w:val="00C052B9"/>
    <w:rsid w:val="00C5668A"/>
    <w:rsid w:val="00C80A52"/>
    <w:rsid w:val="00C857A6"/>
    <w:rsid w:val="00DE2360"/>
    <w:rsid w:val="00E67FBB"/>
    <w:rsid w:val="00EA02BD"/>
    <w:rsid w:val="00EA5B4F"/>
    <w:rsid w:val="00F1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5451A-5C01-42AB-82EF-FCDEE42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E2"/>
  </w:style>
  <w:style w:type="paragraph" w:styleId="7">
    <w:name w:val="heading 7"/>
    <w:basedOn w:val="a"/>
    <w:next w:val="a"/>
    <w:link w:val="70"/>
    <w:unhideWhenUsed/>
    <w:qFormat/>
    <w:rsid w:val="006012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120E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Default">
    <w:name w:val="Default"/>
    <w:rsid w:val="00270047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7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7D23"/>
  </w:style>
  <w:style w:type="paragraph" w:styleId="a5">
    <w:name w:val="footer"/>
    <w:basedOn w:val="a"/>
    <w:link w:val="a6"/>
    <w:uiPriority w:val="99"/>
    <w:unhideWhenUsed/>
    <w:rsid w:val="00887D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87D23"/>
  </w:style>
  <w:style w:type="character" w:styleId="a7">
    <w:name w:val="Emphasis"/>
    <w:basedOn w:val="a0"/>
    <w:uiPriority w:val="20"/>
    <w:qFormat/>
    <w:rsid w:val="00DE2360"/>
    <w:rPr>
      <w:i/>
      <w:iCs/>
    </w:rPr>
  </w:style>
  <w:style w:type="table" w:styleId="a8">
    <w:name w:val="Table Grid"/>
    <w:basedOn w:val="a1"/>
    <w:uiPriority w:val="39"/>
    <w:rsid w:val="0022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Маштабей Сергій Валентинович</dc:creator>
  <cp:keywords/>
  <dc:description/>
  <cp:lastModifiedBy>Маштабей Сергій Валентинович</cp:lastModifiedBy>
  <cp:revision>2</cp:revision>
  <dcterms:created xsi:type="dcterms:W3CDTF">2021-07-06T09:14:00Z</dcterms:created>
  <dcterms:modified xsi:type="dcterms:W3CDTF">2021-07-06T09:14:00Z</dcterms:modified>
</cp:coreProperties>
</file>