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C0" w:rsidRPr="00DA42C0" w:rsidRDefault="00DA42C0" w:rsidP="00DA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     Додаток </w:t>
      </w:r>
    </w:p>
    <w:p w:rsidR="00DA42C0" w:rsidRPr="00DA42C0" w:rsidRDefault="00DA42C0" w:rsidP="00DA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2C0" w:rsidRPr="00DA42C0" w:rsidRDefault="009A626B" w:rsidP="00DA4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Деталізація показників</w:t>
      </w:r>
      <w:r w:rsidR="00DA42C0" w:rsidRPr="00DA42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фінансово-економічних розрахунків</w:t>
      </w:r>
    </w:p>
    <w:p w:rsidR="00DA42C0" w:rsidRPr="00DA42C0" w:rsidRDefault="00DA42C0" w:rsidP="00DA4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26A7" w:rsidRPr="00DA42C0" w:rsidRDefault="001926A7" w:rsidP="00DA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2C0">
        <w:rPr>
          <w:rFonts w:ascii="Times New Roman" w:hAnsi="Times New Roman" w:cs="Times New Roman"/>
          <w:sz w:val="28"/>
          <w:szCs w:val="28"/>
          <w:lang w:val="uk-UA"/>
        </w:rPr>
        <w:t>У р</w:t>
      </w:r>
      <w:r w:rsidR="00DA42C0" w:rsidRPr="00DA42C0">
        <w:rPr>
          <w:rFonts w:ascii="Times New Roman" w:hAnsi="Times New Roman" w:cs="Times New Roman"/>
          <w:sz w:val="28"/>
          <w:szCs w:val="28"/>
          <w:lang w:val="uk-UA"/>
        </w:rPr>
        <w:t>азі прийняття проекту Закону</w:t>
      </w:r>
      <w:r w:rsidR="009A6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морських портів України матиме змогу залучити додаткові ресурси для реалізації ряду </w:t>
      </w:r>
      <w:r w:rsidR="006C659F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перспективних </w:t>
      </w:r>
      <w:r w:rsidR="00D23E06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спільних 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проектів, що направлені на розвиток та підвищення </w:t>
      </w:r>
      <w:r w:rsidR="00396596" w:rsidRPr="00DA42C0">
        <w:rPr>
          <w:rFonts w:ascii="Times New Roman" w:hAnsi="Times New Roman" w:cs="Times New Roman"/>
          <w:sz w:val="28"/>
          <w:szCs w:val="28"/>
          <w:lang w:val="uk-UA"/>
        </w:rPr>
        <w:t>ефективності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26B">
        <w:rPr>
          <w:rFonts w:ascii="Times New Roman" w:hAnsi="Times New Roman" w:cs="Times New Roman"/>
          <w:sz w:val="28"/>
          <w:szCs w:val="28"/>
          <w:lang w:val="uk-UA"/>
        </w:rPr>
        <w:t xml:space="preserve">своєї 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D23E06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, а також розвитку </w:t>
      </w:r>
      <w:proofErr w:type="spellStart"/>
      <w:r w:rsidR="00D23E06" w:rsidRPr="00DA42C0">
        <w:rPr>
          <w:rFonts w:ascii="Times New Roman" w:hAnsi="Times New Roman" w:cs="Times New Roman"/>
          <w:sz w:val="28"/>
          <w:szCs w:val="28"/>
          <w:lang w:val="uk-UA"/>
        </w:rPr>
        <w:t>морегосподарського</w:t>
      </w:r>
      <w:proofErr w:type="spellEnd"/>
      <w:r w:rsidR="00D23E06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в цілому</w:t>
      </w:r>
      <w:r w:rsidR="00396596" w:rsidRPr="00DA42C0">
        <w:rPr>
          <w:rFonts w:ascii="Times New Roman" w:hAnsi="Times New Roman" w:cs="Times New Roman"/>
          <w:sz w:val="28"/>
          <w:szCs w:val="28"/>
          <w:lang w:val="uk-UA"/>
        </w:rPr>
        <w:t>. Реалізація цих проектів призведе до збільшення вантажообігу, створення нових робочих місць, та, у підсумку, до збільшення надходжень до бюджетів всіх рівнів.</w:t>
      </w:r>
    </w:p>
    <w:p w:rsidR="009A626B" w:rsidRPr="009A626B" w:rsidRDefault="009A626B" w:rsidP="0039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</w:pPr>
      <w:r w:rsidRPr="009A626B">
        <w:rPr>
          <w:rFonts w:ascii="Times New Roman" w:hAnsi="Times New Roman" w:cs="Times New Roman"/>
          <w:sz w:val="28"/>
          <w:szCs w:val="28"/>
          <w:lang w:val="uk-UA"/>
        </w:rPr>
        <w:t xml:space="preserve">З метою здійснення розрахунків для отримання даних, які увійшли до фінансово-економічних розрахунків взято </w:t>
      </w:r>
      <w:r w:rsidRPr="009A62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 xml:space="preserve">інфраструктурні проекти морських портів, що реалізуються </w:t>
      </w:r>
      <w:r w:rsidR="006E6E2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 xml:space="preserve">за участю </w:t>
      </w:r>
      <w:r w:rsidRPr="009A62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>ДП «АМПУ» та інвестор</w:t>
      </w:r>
      <w:r w:rsidR="006E6E2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>ів відповідно до планів розвитку морських портів</w:t>
      </w:r>
      <w:r w:rsidRPr="009A62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uk-UA"/>
        </w:rPr>
        <w:t>:</w:t>
      </w:r>
    </w:p>
    <w:p w:rsidR="00396596" w:rsidRPr="009A626B" w:rsidRDefault="00396596" w:rsidP="009A626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6B">
        <w:rPr>
          <w:rFonts w:ascii="Times New Roman" w:hAnsi="Times New Roman" w:cs="Times New Roman"/>
          <w:sz w:val="28"/>
          <w:szCs w:val="28"/>
          <w:lang w:val="uk-UA"/>
        </w:rPr>
        <w:t xml:space="preserve">Перевантажувальний комплекс зерна в тилу причалу №1-з в районі </w:t>
      </w:r>
      <w:proofErr w:type="spellStart"/>
      <w:r w:rsidRPr="009A626B">
        <w:rPr>
          <w:rFonts w:ascii="Times New Roman" w:hAnsi="Times New Roman" w:cs="Times New Roman"/>
          <w:sz w:val="28"/>
          <w:szCs w:val="28"/>
          <w:lang w:val="uk-UA"/>
        </w:rPr>
        <w:t>Андросівського</w:t>
      </w:r>
      <w:proofErr w:type="spellEnd"/>
      <w:r w:rsidRPr="009A6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26B">
        <w:rPr>
          <w:rFonts w:ascii="Times New Roman" w:hAnsi="Times New Roman" w:cs="Times New Roman"/>
          <w:sz w:val="28"/>
          <w:szCs w:val="28"/>
          <w:lang w:val="uk-UA"/>
        </w:rPr>
        <w:t>молу</w:t>
      </w:r>
      <w:proofErr w:type="spellEnd"/>
      <w:r w:rsidRPr="009A626B">
        <w:rPr>
          <w:rFonts w:ascii="Times New Roman" w:hAnsi="Times New Roman" w:cs="Times New Roman"/>
          <w:sz w:val="28"/>
          <w:szCs w:val="28"/>
          <w:lang w:val="uk-UA"/>
        </w:rPr>
        <w:t xml:space="preserve"> в морському порту Одеса.</w:t>
      </w:r>
    </w:p>
    <w:p w:rsidR="00396596" w:rsidRPr="00DA42C0" w:rsidRDefault="00D23E06" w:rsidP="009A626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</w:t>
      </w:r>
      <w:r w:rsidR="00396596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зернового терміналу на території 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96596" w:rsidRPr="00DA42C0">
        <w:rPr>
          <w:rFonts w:ascii="Times New Roman" w:hAnsi="Times New Roman" w:cs="Times New Roman"/>
          <w:sz w:val="28"/>
          <w:szCs w:val="28"/>
          <w:lang w:val="uk-UA"/>
        </w:rPr>
        <w:t> «Маріупольський морський торговельний порт» (COFCO+ДП).</w:t>
      </w:r>
    </w:p>
    <w:p w:rsidR="00396596" w:rsidRPr="00DA42C0" w:rsidRDefault="00396596" w:rsidP="009A626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першої черги (гідротехнічні споруди) контейнерного терміналу на Карантинному </w:t>
      </w:r>
      <w:proofErr w:type="spellStart"/>
      <w:r w:rsidRPr="00DA42C0">
        <w:rPr>
          <w:rFonts w:ascii="Times New Roman" w:hAnsi="Times New Roman" w:cs="Times New Roman"/>
          <w:sz w:val="28"/>
          <w:szCs w:val="28"/>
          <w:lang w:val="uk-UA"/>
        </w:rPr>
        <w:t>молу</w:t>
      </w:r>
      <w:proofErr w:type="spellEnd"/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в морському порту Одеса.</w:t>
      </w:r>
    </w:p>
    <w:p w:rsidR="00396596" w:rsidRPr="00DA42C0" w:rsidRDefault="00396596" w:rsidP="009A626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2C0">
        <w:rPr>
          <w:rFonts w:ascii="Times New Roman" w:hAnsi="Times New Roman" w:cs="Times New Roman"/>
          <w:sz w:val="28"/>
          <w:szCs w:val="28"/>
          <w:lang w:val="uk-UA"/>
        </w:rPr>
        <w:t>Будівництво універсального перевантажувального комплексу зернових або генеральних чи наливних вантажів в тилу причалу № 8 морського порту Миколаїв.</w:t>
      </w:r>
    </w:p>
    <w:p w:rsidR="00396596" w:rsidRPr="00DA42C0" w:rsidRDefault="00396596" w:rsidP="009A626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2C0">
        <w:rPr>
          <w:rFonts w:ascii="Times New Roman" w:hAnsi="Times New Roman" w:cs="Times New Roman"/>
          <w:sz w:val="28"/>
          <w:szCs w:val="28"/>
          <w:lang w:val="uk-UA"/>
        </w:rPr>
        <w:t>Будівництво універсального перевантажувального комплексу наливних та/або генеральних вантажів в тилу причалу № 8 морського порту Миколаїв.</w:t>
      </w:r>
    </w:p>
    <w:p w:rsidR="00396596" w:rsidRPr="00DA42C0" w:rsidRDefault="00396596" w:rsidP="009A626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</w:t>
      </w:r>
      <w:proofErr w:type="spellStart"/>
      <w:r w:rsidRPr="00DA42C0">
        <w:rPr>
          <w:rFonts w:ascii="Times New Roman" w:hAnsi="Times New Roman" w:cs="Times New Roman"/>
          <w:sz w:val="28"/>
          <w:szCs w:val="28"/>
          <w:lang w:val="uk-UA"/>
        </w:rPr>
        <w:t>зерноперевантажувального</w:t>
      </w:r>
      <w:proofErr w:type="spellEnd"/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в тилу причалу № 7 морського порту Одеса.</w:t>
      </w:r>
    </w:p>
    <w:p w:rsidR="00396596" w:rsidRPr="00DA42C0" w:rsidRDefault="00396596" w:rsidP="009A626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2C0">
        <w:rPr>
          <w:rFonts w:ascii="Times New Roman" w:hAnsi="Times New Roman" w:cs="Times New Roman"/>
          <w:sz w:val="28"/>
          <w:szCs w:val="28"/>
          <w:lang w:val="uk-UA"/>
        </w:rPr>
        <w:t>Реконструкція операційної акваторії вздовж причалів №№ 14-17 та будівництво зернового терміналу (</w:t>
      </w:r>
      <w:proofErr w:type="spellStart"/>
      <w:r w:rsidRPr="00DA42C0">
        <w:rPr>
          <w:rFonts w:ascii="Times New Roman" w:hAnsi="Times New Roman" w:cs="Times New Roman"/>
          <w:sz w:val="28"/>
          <w:szCs w:val="28"/>
          <w:lang w:val="uk-UA"/>
        </w:rPr>
        <w:t>Kernel</w:t>
      </w:r>
      <w:proofErr w:type="spellEnd"/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23E06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>морськом</w:t>
      </w:r>
      <w:r w:rsidR="00D23E06" w:rsidRPr="00DA42C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порту Чорноморськ.</w:t>
      </w:r>
    </w:p>
    <w:p w:rsidR="00396596" w:rsidRPr="00DA42C0" w:rsidRDefault="00396596" w:rsidP="009A626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Спільний проект ДП «Адміністрація морських портів України» та «Дельта </w:t>
      </w:r>
      <w:proofErr w:type="spellStart"/>
      <w:r w:rsidRPr="00DA42C0">
        <w:rPr>
          <w:rFonts w:ascii="Times New Roman" w:hAnsi="Times New Roman" w:cs="Times New Roman"/>
          <w:sz w:val="28"/>
          <w:szCs w:val="28"/>
          <w:lang w:val="uk-UA"/>
        </w:rPr>
        <w:t>Вілмар</w:t>
      </w:r>
      <w:proofErr w:type="spellEnd"/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» у морському порту  </w:t>
      </w:r>
      <w:proofErr w:type="spellStart"/>
      <w:r w:rsidRPr="00DA42C0">
        <w:rPr>
          <w:rFonts w:ascii="Times New Roman" w:hAnsi="Times New Roman" w:cs="Times New Roman"/>
          <w:sz w:val="28"/>
          <w:szCs w:val="28"/>
          <w:lang w:val="uk-UA"/>
        </w:rPr>
        <w:t>Південий</w:t>
      </w:r>
      <w:proofErr w:type="spellEnd"/>
      <w:r w:rsidRPr="00DA42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6596" w:rsidRPr="00DA42C0" w:rsidRDefault="00396596" w:rsidP="009A626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2C0">
        <w:rPr>
          <w:rFonts w:ascii="Times New Roman" w:hAnsi="Times New Roman" w:cs="Times New Roman"/>
          <w:sz w:val="28"/>
          <w:szCs w:val="28"/>
          <w:lang w:val="uk-UA"/>
        </w:rPr>
        <w:t>Розрахунок загального ефекту для бюджету наведено у таблиці нижче.</w:t>
      </w:r>
    </w:p>
    <w:p w:rsidR="009A626B" w:rsidRDefault="009A626B" w:rsidP="00396596">
      <w:pPr>
        <w:pStyle w:val="a4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6596" w:rsidRPr="00DA42C0" w:rsidRDefault="006E6E27" w:rsidP="003965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96596" w:rsidRPr="00DA42C0">
        <w:rPr>
          <w:rFonts w:ascii="Times New Roman" w:hAnsi="Times New Roman" w:cs="Times New Roman"/>
          <w:sz w:val="28"/>
          <w:szCs w:val="28"/>
          <w:lang w:val="uk-UA"/>
        </w:rPr>
        <w:t>озрахунок загального ефекту для бюджету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1"/>
        <w:gridCol w:w="1687"/>
        <w:gridCol w:w="1424"/>
        <w:gridCol w:w="1263"/>
      </w:tblGrid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2020 рік, </w:t>
            </w:r>
          </w:p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2021 рік, тис. грн.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2022 рік, тис. грн.</w:t>
            </w:r>
          </w:p>
        </w:tc>
      </w:tr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Нарахування: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Запланований прибуток до оподаткування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2 157 </w:t>
            </w: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2 287 404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2 482 254</w:t>
            </w:r>
          </w:p>
        </w:tc>
      </w:tr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Податок на прибуток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388 355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411 733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446 806</w:t>
            </w:r>
          </w:p>
        </w:tc>
      </w:tr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Чистий прибуток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1 769 175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1 875 672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2 035 448</w:t>
            </w:r>
          </w:p>
        </w:tc>
      </w:tr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Сплата: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Податок на прибуток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291 267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405 888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438 037</w:t>
            </w:r>
          </w:p>
        </w:tc>
      </w:tr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62090B" w:rsidRDefault="001926A7" w:rsidP="0039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Дивіденди</w:t>
            </w: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 xml:space="preserve"> 50%</w:t>
            </w:r>
            <w:r w:rsidR="0062090B" w:rsidRPr="006209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663 440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924 524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997 752</w:t>
            </w:r>
          </w:p>
        </w:tc>
      </w:tr>
      <w:tr w:rsidR="001926A7" w:rsidRPr="00DA42C0" w:rsidTr="003932B9">
        <w:trPr>
          <w:trHeight w:val="315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Дивіденди</w:t>
            </w: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 xml:space="preserve"> 30%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398 064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554 714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598 651</w:t>
            </w:r>
          </w:p>
        </w:tc>
      </w:tr>
      <w:tr w:rsidR="001926A7" w:rsidRPr="00DA42C0" w:rsidTr="003932B9">
        <w:trPr>
          <w:trHeight w:val="315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Зменшення надходжень до бюджету 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(265 376)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(369 809)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(399 101)</w:t>
            </w:r>
          </w:p>
        </w:tc>
      </w:tr>
      <w:tr w:rsidR="001926A7" w:rsidRPr="00DA42C0" w:rsidTr="006C659F">
        <w:trPr>
          <w:trHeight w:val="117"/>
        </w:trPr>
        <w:tc>
          <w:tcPr>
            <w:tcW w:w="4971" w:type="dxa"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разі впровадження проектів: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прибуток до оподаткування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269 360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533 235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944 781</w:t>
            </w:r>
          </w:p>
        </w:tc>
      </w:tr>
      <w:tr w:rsidR="001926A7" w:rsidRPr="00DA42C0" w:rsidTr="003932B9">
        <w:trPr>
          <w:trHeight w:val="234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Податок на прибуток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48 485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95 982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170 061</w:t>
            </w:r>
          </w:p>
        </w:tc>
      </w:tr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Чистий прибуток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220 875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437 253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774 721</w:t>
            </w:r>
          </w:p>
        </w:tc>
      </w:tr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Додаткові надходження до бюджету: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Податок на прибуток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36 364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84 108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151 541</w:t>
            </w:r>
          </w:p>
        </w:tc>
      </w:tr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Див</w:t>
            </w:r>
            <w:r w:rsidRPr="00DA4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денди 30%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49 697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114 947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207 106</w:t>
            </w:r>
          </w:p>
        </w:tc>
      </w:tr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Надходження до </w:t>
            </w: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бюджету </w:t>
            </w: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рахунок прибутку та дивідендів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86 061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199 055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358 647</w:t>
            </w:r>
          </w:p>
        </w:tc>
      </w:tr>
      <w:tr w:rsidR="001926A7" w:rsidRPr="00DA42C0" w:rsidTr="003932B9">
        <w:trPr>
          <w:trHeight w:val="300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Адміністративній збір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7 244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11 534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21 817</w:t>
            </w:r>
          </w:p>
        </w:tc>
      </w:tr>
      <w:tr w:rsidR="001926A7" w:rsidRPr="00DA42C0" w:rsidTr="003932B9">
        <w:trPr>
          <w:trHeight w:val="315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Податок на доходи фізичних осіб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12 131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23 209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61 935</w:t>
            </w:r>
          </w:p>
        </w:tc>
      </w:tr>
      <w:tr w:rsidR="001926A7" w:rsidRPr="00DA42C0" w:rsidTr="003932B9">
        <w:trPr>
          <w:trHeight w:val="375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ВСЬОГО</w:t>
            </w: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ДОДАТКОВІ НАДХОДЖЕННЯ ДО БЮДЖЕТУ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105 436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233 798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442 399</w:t>
            </w:r>
          </w:p>
        </w:tc>
      </w:tr>
      <w:tr w:rsidR="001926A7" w:rsidRPr="00DA42C0" w:rsidTr="006C659F">
        <w:trPr>
          <w:trHeight w:val="161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6A7" w:rsidRPr="00DA42C0" w:rsidTr="003932B9">
        <w:trPr>
          <w:trHeight w:val="315"/>
        </w:trPr>
        <w:tc>
          <w:tcPr>
            <w:tcW w:w="4971" w:type="dxa"/>
            <w:hideMark/>
          </w:tcPr>
          <w:p w:rsidR="001926A7" w:rsidRPr="00DA42C0" w:rsidRDefault="001926A7" w:rsidP="003932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Загальний ефект </w:t>
            </w: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бюджету</w:t>
            </w:r>
          </w:p>
        </w:tc>
        <w:tc>
          <w:tcPr>
            <w:tcW w:w="1687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(159 940)</w:t>
            </w:r>
          </w:p>
        </w:tc>
        <w:tc>
          <w:tcPr>
            <w:tcW w:w="1424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(136 011)</w:t>
            </w:r>
          </w:p>
        </w:tc>
        <w:tc>
          <w:tcPr>
            <w:tcW w:w="1263" w:type="dxa"/>
            <w:hideMark/>
          </w:tcPr>
          <w:p w:rsidR="001926A7" w:rsidRPr="00DA42C0" w:rsidRDefault="001926A7" w:rsidP="00393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43 298</w:t>
            </w:r>
          </w:p>
        </w:tc>
      </w:tr>
    </w:tbl>
    <w:p w:rsidR="006E6E27" w:rsidRPr="0062090B" w:rsidRDefault="0062090B" w:rsidP="0039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2090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62090B">
        <w:rPr>
          <w:rFonts w:ascii="Times New Roman" w:hAnsi="Times New Roman" w:cs="Times New Roman"/>
          <w:sz w:val="26"/>
          <w:szCs w:val="26"/>
          <w:lang w:val="uk-UA"/>
        </w:rPr>
        <w:t xml:space="preserve"> - при підготовці проекту фінансового плану ДП «АМПУ» на 2020 рік передбачено відрахування частини чистого прибутку на рівні 50 %.</w:t>
      </w:r>
    </w:p>
    <w:p w:rsidR="0062090B" w:rsidRDefault="0062090B" w:rsidP="0039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90B" w:rsidRDefault="0062090B" w:rsidP="0039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E27" w:rsidRDefault="00396596" w:rsidP="0039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2C0">
        <w:rPr>
          <w:rFonts w:ascii="Times New Roman" w:hAnsi="Times New Roman" w:cs="Times New Roman"/>
          <w:sz w:val="28"/>
          <w:szCs w:val="28"/>
          <w:lang w:val="uk-UA"/>
        </w:rPr>
        <w:t>Звертаємо увагу, що у наведеному розрахунку</w:t>
      </w:r>
      <w:r w:rsidR="00D23E06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враховані надходження</w:t>
      </w:r>
      <w:r w:rsidR="00FB376F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до бюджету за рахунок додатково отриманих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76F" w:rsidRPr="00DA42C0">
        <w:rPr>
          <w:rFonts w:ascii="Times New Roman" w:hAnsi="Times New Roman" w:cs="Times New Roman"/>
          <w:sz w:val="28"/>
          <w:szCs w:val="28"/>
          <w:lang w:val="uk-UA"/>
        </w:rPr>
        <w:t>ДП «</w:t>
      </w:r>
      <w:r w:rsidR="006E6E27">
        <w:rPr>
          <w:rFonts w:ascii="Times New Roman" w:hAnsi="Times New Roman" w:cs="Times New Roman"/>
          <w:sz w:val="28"/>
          <w:szCs w:val="28"/>
          <w:lang w:val="uk-UA"/>
        </w:rPr>
        <w:t>АМПУ</w:t>
      </w:r>
      <w:r w:rsidR="00FB376F" w:rsidRPr="00DA42C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42C0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надходжень</w:t>
      </w:r>
      <w:r w:rsidR="00FB376F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від портових зборів та </w:t>
      </w:r>
      <w:r w:rsidR="00D23E06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послуги доступу </w:t>
      </w:r>
      <w:r w:rsidR="006E6E27">
        <w:rPr>
          <w:rFonts w:ascii="Times New Roman" w:hAnsi="Times New Roman" w:cs="Times New Roman"/>
          <w:sz w:val="28"/>
          <w:szCs w:val="28"/>
          <w:lang w:val="uk-UA"/>
        </w:rPr>
        <w:t xml:space="preserve">портового </w:t>
      </w:r>
      <w:r w:rsidR="00D23E06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оператора до причалу, </w:t>
      </w:r>
      <w:r w:rsidR="006E6E27">
        <w:rPr>
          <w:rFonts w:ascii="Times New Roman" w:hAnsi="Times New Roman" w:cs="Times New Roman"/>
          <w:sz w:val="28"/>
          <w:szCs w:val="28"/>
          <w:lang w:val="uk-UA"/>
        </w:rPr>
        <w:t>а також подат</w:t>
      </w:r>
      <w:r w:rsidR="00FB376F" w:rsidRPr="00DA42C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E6E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B376F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з доходів фізичних осіб </w:t>
      </w:r>
      <w:r w:rsidR="00D23E06" w:rsidRPr="00DA42C0">
        <w:rPr>
          <w:rFonts w:ascii="Times New Roman" w:hAnsi="Times New Roman" w:cs="Times New Roman"/>
          <w:sz w:val="28"/>
          <w:szCs w:val="28"/>
          <w:lang w:val="uk-UA"/>
        </w:rPr>
        <w:t>за рахунок створення нових робочих місць</w:t>
      </w:r>
      <w:r w:rsidR="00930854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приватним інвестором</w:t>
      </w:r>
      <w:r w:rsidR="00FB376F" w:rsidRPr="00DA42C0">
        <w:rPr>
          <w:rFonts w:ascii="Times New Roman" w:hAnsi="Times New Roman" w:cs="Times New Roman"/>
          <w:sz w:val="28"/>
          <w:szCs w:val="28"/>
          <w:lang w:val="uk-UA"/>
        </w:rPr>
        <w:t>. При цьому у розрахунку</w:t>
      </w:r>
      <w:r w:rsidR="00D23E06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не враховані </w:t>
      </w:r>
      <w:r w:rsidR="003932B9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надходження до 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3932B9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у за рахунок приватних інвесторів та 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>підрядників</w:t>
      </w:r>
      <w:r w:rsidR="00D23E06" w:rsidRPr="00DA42C0">
        <w:rPr>
          <w:rFonts w:ascii="Times New Roman" w:hAnsi="Times New Roman" w:cs="Times New Roman"/>
          <w:sz w:val="28"/>
          <w:szCs w:val="28"/>
          <w:lang w:val="uk-UA"/>
        </w:rPr>
        <w:t>, що задіяні у проект</w:t>
      </w:r>
      <w:r w:rsidR="006E6E27">
        <w:rPr>
          <w:rFonts w:ascii="Times New Roman" w:hAnsi="Times New Roman" w:cs="Times New Roman"/>
          <w:sz w:val="28"/>
          <w:szCs w:val="28"/>
          <w:lang w:val="uk-UA"/>
        </w:rPr>
        <w:t xml:space="preserve">ах у зв’язку з відсутністю відповідних вихідних даних. </w:t>
      </w:r>
    </w:p>
    <w:p w:rsidR="00396596" w:rsidRPr="00DA42C0" w:rsidRDefault="00396596" w:rsidP="0039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2C0">
        <w:rPr>
          <w:rFonts w:ascii="Times New Roman" w:hAnsi="Times New Roman" w:cs="Times New Roman"/>
          <w:sz w:val="28"/>
          <w:szCs w:val="28"/>
          <w:lang w:val="uk-UA"/>
        </w:rPr>
        <w:t>Слід враховувати, що реалізація інвест</w:t>
      </w:r>
      <w:r w:rsidR="00DA42C0">
        <w:rPr>
          <w:rFonts w:ascii="Times New Roman" w:hAnsi="Times New Roman" w:cs="Times New Roman"/>
          <w:sz w:val="28"/>
          <w:szCs w:val="28"/>
          <w:lang w:val="uk-UA"/>
        </w:rPr>
        <w:t xml:space="preserve">иційних 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проектів займає тривалий час, тобто позитивний ефект для бюджету буде досягатися </w:t>
      </w:r>
      <w:r w:rsidR="006E6E27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з 2022 </w:t>
      </w:r>
      <w:r w:rsidR="00246843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року, 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після освоєння </w:t>
      </w:r>
      <w:r w:rsidR="006E6E27">
        <w:rPr>
          <w:rFonts w:ascii="Times New Roman" w:hAnsi="Times New Roman" w:cs="Times New Roman"/>
          <w:sz w:val="28"/>
          <w:szCs w:val="28"/>
          <w:lang w:val="uk-UA"/>
        </w:rPr>
        <w:t>Адміністрацією морських портів України</w:t>
      </w:r>
      <w:r w:rsidR="00246843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>додаткового обсягу грошових коштів за рахунок зниження ставки дивідендів.</w:t>
      </w:r>
    </w:p>
    <w:p w:rsidR="00246843" w:rsidRPr="00DA42C0" w:rsidRDefault="00396596" w:rsidP="00246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перед </w:t>
      </w:r>
      <w:r w:rsidR="006E6E27">
        <w:rPr>
          <w:rFonts w:ascii="Times New Roman" w:hAnsi="Times New Roman" w:cs="Times New Roman"/>
          <w:sz w:val="28"/>
          <w:szCs w:val="28"/>
          <w:lang w:val="uk-UA"/>
        </w:rPr>
        <w:t>Адміністрацією</w:t>
      </w:r>
      <w:r w:rsidR="00246843"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морських портів України 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гостро стоїть питання </w:t>
      </w:r>
      <w:r w:rsidR="006E6E27">
        <w:rPr>
          <w:rFonts w:ascii="Times New Roman" w:hAnsi="Times New Roman" w:cs="Times New Roman"/>
          <w:sz w:val="28"/>
          <w:szCs w:val="28"/>
          <w:lang w:val="uk-UA"/>
        </w:rPr>
        <w:t>браку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коштів для реалізації проектів реконструкції та підтримки причальної інфраструктури. </w:t>
      </w:r>
      <w:r w:rsidR="00246843" w:rsidRPr="00DA42C0">
        <w:rPr>
          <w:rFonts w:ascii="Times New Roman" w:hAnsi="Times New Roman" w:cs="Times New Roman"/>
          <w:sz w:val="28"/>
          <w:szCs w:val="28"/>
          <w:lang w:val="uk-UA"/>
        </w:rPr>
        <w:t>На балансі ДП «Адміністрація морських портів України» обліковуються 265 причалів (вантажні, допоміжні, пасажирські), розташовані в 13 морських портах України, з яких: 20 - не придатні до нормальної експлуатації; 37 - потребують значних капіталовкладень в найближчі 5 років; більше 50 - працюють з низькою економічною ефективністю.</w:t>
      </w:r>
    </w:p>
    <w:p w:rsidR="00246843" w:rsidRPr="00DA42C0" w:rsidRDefault="00246843" w:rsidP="00246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2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Переважна більшість причалів експлуатуються вже понад 25 років, значна кількість з яких має вік більше 50 років, що свідчить і обумовлює необхідність відновлення їх технічного стану шляхом капітального ремонту або їх реконструкції. Така ситуація з часом може зумовити загальне погіршення технічного стану причалів, збільшення кількості причалів з обмеженнями режиму експлуатації і навантажень, а також збільшення кількості непридатних до нормальної експлуатації причалів, які </w:t>
      </w:r>
      <w:r w:rsidR="00FA276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даний час генерують кошти, відсоток від яких сплачується до державного бюджету у вигляді дивідендів.</w:t>
      </w:r>
    </w:p>
    <w:p w:rsidR="00246843" w:rsidRPr="00DA42C0" w:rsidRDefault="00246843" w:rsidP="00246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За попередніми розрахунками до 2023 року </w:t>
      </w:r>
      <w:r w:rsidR="00FA2768">
        <w:rPr>
          <w:rFonts w:ascii="Times New Roman" w:hAnsi="Times New Roman" w:cs="Times New Roman"/>
          <w:sz w:val="28"/>
          <w:szCs w:val="28"/>
          <w:lang w:val="uk-UA"/>
        </w:rPr>
        <w:t>Адміністрації морських портів України</w:t>
      </w: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буде потрібно близько 12 млрд. грн. на фінансування проектів з реконструкції, модернізації та будівництва причалів (понад 48 проектів, з яких 36 з реконструкції та модернізації).</w:t>
      </w:r>
    </w:p>
    <w:p w:rsidR="00246843" w:rsidRPr="00DA42C0" w:rsidRDefault="00246843" w:rsidP="00246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ці відомості і обмежені фінансові ресурси ДП «АМПУ», а також з метою розвитку </w:t>
      </w:r>
      <w:proofErr w:type="spellStart"/>
      <w:r w:rsidRPr="00DA42C0">
        <w:rPr>
          <w:rFonts w:ascii="Times New Roman" w:hAnsi="Times New Roman" w:cs="Times New Roman"/>
          <w:sz w:val="28"/>
          <w:szCs w:val="28"/>
          <w:lang w:val="uk-UA"/>
        </w:rPr>
        <w:t>морегосподарського</w:t>
      </w:r>
      <w:proofErr w:type="spellEnd"/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України </w:t>
      </w:r>
      <w:proofErr w:type="spellStart"/>
      <w:r w:rsidRPr="00DA42C0">
        <w:rPr>
          <w:rFonts w:ascii="Times New Roman" w:hAnsi="Times New Roman" w:cs="Times New Roman"/>
          <w:sz w:val="28"/>
          <w:szCs w:val="28"/>
          <w:lang w:val="uk-UA"/>
        </w:rPr>
        <w:t>Мінінфраструктури</w:t>
      </w:r>
      <w:proofErr w:type="spellEnd"/>
      <w:r w:rsidRPr="00DA42C0">
        <w:rPr>
          <w:rFonts w:ascii="Times New Roman" w:hAnsi="Times New Roman" w:cs="Times New Roman"/>
          <w:sz w:val="28"/>
          <w:szCs w:val="28"/>
          <w:lang w:val="uk-UA"/>
        </w:rPr>
        <w:t xml:space="preserve"> вважає за необхідне створення сприятливих умов для акумулювання достатніх ресурсів шляхом прийняття проекту Закону …..</w:t>
      </w:r>
    </w:p>
    <w:sectPr w:rsidR="00246843" w:rsidRPr="00DA42C0" w:rsidSect="00BA542D">
      <w:headerReference w:type="default" r:id="rId7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1A" w:rsidRDefault="00C2631A" w:rsidP="00BA542D">
      <w:pPr>
        <w:spacing w:after="0" w:line="240" w:lineRule="auto"/>
      </w:pPr>
      <w:r>
        <w:separator/>
      </w:r>
    </w:p>
  </w:endnote>
  <w:endnote w:type="continuationSeparator" w:id="0">
    <w:p w:rsidR="00C2631A" w:rsidRDefault="00C2631A" w:rsidP="00BA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1A" w:rsidRDefault="00C2631A" w:rsidP="00BA542D">
      <w:pPr>
        <w:spacing w:after="0" w:line="240" w:lineRule="auto"/>
      </w:pPr>
      <w:r>
        <w:separator/>
      </w:r>
    </w:p>
  </w:footnote>
  <w:footnote w:type="continuationSeparator" w:id="0">
    <w:p w:rsidR="00C2631A" w:rsidRDefault="00C2631A" w:rsidP="00BA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415127"/>
      <w:docPartObj>
        <w:docPartGallery w:val="Page Numbers (Top of Page)"/>
        <w:docPartUnique/>
      </w:docPartObj>
    </w:sdtPr>
    <w:sdtEndPr/>
    <w:sdtContent>
      <w:p w:rsidR="00BA542D" w:rsidRDefault="00BA54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E82">
          <w:rPr>
            <w:noProof/>
          </w:rPr>
          <w:t>3</w:t>
        </w:r>
        <w:r>
          <w:fldChar w:fldCharType="end"/>
        </w:r>
      </w:p>
    </w:sdtContent>
  </w:sdt>
  <w:p w:rsidR="00BA542D" w:rsidRDefault="00BA54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C56"/>
    <w:multiLevelType w:val="hybridMultilevel"/>
    <w:tmpl w:val="2E6EAE8A"/>
    <w:lvl w:ilvl="0" w:tplc="62F26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F7"/>
    <w:rsid w:val="001926A7"/>
    <w:rsid w:val="00246843"/>
    <w:rsid w:val="002E5E82"/>
    <w:rsid w:val="003932B9"/>
    <w:rsid w:val="00396596"/>
    <w:rsid w:val="003E2134"/>
    <w:rsid w:val="0062090B"/>
    <w:rsid w:val="006846F7"/>
    <w:rsid w:val="006C659F"/>
    <w:rsid w:val="006E6E27"/>
    <w:rsid w:val="00930854"/>
    <w:rsid w:val="009A626B"/>
    <w:rsid w:val="00A73286"/>
    <w:rsid w:val="00BA542D"/>
    <w:rsid w:val="00C2631A"/>
    <w:rsid w:val="00CA0ECE"/>
    <w:rsid w:val="00D23E06"/>
    <w:rsid w:val="00DA42C0"/>
    <w:rsid w:val="00E95843"/>
    <w:rsid w:val="00F451FE"/>
    <w:rsid w:val="00FA2768"/>
    <w:rsid w:val="00F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3C20-2B83-40E2-811E-F3993EB1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5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54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42D"/>
  </w:style>
  <w:style w:type="paragraph" w:styleId="a7">
    <w:name w:val="footer"/>
    <w:basedOn w:val="a"/>
    <w:link w:val="a8"/>
    <w:uiPriority w:val="99"/>
    <w:unhideWhenUsed/>
    <w:rsid w:val="00BA54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Павло Вікторович</dc:creator>
  <cp:keywords/>
  <dc:description/>
  <cp:lastModifiedBy>Марусиченко Олег Викторович</cp:lastModifiedBy>
  <cp:revision>2</cp:revision>
  <dcterms:created xsi:type="dcterms:W3CDTF">2019-11-12T07:11:00Z</dcterms:created>
  <dcterms:modified xsi:type="dcterms:W3CDTF">2019-11-12T07:11:00Z</dcterms:modified>
</cp:coreProperties>
</file>