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6B" w:rsidRPr="00EA4636" w:rsidRDefault="0014086B" w:rsidP="00140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636">
        <w:rPr>
          <w:rFonts w:ascii="Times New Roman" w:hAnsi="Times New Roman" w:cs="Times New Roman"/>
          <w:b/>
          <w:sz w:val="24"/>
          <w:szCs w:val="24"/>
        </w:rPr>
        <w:t xml:space="preserve">ПОРІВНЯЛЬНА ТАБЛИЦЯ </w:t>
      </w:r>
    </w:p>
    <w:p w:rsidR="0014086B" w:rsidRDefault="0014086B" w:rsidP="00140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636">
        <w:rPr>
          <w:rFonts w:ascii="Times New Roman" w:hAnsi="Times New Roman" w:cs="Times New Roman"/>
          <w:b/>
          <w:sz w:val="24"/>
          <w:szCs w:val="24"/>
        </w:rPr>
        <w:t>до проєкту Закону України «Про внесення змін до деяких законодавчих актів України щодо суспільно важливих послуг з перевезення пасажирів автомобільним та міським електричним транспортом»</w:t>
      </w:r>
    </w:p>
    <w:p w:rsidR="00EA4636" w:rsidRPr="00EA4636" w:rsidRDefault="00EA4636" w:rsidP="00140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16"/>
        <w:gridCol w:w="249"/>
        <w:gridCol w:w="5987"/>
        <w:gridCol w:w="108"/>
        <w:gridCol w:w="3549"/>
      </w:tblGrid>
      <w:tr w:rsidR="0014086B" w:rsidRPr="00EA4636" w:rsidTr="003D5036">
        <w:tc>
          <w:tcPr>
            <w:tcW w:w="15309" w:type="dxa"/>
            <w:gridSpan w:val="5"/>
          </w:tcPr>
          <w:p w:rsidR="0014086B" w:rsidRPr="00EA4636" w:rsidRDefault="0014086B" w:rsidP="003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b/>
                <w:sz w:val="24"/>
                <w:szCs w:val="24"/>
              </w:rPr>
              <w:t>Закон України «Про автомобільний транспорт»</w:t>
            </w:r>
          </w:p>
        </w:tc>
      </w:tr>
      <w:tr w:rsidR="0014086B" w:rsidRPr="00EA4636" w:rsidTr="003D5036">
        <w:tc>
          <w:tcPr>
            <w:tcW w:w="5665" w:type="dxa"/>
            <w:gridSpan w:val="2"/>
          </w:tcPr>
          <w:p w:rsidR="0014086B" w:rsidRPr="00EA4636" w:rsidRDefault="0014086B" w:rsidP="003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b/>
                <w:sz w:val="24"/>
                <w:szCs w:val="24"/>
              </w:rPr>
              <w:t>Зміст положення акта законодавства</w:t>
            </w:r>
          </w:p>
        </w:tc>
        <w:tc>
          <w:tcPr>
            <w:tcW w:w="6095" w:type="dxa"/>
            <w:gridSpan w:val="2"/>
          </w:tcPr>
          <w:p w:rsidR="0014086B" w:rsidRPr="00EA4636" w:rsidRDefault="0014086B" w:rsidP="003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b/>
                <w:sz w:val="24"/>
                <w:szCs w:val="24"/>
              </w:rPr>
              <w:t>Зміст відповідного положення проекту акта</w:t>
            </w:r>
          </w:p>
        </w:tc>
        <w:tc>
          <w:tcPr>
            <w:tcW w:w="3549" w:type="dxa"/>
          </w:tcPr>
          <w:p w:rsidR="0014086B" w:rsidRPr="00EA4636" w:rsidRDefault="0014086B" w:rsidP="003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Пояснення змін</w:t>
            </w:r>
          </w:p>
        </w:tc>
      </w:tr>
      <w:tr w:rsidR="0014086B" w:rsidRPr="00EA4636" w:rsidTr="003D5036">
        <w:tc>
          <w:tcPr>
            <w:tcW w:w="5665" w:type="dxa"/>
            <w:gridSpan w:val="2"/>
          </w:tcPr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b/>
                <w:sz w:val="24"/>
                <w:szCs w:val="24"/>
              </w:rPr>
              <w:t>Стаття 1. Визначення основних термінів</w:t>
            </w:r>
          </w:p>
        </w:tc>
        <w:tc>
          <w:tcPr>
            <w:tcW w:w="6095" w:type="dxa"/>
            <w:gridSpan w:val="2"/>
          </w:tcPr>
          <w:p w:rsidR="0014086B" w:rsidRPr="00EA4636" w:rsidRDefault="0014086B" w:rsidP="003D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b/>
                <w:sz w:val="24"/>
                <w:szCs w:val="24"/>
              </w:rPr>
              <w:t>Стаття 1. Визначення основних термінів</w:t>
            </w:r>
          </w:p>
        </w:tc>
        <w:tc>
          <w:tcPr>
            <w:tcW w:w="3549" w:type="dxa"/>
          </w:tcPr>
          <w:p w:rsidR="0014086B" w:rsidRPr="00EA4636" w:rsidRDefault="0014086B" w:rsidP="003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86B" w:rsidRPr="00EA4636" w:rsidTr="003D5036">
        <w:trPr>
          <w:trHeight w:val="3379"/>
        </w:trPr>
        <w:tc>
          <w:tcPr>
            <w:tcW w:w="5665" w:type="dxa"/>
            <w:gridSpan w:val="2"/>
          </w:tcPr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sz w:val="24"/>
                <w:szCs w:val="24"/>
              </w:rPr>
              <w:t>У цьому Законі наведені терміни вживаються в такому значенні:</w:t>
            </w: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86B" w:rsidRPr="00EA4636" w:rsidRDefault="0014086B" w:rsidP="003D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b/>
                <w:sz w:val="24"/>
                <w:szCs w:val="24"/>
              </w:rPr>
              <w:t>Відсутня</w:t>
            </w:r>
          </w:p>
          <w:p w:rsidR="0014086B" w:rsidRPr="00EA4636" w:rsidRDefault="0014086B" w:rsidP="003D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86B" w:rsidRPr="00EA4636" w:rsidRDefault="0014086B" w:rsidP="003D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86B" w:rsidRPr="00EA4636" w:rsidRDefault="0014086B" w:rsidP="003D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86B" w:rsidRPr="00EA4636" w:rsidRDefault="0014086B" w:rsidP="003D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86B" w:rsidRPr="00EA4636" w:rsidRDefault="0014086B" w:rsidP="003D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b/>
                <w:sz w:val="24"/>
                <w:szCs w:val="24"/>
              </w:rPr>
              <w:t>Відсутня</w:t>
            </w:r>
          </w:p>
          <w:p w:rsidR="0014086B" w:rsidRPr="00EA4636" w:rsidRDefault="0014086B" w:rsidP="003D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86B" w:rsidRPr="00EA4636" w:rsidRDefault="0014086B" w:rsidP="00EA4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sz w:val="24"/>
                <w:szCs w:val="24"/>
              </w:rPr>
              <w:t>У цьому Законі наведені терміни вживаються в такому значенні:</w:t>
            </w: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організатор перевезень – орган виконавчої влади та орган місцевого самоврядування</w:t>
            </w:r>
            <w:r w:rsidR="00CA3AE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A4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який забезпечує організацію пасажирських перевезень на відповідному автобусному маршруті загального користування;</w:t>
            </w: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суспільно важлива послуга - </w:t>
            </w:r>
            <w:r w:rsidRPr="00EA46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послуга з перевезення</w:t>
            </w:r>
            <w:r w:rsidRPr="00EA4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пасажирів на автобусному маршруті загального користування, що становить</w:t>
            </w:r>
            <w:r w:rsidR="00EA4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загальний економічний інтерес.</w:t>
            </w:r>
          </w:p>
        </w:tc>
        <w:tc>
          <w:tcPr>
            <w:tcW w:w="3549" w:type="dxa"/>
          </w:tcPr>
          <w:p w:rsidR="0014086B" w:rsidRPr="00EA4636" w:rsidRDefault="0014086B" w:rsidP="00EA4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sz w:val="24"/>
                <w:szCs w:val="24"/>
              </w:rPr>
              <w:t>Визначення поняття відповідно до Регламенту (ЄС) №1370/2007 Європейського парламенту та ради від 23 жовтня 2007 року про громадські послуги з перевезення пасажирів залізницею і автомобільними шляхами, що скасовує Регламент (ЄЕС) № 1191/69 і (ЄЕС) №1107/70 Ради згідно Додатку XXXII до глави 7 «Транспорт» розділу V «Економічне і галузеве співробітництво»</w:t>
            </w:r>
          </w:p>
        </w:tc>
      </w:tr>
      <w:tr w:rsidR="0014086B" w:rsidRPr="00EA4636" w:rsidTr="003D5036">
        <w:tc>
          <w:tcPr>
            <w:tcW w:w="5665" w:type="dxa"/>
            <w:gridSpan w:val="2"/>
          </w:tcPr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sz w:val="24"/>
                <w:szCs w:val="24"/>
              </w:rPr>
              <w:t>Стаття 7. Організація пасажирських перевезень органами виконавчої влади та органами місцевого самоврядування</w:t>
            </w:r>
          </w:p>
        </w:tc>
        <w:tc>
          <w:tcPr>
            <w:tcW w:w="6095" w:type="dxa"/>
            <w:gridSpan w:val="2"/>
          </w:tcPr>
          <w:p w:rsidR="0014086B" w:rsidRPr="00EA4636" w:rsidRDefault="00D8758F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8F">
              <w:rPr>
                <w:rFonts w:ascii="Times New Roman" w:hAnsi="Times New Roman" w:cs="Times New Roman"/>
                <w:b/>
                <w:sz w:val="24"/>
                <w:szCs w:val="24"/>
              </w:rPr>
              <w:t>Стаття 7. Організація пасажирських перевезень автомобільним транспортом на автобусних маршрутах загального користування.</w:t>
            </w:r>
          </w:p>
        </w:tc>
        <w:tc>
          <w:tcPr>
            <w:tcW w:w="3549" w:type="dxa"/>
          </w:tcPr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6B" w:rsidRPr="00EA4636" w:rsidTr="003D5036">
        <w:tc>
          <w:tcPr>
            <w:tcW w:w="5665" w:type="dxa"/>
            <w:gridSpan w:val="2"/>
          </w:tcPr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sz w:val="24"/>
                <w:szCs w:val="24"/>
              </w:rPr>
              <w:t>Забезпечення організації пасажирських перевезень покладається:</w:t>
            </w: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sz w:val="24"/>
                <w:szCs w:val="24"/>
              </w:rPr>
              <w:t>на міжнародних автобусних маршрутах загального користування - на центральний орган виконавчої влади, що забезпечує формування та реалізує державну політику у сфері транспорту;</w:t>
            </w: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sz w:val="24"/>
                <w:szCs w:val="24"/>
              </w:rPr>
              <w:t>на міжміських і приміських автобусних маршрутах загального користування, що виходять за межі території області (міжобласні маршрути), - на центральний орган виконавчої влади, що забезпечує формування та реалізує державну політику у сфері транспорту;</w:t>
            </w: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sz w:val="24"/>
                <w:szCs w:val="24"/>
              </w:rPr>
              <w:t>на приміських і міжміських автобусних маршрутах загального користування, що не виходять за межі території Автономної Республіки Крим чи області (внутрішньообласні маршрути), - на Раду міністрів Автономної Республіки Крим або обласні державні адміністрації;</w:t>
            </w: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sz w:val="24"/>
                <w:szCs w:val="24"/>
              </w:rPr>
              <w:t>на приміських автобусних маршрутах загального користування, що не виходять за межі району, - на районні державні адміністрації;</w:t>
            </w: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sz w:val="24"/>
                <w:szCs w:val="24"/>
              </w:rPr>
              <w:t>на автобусному маршруті загального користування прямого сполучення місто Київ - міжнародний аеропорт "Бориспіль" - на Київську міську державну адміністрацію;</w:t>
            </w: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sz w:val="24"/>
                <w:szCs w:val="24"/>
              </w:rPr>
              <w:t>на міських автобусних маршрутах загального користування - на виконавчий орган сільської, селищної, міської ради відповідного населеного пункту.</w:t>
            </w:r>
          </w:p>
        </w:tc>
        <w:tc>
          <w:tcPr>
            <w:tcW w:w="6095" w:type="dxa"/>
            <w:gridSpan w:val="2"/>
          </w:tcPr>
          <w:p w:rsidR="00D8758F" w:rsidRDefault="00D8758F" w:rsidP="00D87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Організатором перевезень на автобусному маршруті загального користування є:</w:t>
            </w:r>
          </w:p>
          <w:p w:rsidR="00D8758F" w:rsidRPr="00D8758F" w:rsidRDefault="00D8758F" w:rsidP="00D87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58F" w:rsidRDefault="00D8758F" w:rsidP="00D87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8F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центральний орган виконавчої влади, що забезпечує формування та реалізує державну політику у сфері транспорту – на міжнародних автобусних маршрутах загального користування, а також на міжміських і приміських  автобусних маршрутах загального користування, що виходять за межі території області (міжобласні маршрути);</w:t>
            </w:r>
          </w:p>
          <w:p w:rsidR="00386AA1" w:rsidRPr="00D8758F" w:rsidRDefault="00386AA1" w:rsidP="00D87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58F" w:rsidRDefault="00D8758F" w:rsidP="00D87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Рада міністрів Автономної Республіки Крим чи обласна державна адміністрація – на міжміських автобусних маршрутах загального користування, що </w:t>
            </w:r>
            <w:r w:rsidRPr="00D875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 виходять за межі території Автономної Республіки Крим, чи області, а також на автобусних маршрутах загального користування, що виходять за межі території об’єднаної територіальної громади (внутрішньообласні маршрути);</w:t>
            </w:r>
          </w:p>
          <w:p w:rsidR="00D8758F" w:rsidRPr="00D8758F" w:rsidRDefault="00D8758F" w:rsidP="00D87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58F" w:rsidRDefault="00D8758F" w:rsidP="00D87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8F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виконавчий орган Київської міської державної адміністрації – на автобусному маршруті загального користування прямого сполучення місто Київ – міжнародний аеропорт «Бориспіль»;</w:t>
            </w:r>
          </w:p>
          <w:p w:rsidR="00D8758F" w:rsidRPr="00D8758F" w:rsidRDefault="00D8758F" w:rsidP="00D87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58F" w:rsidRDefault="00D8758F" w:rsidP="00D87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8F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виконавчий орган міської, сільської, селищної ради або виконавчий орган місцевої ради об’єднаної територіальної громади – на автобусному маршруті загального користування, який проходить в межах відповідного населеного пункту (міський маршрут);</w:t>
            </w:r>
          </w:p>
          <w:p w:rsidR="00386AA1" w:rsidRPr="00D8758F" w:rsidRDefault="00386AA1" w:rsidP="00D87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58F" w:rsidRDefault="00D8758F" w:rsidP="00D87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виконавчий орган місцевої ради об’єднаної територіальної громади – на автобусному маршруті загального користування, який проходить між населеними пунктами в межах однієї об’єднаної територіальної громади (міський або приміський маршрут); </w:t>
            </w:r>
          </w:p>
          <w:p w:rsidR="00D8758F" w:rsidRPr="00D8758F" w:rsidRDefault="00D8758F" w:rsidP="00D87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58F" w:rsidRPr="00D8758F" w:rsidRDefault="00D8758F" w:rsidP="00D87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8F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виконавчий орган міської ради  обласного центру – на приміському внутрішньообласному автобусному маршруті загального користування, початковим та/або кінцевим пунктом якого є обласний центр;</w:t>
            </w:r>
          </w:p>
          <w:p w:rsidR="00D8758F" w:rsidRDefault="00D8758F" w:rsidP="00D87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8F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виконавчий орган міської ради міста обласного значення – на приміському внутрішньообласному автобусному маршруті загального користування, початковим та/або кінцевим пунктом якого є місто обласного значення;</w:t>
            </w:r>
          </w:p>
          <w:p w:rsidR="00D8758F" w:rsidRPr="00D8758F" w:rsidRDefault="00D8758F" w:rsidP="00D87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86B" w:rsidRPr="00EA4636" w:rsidRDefault="00D8758F" w:rsidP="00D8758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виконавчий орган міської ради відповідного районного центру – на приміському внутрішньообласному автобусному маршруті </w:t>
            </w:r>
            <w:r w:rsidRPr="00D875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загального користування початковим та/або кінцевим пунктом якого є районний центр (крім маршрутів, кінцевими пунктами яких є обласні центри та міста обласного значення)</w:t>
            </w:r>
          </w:p>
        </w:tc>
        <w:tc>
          <w:tcPr>
            <w:tcW w:w="3549" w:type="dxa"/>
          </w:tcPr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зв’язку із децентралізацією в частині ліквідації районів та утворення об’єднаних територіальних громад, потребує передача повноважень щодо організації пасажирських перевезень в межах територій районів від райдержадміністрацій до </w:t>
            </w:r>
            <w:r w:rsidR="00EA4636" w:rsidRPr="00EA4636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облдержадміністрацій</w:t>
            </w:r>
            <w:r w:rsidRPr="00EA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086B" w:rsidRPr="00EA4636" w:rsidTr="003D5036">
        <w:tc>
          <w:tcPr>
            <w:tcW w:w="5665" w:type="dxa"/>
            <w:gridSpan w:val="2"/>
          </w:tcPr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Стаття 11. Надання соціально значущих послуг автомобільного транспорту</w:t>
            </w:r>
          </w:p>
        </w:tc>
        <w:tc>
          <w:tcPr>
            <w:tcW w:w="6095" w:type="dxa"/>
            <w:gridSpan w:val="2"/>
          </w:tcPr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sz w:val="24"/>
                <w:szCs w:val="24"/>
              </w:rPr>
              <w:t xml:space="preserve">Стаття 11. </w:t>
            </w:r>
            <w:r w:rsidRPr="00EA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Надання суспільно важливих послуг </w:t>
            </w:r>
          </w:p>
        </w:tc>
        <w:tc>
          <w:tcPr>
            <w:tcW w:w="3549" w:type="dxa"/>
          </w:tcPr>
          <w:p w:rsidR="0014086B" w:rsidRPr="00EA4636" w:rsidRDefault="0014086B" w:rsidP="003D5036">
            <w:pPr>
              <w:tabs>
                <w:tab w:val="left" w:pos="10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6B" w:rsidRPr="00EA4636" w:rsidTr="003D5036">
        <w:tc>
          <w:tcPr>
            <w:tcW w:w="5665" w:type="dxa"/>
            <w:gridSpan w:val="2"/>
          </w:tcPr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86B" w:rsidRPr="00EA4636" w:rsidRDefault="0014086B" w:rsidP="003D5036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sz w:val="24"/>
                <w:szCs w:val="24"/>
              </w:rPr>
              <w:t>Надання соціально значущих послуг автомобільного транспорту здійснюється відповідно до законодавства з питань поставки продукції для державних потреб.</w:t>
            </w:r>
          </w:p>
          <w:p w:rsidR="0014086B" w:rsidRPr="00EA4636" w:rsidRDefault="0014086B" w:rsidP="003D5036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sz w:val="24"/>
                <w:szCs w:val="24"/>
              </w:rPr>
              <w:t>Соціально значущими послугами автомобільного транспорту є послуги з перевезення пасажирів автобусними маршрутами загального користування за визначеними уповноваженими органами тарифами та на пільгових умовах відповідно до законодавства</w:t>
            </w: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14086B" w:rsidRPr="00EA4636" w:rsidRDefault="0014086B" w:rsidP="003D5036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Забезпечення, організація суспільно важливих послуг, здійснюються організаторами перевезень, визначеними відповідно до статті 7 цього Закону шляхом замовлення (закупівлі) транспортних послуг. Замовлення (закупівля) транспортних послуг здійснюється відповідно до законодавства про публічні закупівлі.</w:t>
            </w:r>
          </w:p>
          <w:p w:rsidR="0014086B" w:rsidRPr="00EA4636" w:rsidRDefault="0014086B" w:rsidP="003D5036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Організатори перевезень визначають автомобільні маршрути загального користування, що становить загальний економічний інтерес, встановлюють тарифи на проїзд автомобільного перевізника під час надання суспільно важливої послуги, а також вживають необхідних заходів для забезпечення надання громадянам суспільно важливих послуг.</w:t>
            </w:r>
          </w:p>
          <w:p w:rsidR="0014086B" w:rsidRPr="00EA4636" w:rsidRDefault="0014086B" w:rsidP="003D5036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визначення автобусних маршрутів загального користування, що становить загальний економічний інтерес затверджується центральним органом виконавчої влади, що забезпечує формування та реалізує державну політику у сфері транспорту.</w:t>
            </w:r>
          </w:p>
          <w:p w:rsidR="0014086B" w:rsidRPr="00EA4636" w:rsidRDefault="0014086B" w:rsidP="003D5036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Відповідальність за організацію та забезпечення надання суспільно важливих послуг з перевезення пасажирів покладається на організатора перевезень. </w:t>
            </w:r>
          </w:p>
          <w:p w:rsidR="0014086B" w:rsidRPr="00EA4636" w:rsidRDefault="0014086B" w:rsidP="003D5036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Організатор перевезень визначає тариф на проїзд з урахуванням економічно обґрунтованих витрат і обґрунтованої частини прибутку відповідно до методики, затвердженої центральним органом виконавчої влади, що забезпечує формування та реалізує державну політику у сфері транспорту. </w:t>
            </w:r>
          </w:p>
          <w:p w:rsidR="0014086B" w:rsidRPr="00EA4636" w:rsidRDefault="0014086B" w:rsidP="003D5036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Організатор перевезень оприлюднює до 1 травня звіт за попередній рік про використання коштів на організацію суспільно важливих послуг, зобов’язань з організації надання транспортних послуг, а  також перевізників, що залучались до надання суспільно важливих послуг, інформацію про укладені договори та розміри наданої перевізникам компенсації. </w:t>
            </w:r>
          </w:p>
          <w:p w:rsidR="0014086B" w:rsidRPr="00EA4636" w:rsidRDefault="0014086B" w:rsidP="003D5036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Організатори перевезень повинні передбачити відповідні видатки на організацію суспільно важливих послуг</w:t>
            </w:r>
          </w:p>
          <w:p w:rsidR="0014086B" w:rsidRPr="00EA4636" w:rsidRDefault="0014086B" w:rsidP="003D5036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Призначення перевізника може здійснюватись за прямими договорами без проведення конкурсу, якщо перевезення здійснюються транспортними підприємствами безпосередньо підпорядкованими відповідними органами виконавчої влади та органами місцевого самоврядування</w:t>
            </w:r>
            <w:r w:rsidR="00386AA1">
              <w:t xml:space="preserve"> </w:t>
            </w:r>
            <w:r w:rsidR="00386AA1" w:rsidRPr="00386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порядку, затвердженому центральним органом виконавчої влади, що забезпечує формування та реалізує держа</w:t>
            </w:r>
            <w:r w:rsidR="00386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 політику у сфері транспорту</w:t>
            </w:r>
            <w:r w:rsidRPr="00EA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549" w:type="dxa"/>
          </w:tcPr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Організація транспортних послуг, у зв’язку з імплементацією Регламенту (ЄС) №1370/2007 Європейського парламенту та ради від 23 жовтня 2007 року про громадські послуги з перевезення пасажирів залізницею і автомобільними шляхами, що скасовує Регламент (ЄЕС) № 1191/69 і (ЄЕС) №1107/70 Ради згідно Додатку XXXII до глави 7 «Транспорт» розділу V «Економічне і галузеве співробітництво»</w:t>
            </w: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6B" w:rsidRPr="00EA4636" w:rsidTr="003D5036">
        <w:tc>
          <w:tcPr>
            <w:tcW w:w="5665" w:type="dxa"/>
            <w:gridSpan w:val="2"/>
          </w:tcPr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Стаття 29. Засади діяльності автомобільного перевізника, що здійснює перевезення пасажирів на договірних умовах</w:t>
            </w:r>
          </w:p>
        </w:tc>
        <w:tc>
          <w:tcPr>
            <w:tcW w:w="6095" w:type="dxa"/>
            <w:gridSpan w:val="2"/>
          </w:tcPr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Стаття 29. Засади діяльності автомобільного перевізника, що здійснює перевезення пасажирів на договірних умовах</w:t>
            </w:r>
          </w:p>
        </w:tc>
        <w:tc>
          <w:tcPr>
            <w:tcW w:w="3549" w:type="dxa"/>
          </w:tcPr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6B" w:rsidRPr="00EA4636" w:rsidTr="003D5036">
        <w:tc>
          <w:tcPr>
            <w:tcW w:w="5665" w:type="dxa"/>
            <w:gridSpan w:val="2"/>
          </w:tcPr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sz w:val="24"/>
                <w:szCs w:val="24"/>
              </w:rPr>
              <w:t>Автомобільним перевізником та автомобільним самозайнятим перевізником, які здійснюють перевезення пасажирів на договірних умовах, є суб'єкти господарювання, які відповідно до законодавства та одержаної ліцензії надають послуги за договором перевезення пасажирів транспортним засобом, що використовується ними на законних підставах.</w:t>
            </w: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sz w:val="24"/>
                <w:szCs w:val="24"/>
              </w:rPr>
              <w:t>Органи виконавчої влади та органи місцевого самоврядування зобов'язані надати перевізникам, які здійснюють пільгові перевезення пасажирів та перевезення пасажирів за регульованими тарифами, компенсацію відповідно до закону.</w:t>
            </w:r>
          </w:p>
        </w:tc>
        <w:tc>
          <w:tcPr>
            <w:tcW w:w="6095" w:type="dxa"/>
            <w:gridSpan w:val="2"/>
          </w:tcPr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Автомобільним перевізником та автомобільним самозайнятим перевізником, які здійснюють перевезення пасажирів на договірних умовах, є суб'єкти господарювання, які відповідно до законодавства та одержаної ліцензії надають послуги за договором перевезення пасажирів транспортним засобом, що використовується ними на законних підставах.</w:t>
            </w: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 виконавчої влади та органи місцевого самоврядування зобов'язані </w:t>
            </w:r>
            <w:r w:rsidRPr="00EA4636">
              <w:rPr>
                <w:rFonts w:ascii="Times New Roman" w:hAnsi="Times New Roman" w:cs="Times New Roman"/>
                <w:sz w:val="24"/>
                <w:szCs w:val="24"/>
              </w:rPr>
              <w:t xml:space="preserve">надати перевізникам, які здійснюють пільгові перевезення пасажирів компенсацію відповідно до закону та </w:t>
            </w:r>
            <w:r w:rsidRPr="00EA4636">
              <w:rPr>
                <w:rFonts w:ascii="Times New Roman" w:hAnsi="Times New Roman" w:cs="Times New Roman"/>
                <w:b/>
                <w:sz w:val="24"/>
                <w:szCs w:val="24"/>
              </w:rPr>
              <w:t>здійснити оплату за надані суспільно важливі послуги.</w:t>
            </w:r>
          </w:p>
        </w:tc>
        <w:tc>
          <w:tcPr>
            <w:tcW w:w="3549" w:type="dxa"/>
          </w:tcPr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sz w:val="24"/>
                <w:szCs w:val="24"/>
              </w:rPr>
              <w:t xml:space="preserve">Надання обов’язкової оплати за надані суспільно важливі послуги, відповідно до імплементації Регламенту (ЄС) №1370/2007 Європейського парламенту та ради від 23 жовтня 2007 року про громадські послуги з перевезення пасажирів залізницею і автомобільними шляхами, що скасовує Регламент (ЄЕС) № 1191/69 і (ЄЕС) №1107/70 Ради згідно Додатку XXXII до глави 7 </w:t>
            </w:r>
            <w:r w:rsidRPr="00EA4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«Транспорт» розділу V «Економічне і галузеве співробітництво»</w:t>
            </w:r>
          </w:p>
        </w:tc>
      </w:tr>
      <w:tr w:rsidR="0014086B" w:rsidRPr="00EA4636" w:rsidTr="003D5036">
        <w:tc>
          <w:tcPr>
            <w:tcW w:w="5665" w:type="dxa"/>
            <w:gridSpan w:val="2"/>
          </w:tcPr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Стаття 31. Відносини автомобільного перевізника, що здійснює перевезення пасажирів на автобусних маршрутах загального користування, із органами виконавчої влади та органами місцевого самоврядування</w:t>
            </w:r>
          </w:p>
        </w:tc>
        <w:tc>
          <w:tcPr>
            <w:tcW w:w="6095" w:type="dxa"/>
            <w:gridSpan w:val="2"/>
          </w:tcPr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b/>
                <w:sz w:val="24"/>
                <w:szCs w:val="24"/>
              </w:rPr>
              <w:t>Стаття 31. Відносини автомобільного перевізника, що здійснює перевезення пасажирів на автобусних маршрутах загального користування, із органами виконавчої влади та органами місцевого самоврядування</w:t>
            </w:r>
          </w:p>
        </w:tc>
        <w:tc>
          <w:tcPr>
            <w:tcW w:w="3549" w:type="dxa"/>
          </w:tcPr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6B" w:rsidRPr="00EA4636" w:rsidTr="003D5036">
        <w:tc>
          <w:tcPr>
            <w:tcW w:w="5665" w:type="dxa"/>
            <w:gridSpan w:val="2"/>
          </w:tcPr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Відсутня</w:t>
            </w: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D8758F" w:rsidRDefault="00D8758F" w:rsidP="00D87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8F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Договори на надання суспільно важливих послуг, крі</w:t>
            </w:r>
            <w:r w:rsidR="00386AA1">
              <w:rPr>
                <w:rFonts w:ascii="Times New Roman" w:hAnsi="Times New Roman" w:cs="Times New Roman"/>
                <w:b/>
                <w:sz w:val="24"/>
                <w:szCs w:val="24"/>
              </w:rPr>
              <w:t>м положень визначених частиною першою та другою</w:t>
            </w:r>
            <w:r w:rsidRPr="00D87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цієї статті, містять положення щодо параметрів, на основі яких розраховується сума та порядок оплати надання таких послуг, розподіл витрат та доходу від продажу квитків між організаторам перевезень та автомобільним перевізником.</w:t>
            </w:r>
          </w:p>
          <w:p w:rsidR="00D8758F" w:rsidRPr="00D8758F" w:rsidRDefault="00D8758F" w:rsidP="00D87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86B" w:rsidRPr="00EA4636" w:rsidRDefault="00D8758F" w:rsidP="00D87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8F">
              <w:rPr>
                <w:rFonts w:ascii="Times New Roman" w:hAnsi="Times New Roman" w:cs="Times New Roman"/>
                <w:b/>
                <w:sz w:val="24"/>
                <w:szCs w:val="24"/>
              </w:rPr>
              <w:t>Типові договори про надання суспільно важливих послуг, затверджуються Кабінетом Міністрів України. Договір між організатором суспільно важливої послуги та автомобільним перевізником укладається  строком до десяти років.</w:t>
            </w:r>
          </w:p>
        </w:tc>
        <w:tc>
          <w:tcPr>
            <w:tcW w:w="3549" w:type="dxa"/>
          </w:tcPr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6B" w:rsidRPr="00EA4636" w:rsidTr="003D5036">
        <w:tc>
          <w:tcPr>
            <w:tcW w:w="5665" w:type="dxa"/>
            <w:gridSpan w:val="2"/>
          </w:tcPr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b/>
                <w:sz w:val="24"/>
                <w:szCs w:val="24"/>
              </w:rPr>
              <w:t>Стаття 35. Послуги пасажирського автомобільного транспорту</w:t>
            </w:r>
          </w:p>
        </w:tc>
        <w:tc>
          <w:tcPr>
            <w:tcW w:w="6095" w:type="dxa"/>
            <w:gridSpan w:val="2"/>
          </w:tcPr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b/>
                <w:sz w:val="24"/>
                <w:szCs w:val="24"/>
              </w:rPr>
              <w:t>Стаття 35. Послуги пасажирського автомобільного транспорту</w:t>
            </w:r>
          </w:p>
        </w:tc>
        <w:tc>
          <w:tcPr>
            <w:tcW w:w="3549" w:type="dxa"/>
          </w:tcPr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6B" w:rsidRPr="00EA4636" w:rsidTr="003D5036">
        <w:tc>
          <w:tcPr>
            <w:tcW w:w="5665" w:type="dxa"/>
            <w:gridSpan w:val="2"/>
          </w:tcPr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sz w:val="24"/>
                <w:szCs w:val="24"/>
              </w:rPr>
              <w:t>Послуги пасажирського автомобільного транспорту поділяють на послуги з перевезення пасажирів автобусами, на таксі та легковими автомобілями на замовлення.</w:t>
            </w: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14086B" w:rsidRPr="00EA4636" w:rsidRDefault="0014086B" w:rsidP="003D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86B" w:rsidRPr="00EA4636" w:rsidRDefault="0014086B" w:rsidP="003D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86B" w:rsidRPr="00EA4636" w:rsidRDefault="0014086B" w:rsidP="003D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b/>
                <w:sz w:val="24"/>
                <w:szCs w:val="24"/>
              </w:rPr>
              <w:t>Відсутня.</w:t>
            </w:r>
          </w:p>
          <w:p w:rsidR="0014086B" w:rsidRPr="00EA4636" w:rsidRDefault="0014086B" w:rsidP="003D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86B" w:rsidRPr="00EA4636" w:rsidRDefault="0014086B" w:rsidP="003D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86B" w:rsidRPr="00EA4636" w:rsidRDefault="0014086B" w:rsidP="003D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86B" w:rsidRPr="00EA4636" w:rsidRDefault="0014086B" w:rsidP="003D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86B" w:rsidRPr="00EA4636" w:rsidRDefault="0014086B" w:rsidP="003D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86B" w:rsidRPr="00EA4636" w:rsidRDefault="0014086B" w:rsidP="003D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86B" w:rsidRPr="00EA4636" w:rsidRDefault="0014086B" w:rsidP="003D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86B" w:rsidRPr="00EA4636" w:rsidRDefault="0014086B" w:rsidP="003D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86B" w:rsidRPr="00EA4636" w:rsidRDefault="0014086B" w:rsidP="003D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86B" w:rsidRPr="00EA4636" w:rsidRDefault="0014086B" w:rsidP="003D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86B" w:rsidRPr="00EA4636" w:rsidRDefault="0014086B" w:rsidP="003D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86B" w:rsidRPr="00EA4636" w:rsidRDefault="0014086B" w:rsidP="003D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86B" w:rsidRPr="00EA4636" w:rsidRDefault="0014086B" w:rsidP="003D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86B" w:rsidRPr="00EA4636" w:rsidRDefault="0014086B" w:rsidP="003D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86B" w:rsidRPr="00EA4636" w:rsidRDefault="0014086B" w:rsidP="003D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86B" w:rsidRPr="00EA4636" w:rsidRDefault="0014086B" w:rsidP="003D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86B" w:rsidRPr="00EA4636" w:rsidRDefault="0014086B" w:rsidP="003D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86B" w:rsidRPr="00EA4636" w:rsidRDefault="0014086B" w:rsidP="003D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86B" w:rsidRPr="00EA4636" w:rsidRDefault="0014086B" w:rsidP="003D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b/>
                <w:sz w:val="24"/>
                <w:szCs w:val="24"/>
              </w:rPr>
              <w:t>Відсутня.</w:t>
            </w:r>
          </w:p>
        </w:tc>
        <w:tc>
          <w:tcPr>
            <w:tcW w:w="6095" w:type="dxa"/>
            <w:gridSpan w:val="2"/>
          </w:tcPr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sz w:val="24"/>
                <w:szCs w:val="24"/>
              </w:rPr>
              <w:t>Послуги пасажирського автомобільного транспорту поділяють на послуги з перевезення пасажирів автобусами, на таксі та легковими автомобілями на замовлення.</w:t>
            </w: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міських і приміських автобусних маршрутах загального користування, перевезення пасажирів, починаючи з 1 січня 2025 року, повинно виконуватись виключно автобусами класу І згідно з Правилами ЄЕК ООН 107-02(3), у тому числі пристосованими для перевезення пасажирів з інвалідністю та інших маломобільних груп населення, насамперед тих, які </w:t>
            </w:r>
            <w:r w:rsidRPr="00EA46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пересуваються в кріслах колісних, а також обладнаними пристроями зовнішнього звукового інформування пасажирів із порушенням зору про номер і кінцеву зупинку маршруту, звуковими та візуальними (текстовими) системами у салоні таких автобусів для інформування пасажирів із порушенням зору та слуху про зупинки, GPS-трекерами. Кількість рейсів, що здійснюються такими автобусами на маршруті до 30 грудня 2024 року, визначається Кабінетом Міністрів України.</w:t>
            </w:r>
          </w:p>
          <w:p w:rsidR="0014086B" w:rsidRPr="00EA4636" w:rsidRDefault="0014086B" w:rsidP="003D5036">
            <w:pPr>
              <w:ind w:firstLine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b/>
                <w:sz w:val="24"/>
                <w:szCs w:val="24"/>
              </w:rPr>
              <w:t>Автомобільні перевізники, які здійснюють регулярні пасажирські перевезення на міжміських і міжнародних автобусних маршрутах загального користування, повинні забезпечувати перевезення пасажирів з інвалідністю та інших маломобільних груп населення без дискримінації</w:t>
            </w:r>
            <w:r w:rsidRPr="00EA46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9" w:type="dxa"/>
          </w:tcPr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Виконання Указу Президента України від 13.12.2016 № 553 «Про заходи, спрямовані на забезпечення додержання прав осіб з інвалідністю».</w:t>
            </w: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Плану заходів з виконання рекомендацій, викладених у заключних зауваженнях, наданих Комітетом ООН з прав осіб з інвалідністю, до першої доповіді </w:t>
            </w:r>
            <w:r w:rsidRPr="00EA4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України про виконання Конвенції ООН про права осіб з інвалідністю на період до 2020 року, затвердженого розпорядженням Кабінету Міністрів України від 28.12.2016    № 1073.</w:t>
            </w: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086B" w:rsidRPr="00EA4636" w:rsidTr="003D5036">
        <w:tc>
          <w:tcPr>
            <w:tcW w:w="5665" w:type="dxa"/>
            <w:gridSpan w:val="2"/>
          </w:tcPr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Стаття 43. Основні засади визначення автомобільного перевізника на автобусному маршруті загального користування</w:t>
            </w:r>
          </w:p>
        </w:tc>
        <w:tc>
          <w:tcPr>
            <w:tcW w:w="6095" w:type="dxa"/>
            <w:gridSpan w:val="2"/>
          </w:tcPr>
          <w:p w:rsidR="0014086B" w:rsidRPr="00EA4636" w:rsidRDefault="0014086B" w:rsidP="003D50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Стаття 43. Визначення автомобільного перевізника на автобусному маршруті загального користування.</w:t>
            </w:r>
          </w:p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9" w:type="dxa"/>
          </w:tcPr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6B" w:rsidRPr="00EA4636" w:rsidTr="003D5036">
        <w:tc>
          <w:tcPr>
            <w:tcW w:w="5665" w:type="dxa"/>
            <w:gridSpan w:val="2"/>
          </w:tcPr>
          <w:p w:rsidR="0014086B" w:rsidRPr="00EA4636" w:rsidRDefault="0014086B" w:rsidP="003D503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1" w:name="n598"/>
            <w:bookmarkEnd w:id="1"/>
            <w:r w:rsidRPr="00EA4636">
              <w:rPr>
                <w:color w:val="000000"/>
              </w:rPr>
              <w:t>Визначення автомобільного перевізника на автобусному маршруті загального користування здійснюється виключно на конкурсних засадах.</w:t>
            </w:r>
          </w:p>
          <w:p w:rsidR="0014086B" w:rsidRPr="00EA4636" w:rsidRDefault="0014086B" w:rsidP="003D503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2" w:name="n599"/>
            <w:bookmarkEnd w:id="2"/>
            <w:r w:rsidRPr="00EA4636">
              <w:rPr>
                <w:color w:val="000000"/>
              </w:rPr>
              <w:t>Об'єктом конкурсу можуть бути: маршрут (кілька маршрутів), оборотний рейс (кілька оборотних рейсів).</w:t>
            </w:r>
          </w:p>
          <w:p w:rsidR="0014086B" w:rsidRPr="00EA4636" w:rsidRDefault="0014086B" w:rsidP="003D503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3" w:name="n600"/>
            <w:bookmarkEnd w:id="3"/>
            <w:r w:rsidRPr="00EA4636">
              <w:rPr>
                <w:color w:val="000000"/>
              </w:rPr>
              <w:t>На конкурс виносяться маршрути із затвердженими паспортами.</w:t>
            </w:r>
          </w:p>
          <w:p w:rsidR="0014086B" w:rsidRPr="00386AA1" w:rsidRDefault="0014086B" w:rsidP="00386AA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4" w:name="n601"/>
            <w:bookmarkEnd w:id="4"/>
            <w:r w:rsidRPr="00EA4636">
              <w:rPr>
                <w:color w:val="000000"/>
              </w:rPr>
              <w:t>Визначення кандидатури автомобільного перевізника для роботи на міжнародному автобусному маршруті загального користування здійснюється на конкурсних засадах у порядку, встановленому Кабінетом Міністрів України.</w:t>
            </w:r>
          </w:p>
        </w:tc>
        <w:tc>
          <w:tcPr>
            <w:tcW w:w="6095" w:type="dxa"/>
            <w:gridSpan w:val="2"/>
          </w:tcPr>
          <w:p w:rsidR="0014086B" w:rsidRPr="00EA4636" w:rsidRDefault="0014086B" w:rsidP="003D50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Визначення автомобільного перевізника на автобусному маршруті загального користування здійснюється на конкурсних засадах якщо інше не передбачено цим Законом. </w:t>
            </w:r>
            <w:r w:rsidRPr="00EA4636" w:rsidDel="00241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4086B" w:rsidRPr="00EA4636" w:rsidRDefault="0014086B" w:rsidP="003D503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EA4636">
              <w:rPr>
                <w:color w:val="000000"/>
              </w:rPr>
              <w:t>Об'єктом конкурсу можуть бути: маршрут (кілька маршрутів), оборотний рейс (кілька оборотних рейсів).</w:t>
            </w:r>
          </w:p>
          <w:p w:rsidR="0014086B" w:rsidRPr="00EA4636" w:rsidRDefault="0014086B" w:rsidP="003D503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EA4636">
              <w:rPr>
                <w:color w:val="000000"/>
              </w:rPr>
              <w:t>На конкурс виносяться маршрути із затвердженими паспортами.</w:t>
            </w:r>
          </w:p>
          <w:p w:rsidR="0014086B" w:rsidRPr="00EA4636" w:rsidRDefault="0014086B" w:rsidP="003D50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086B" w:rsidRPr="00EA4636" w:rsidRDefault="0014086B" w:rsidP="003D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Визначення автомобільного перевізника на міжнародному автобусному маршруті здійснюється у порядку, відповідно до частини третьої статті 56 цього Закону.</w:t>
            </w:r>
          </w:p>
        </w:tc>
        <w:tc>
          <w:tcPr>
            <w:tcW w:w="3549" w:type="dxa"/>
          </w:tcPr>
          <w:p w:rsidR="0014086B" w:rsidRPr="00EA4636" w:rsidRDefault="0014086B" w:rsidP="003D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86B" w:rsidRPr="00EA4636" w:rsidTr="003D5036">
        <w:tc>
          <w:tcPr>
            <w:tcW w:w="15309" w:type="dxa"/>
            <w:gridSpan w:val="5"/>
          </w:tcPr>
          <w:p w:rsidR="0014086B" w:rsidRPr="00EA4636" w:rsidRDefault="0014086B" w:rsidP="003D5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</w:t>
            </w:r>
            <w:r w:rsidR="00386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України </w:t>
            </w:r>
            <w:r w:rsidR="00386AA1" w:rsidRPr="00386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 міський електричний транспорт» (Відомості Верховної Ради України, 2004, № 51, ст. 548; 2011 р., № 39, ст. 398; 2017 р., № 7-8, ст. 51)</w:t>
            </w:r>
            <w:r w:rsidRPr="00EA4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14086B" w:rsidRPr="00EA4636" w:rsidTr="003D5036">
        <w:tc>
          <w:tcPr>
            <w:tcW w:w="5416" w:type="dxa"/>
          </w:tcPr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sz w:val="24"/>
                <w:szCs w:val="24"/>
              </w:rPr>
              <w:t>Стаття 4. Порядок надання транспортних послуг</w:t>
            </w:r>
          </w:p>
        </w:tc>
        <w:tc>
          <w:tcPr>
            <w:tcW w:w="6236" w:type="dxa"/>
            <w:gridSpan w:val="2"/>
          </w:tcPr>
          <w:p w:rsidR="0014086B" w:rsidRPr="00EA4636" w:rsidRDefault="0014086B" w:rsidP="003D50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Стаття 4. Порядок надання транспортних послуг</w:t>
            </w:r>
          </w:p>
        </w:tc>
        <w:tc>
          <w:tcPr>
            <w:tcW w:w="3657" w:type="dxa"/>
            <w:gridSpan w:val="2"/>
          </w:tcPr>
          <w:p w:rsidR="0014086B" w:rsidRPr="00EA4636" w:rsidRDefault="0014086B" w:rsidP="003D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86B" w:rsidRPr="00EA4636" w:rsidTr="003D5036">
        <w:tc>
          <w:tcPr>
            <w:tcW w:w="5416" w:type="dxa"/>
          </w:tcPr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Відсутня </w:t>
            </w:r>
          </w:p>
        </w:tc>
        <w:tc>
          <w:tcPr>
            <w:tcW w:w="6236" w:type="dxa"/>
            <w:gridSpan w:val="2"/>
          </w:tcPr>
          <w:p w:rsidR="0014086B" w:rsidRPr="00EA4636" w:rsidRDefault="0014086B" w:rsidP="003D503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EA4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Транспортні послуги, які надаються міським електричним транспортом є суспільно важливими послугами з перевезення пасажирів, що становлять загальноекономічний інтерес,</w:t>
            </w:r>
            <w:r w:rsidRPr="00EA4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організація яких, з огляду на їх вплив на соціальний, екологічний і регіональний розвиток держави або окремих регіонів, забезпечується місцевими органами виконавчої влади та органами місцевого самоврядування, і які надаються на компенсаційній основі шляхом відшкодування понесених витрат</w:t>
            </w:r>
            <w:r w:rsidRPr="00EA4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4086B" w:rsidRPr="00EA4636" w:rsidRDefault="0014086B" w:rsidP="003D50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086B" w:rsidRPr="00EA4636" w:rsidRDefault="0014086B" w:rsidP="003D50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sz w:val="24"/>
                <w:szCs w:val="24"/>
              </w:rPr>
              <w:t>У зв’язку з імплементацією Регламенту (ЄС) №1370/2007 Європейського парламенту та ради від 23 жовтня 2007 року про громадські послуги з перевезення пасажирів залізницею і автомобільними шляхами, що скасовує Регламент (ЄЕС) № 1191/69 і (ЄЕС) №1107/70 Ради згідно Додатку XXXII до глави 7 «Транспорт» розділу V «Економічне і галузеве співробітництво»</w:t>
            </w:r>
          </w:p>
        </w:tc>
      </w:tr>
      <w:tr w:rsidR="0014086B" w:rsidRPr="00EA4636" w:rsidTr="003D5036">
        <w:tc>
          <w:tcPr>
            <w:tcW w:w="5416" w:type="dxa"/>
          </w:tcPr>
          <w:p w:rsidR="0014086B" w:rsidRPr="00EA4636" w:rsidRDefault="0014086B" w:rsidP="00D8758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EA4636">
              <w:rPr>
                <w:rStyle w:val="rvts9"/>
                <w:b/>
                <w:bCs/>
                <w:color w:val="000000"/>
              </w:rPr>
              <w:t>Стаття 7.</w:t>
            </w:r>
            <w:r w:rsidRPr="00EA4636">
              <w:rPr>
                <w:color w:val="000000"/>
              </w:rPr>
              <w:t> Принципи та шляхи реалізації державної політики у сфері міського електричного транспорту</w:t>
            </w:r>
          </w:p>
          <w:p w:rsidR="0014086B" w:rsidRPr="00EA4636" w:rsidRDefault="0014086B" w:rsidP="00D8758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bookmarkStart w:id="5" w:name="n67"/>
            <w:bookmarkEnd w:id="5"/>
            <w:r w:rsidRPr="00EA4636">
              <w:rPr>
                <w:color w:val="000000"/>
              </w:rPr>
              <w:t>1. Державна політика у сфері міського електричного транспорту проводиться на засадах:</w:t>
            </w:r>
          </w:p>
          <w:p w:rsidR="0014086B" w:rsidRPr="00EA4636" w:rsidRDefault="0014086B" w:rsidP="00D8758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bookmarkStart w:id="6" w:name="n68"/>
            <w:bookmarkEnd w:id="6"/>
            <w:r w:rsidRPr="00EA4636">
              <w:rPr>
                <w:color w:val="000000"/>
              </w:rPr>
              <w:t>доступності транспортних п</w:t>
            </w:r>
            <w:r w:rsidR="00EA4636">
              <w:rPr>
                <w:color w:val="000000"/>
              </w:rPr>
              <w:t>ослуг для усіх верств населення;</w:t>
            </w:r>
          </w:p>
        </w:tc>
        <w:tc>
          <w:tcPr>
            <w:tcW w:w="6236" w:type="dxa"/>
            <w:gridSpan w:val="2"/>
          </w:tcPr>
          <w:p w:rsidR="0014086B" w:rsidRPr="00EA4636" w:rsidRDefault="0014086B" w:rsidP="00D8758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EA4636">
              <w:rPr>
                <w:rStyle w:val="rvts9"/>
                <w:b/>
                <w:bCs/>
                <w:color w:val="000000"/>
              </w:rPr>
              <w:t>Стаття 7.</w:t>
            </w:r>
            <w:r w:rsidRPr="00EA4636">
              <w:rPr>
                <w:color w:val="000000"/>
              </w:rPr>
              <w:t> Принципи та шляхи реалізації державної політики у сфері міського електричного транспорту</w:t>
            </w:r>
          </w:p>
          <w:p w:rsidR="0014086B" w:rsidRPr="00EA4636" w:rsidRDefault="0014086B" w:rsidP="00D8758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EA4636">
              <w:rPr>
                <w:color w:val="000000"/>
              </w:rPr>
              <w:t>1. Державна політика у сфері міського електричного транспорту проводиться на засадах:</w:t>
            </w:r>
          </w:p>
          <w:p w:rsidR="0014086B" w:rsidRPr="00D8758F" w:rsidRDefault="0014086B" w:rsidP="00D8758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color w:val="000000"/>
              </w:rPr>
            </w:pPr>
            <w:r w:rsidRPr="00D8758F">
              <w:rPr>
                <w:b/>
                <w:color w:val="000000"/>
              </w:rPr>
              <w:t xml:space="preserve">доступності та якості </w:t>
            </w:r>
            <w:r w:rsidR="00D8758F" w:rsidRPr="00D8758F">
              <w:rPr>
                <w:b/>
                <w:color w:val="000000"/>
              </w:rPr>
              <w:t xml:space="preserve">надання </w:t>
            </w:r>
            <w:r w:rsidRPr="00D8758F">
              <w:rPr>
                <w:b/>
                <w:color w:val="000000"/>
              </w:rPr>
              <w:t>транспортних п</w:t>
            </w:r>
            <w:r w:rsidR="00D8758F">
              <w:rPr>
                <w:b/>
                <w:color w:val="000000"/>
              </w:rPr>
              <w:t>ослуг для усіх верств населення;</w:t>
            </w:r>
          </w:p>
        </w:tc>
        <w:tc>
          <w:tcPr>
            <w:tcW w:w="3657" w:type="dxa"/>
            <w:gridSpan w:val="2"/>
          </w:tcPr>
          <w:p w:rsidR="0014086B" w:rsidRPr="00EA4636" w:rsidRDefault="0014086B" w:rsidP="00D87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86B" w:rsidRPr="00EA4636" w:rsidTr="003D5036">
        <w:tc>
          <w:tcPr>
            <w:tcW w:w="5416" w:type="dxa"/>
          </w:tcPr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4636">
              <w:rPr>
                <w:rFonts w:ascii="Times New Roman" w:hAnsi="Times New Roman" w:cs="Times New Roman"/>
                <w:sz w:val="24"/>
                <w:szCs w:val="24"/>
              </w:rPr>
              <w:t>Стаття 9. Функції уповноважених центральних органів виконавчої влади у сфері міського електричного транспорту</w:t>
            </w:r>
            <w:r w:rsidRPr="00EA4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4086B" w:rsidRPr="00EA4636" w:rsidRDefault="0014086B" w:rsidP="0014086B">
            <w:pPr>
              <w:pStyle w:val="a7"/>
              <w:numPr>
                <w:ilvl w:val="0"/>
                <w:numId w:val="6"/>
              </w:numPr>
              <w:ind w:left="0" w:firstLine="4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4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Центральний орган виконавчої влади, що забезпечує формування та реалізує державну політику у сфері транспорту, здійснює:</w:t>
            </w:r>
          </w:p>
          <w:p w:rsidR="0014086B" w:rsidRPr="00EA4636" w:rsidRDefault="0014086B" w:rsidP="003D5036">
            <w:pPr>
              <w:pStyle w:val="a7"/>
              <w:ind w:left="0" w:firstLine="4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86B" w:rsidRPr="00EA4636" w:rsidRDefault="0014086B" w:rsidP="003D5036">
            <w:pPr>
              <w:pStyle w:val="a7"/>
              <w:ind w:left="0" w:firstLine="4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86B" w:rsidRPr="00EA4636" w:rsidRDefault="0014086B" w:rsidP="003D5036">
            <w:pPr>
              <w:pStyle w:val="a7"/>
              <w:ind w:left="0" w:firstLine="4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b/>
                <w:sz w:val="24"/>
                <w:szCs w:val="24"/>
              </w:rPr>
              <w:t>Відсутня</w:t>
            </w:r>
          </w:p>
        </w:tc>
        <w:tc>
          <w:tcPr>
            <w:tcW w:w="6236" w:type="dxa"/>
            <w:gridSpan w:val="2"/>
          </w:tcPr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4636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Стаття 9.</w:t>
            </w:r>
            <w:r w:rsidRPr="00EA4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Функції уповноважених центральних органів виконавчої влади у сфері міського електричного транспорту</w:t>
            </w:r>
          </w:p>
          <w:p w:rsidR="0014086B" w:rsidRPr="00EA4636" w:rsidRDefault="0014086B" w:rsidP="0014086B">
            <w:pPr>
              <w:pStyle w:val="a7"/>
              <w:numPr>
                <w:ilvl w:val="0"/>
                <w:numId w:val="5"/>
              </w:numPr>
              <w:ind w:left="10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4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Центральний орган виконавчої влади, що забезпечує формування та реалізує державну політику у сфері транспорту, здійснює:</w:t>
            </w:r>
          </w:p>
          <w:p w:rsidR="0014086B" w:rsidRPr="00EA4636" w:rsidRDefault="0014086B" w:rsidP="003D5036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086B" w:rsidRPr="00EA4636" w:rsidRDefault="0014086B" w:rsidP="003D5036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затвердження положення про атестаційну комісію з визначення кваліфіка</w:t>
            </w:r>
            <w:r w:rsidR="00D87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ції водіїв трамвая і тролейбуса.</w:t>
            </w:r>
          </w:p>
        </w:tc>
        <w:tc>
          <w:tcPr>
            <w:tcW w:w="3657" w:type="dxa"/>
            <w:gridSpan w:val="2"/>
          </w:tcPr>
          <w:p w:rsidR="0014086B" w:rsidRPr="00EA4636" w:rsidRDefault="0014086B" w:rsidP="003D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додаткових функцій органам влади, у зв’язку з імплементацією Регламенту (ЄС) №1370/2007 Європейського парламенту та ради від 23 жовтня 2007 року про громадські послуги з перевезення пасажирів залізницею і автомобільними шляхами, що скасовує Регламент (ЄЕС) № 1191/69 і (ЄЕС) №1107/70 Ради згідно Додатку XXXII до глави 7 «Транспорт» розділу V «Економічне і галузеве співробітництво»</w:t>
            </w:r>
          </w:p>
        </w:tc>
      </w:tr>
      <w:tr w:rsidR="0014086B" w:rsidRPr="00EA4636" w:rsidTr="003D5036">
        <w:trPr>
          <w:trHeight w:val="1100"/>
        </w:trPr>
        <w:tc>
          <w:tcPr>
            <w:tcW w:w="5416" w:type="dxa"/>
          </w:tcPr>
          <w:p w:rsidR="0014086B" w:rsidRPr="00EA4636" w:rsidRDefault="0014086B" w:rsidP="003D503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EA4636">
              <w:rPr>
                <w:rStyle w:val="rvts9"/>
                <w:b/>
                <w:bCs/>
                <w:color w:val="000000"/>
              </w:rPr>
              <w:lastRenderedPageBreak/>
              <w:t>Стаття 11.</w:t>
            </w:r>
            <w:r w:rsidRPr="00EA4636">
              <w:rPr>
                <w:color w:val="000000"/>
              </w:rPr>
              <w:t> Договір про організацію надання транспортних послуг</w:t>
            </w:r>
          </w:p>
          <w:p w:rsidR="0014086B" w:rsidRPr="00EA4636" w:rsidRDefault="0014086B" w:rsidP="003D503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7" w:name="n130"/>
            <w:bookmarkEnd w:id="7"/>
            <w:r w:rsidRPr="00EA4636">
              <w:rPr>
                <w:color w:val="000000"/>
              </w:rPr>
              <w:t>1. Відносини замовників з перевізниками регулюються згідно із законодавством, а також договором про організацію надання транспортних послуг.</w:t>
            </w:r>
          </w:p>
          <w:p w:rsidR="0014086B" w:rsidRPr="00EA4636" w:rsidRDefault="0014086B" w:rsidP="003D503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8" w:name="n131"/>
            <w:bookmarkEnd w:id="8"/>
            <w:r w:rsidRPr="00EA4636">
              <w:rPr>
                <w:color w:val="000000"/>
              </w:rPr>
              <w:t>2. У договорі про організацію надання транспортних послуг визначаються обсяги і якість транспортних послуг за маршрутами (лініями) згідно з розкладом руху, вартість перевезення пасажирів, обов’язки та права сторін, порядок та строки проведення розрахунків, інші умови надання транспортних послуг.</w:t>
            </w:r>
          </w:p>
          <w:p w:rsidR="0014086B" w:rsidRPr="00EA4636" w:rsidRDefault="0014086B" w:rsidP="003D5036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bookmarkStart w:id="9" w:name="n132"/>
            <w:bookmarkEnd w:id="9"/>
            <w:r w:rsidRPr="00EA4636">
              <w:rPr>
                <w:color w:val="000000"/>
              </w:rPr>
              <w:t>……………………</w:t>
            </w:r>
          </w:p>
          <w:p w:rsidR="0014086B" w:rsidRPr="00EA4636" w:rsidRDefault="0014086B" w:rsidP="003D503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</w:p>
        </w:tc>
        <w:tc>
          <w:tcPr>
            <w:tcW w:w="6236" w:type="dxa"/>
            <w:gridSpan w:val="2"/>
          </w:tcPr>
          <w:p w:rsidR="0014086B" w:rsidRPr="00EA4636" w:rsidRDefault="0014086B" w:rsidP="003D503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EA4636">
              <w:rPr>
                <w:rStyle w:val="rvts9"/>
                <w:b/>
                <w:bCs/>
                <w:color w:val="000000"/>
              </w:rPr>
              <w:t>Стаття 11.</w:t>
            </w:r>
            <w:r w:rsidRPr="00EA4636">
              <w:rPr>
                <w:color w:val="000000"/>
              </w:rPr>
              <w:t> Договір про організацію надання транспортних послуг</w:t>
            </w:r>
          </w:p>
          <w:p w:rsidR="0014086B" w:rsidRPr="00EA4636" w:rsidRDefault="0014086B" w:rsidP="003D503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EA4636">
              <w:rPr>
                <w:color w:val="000000"/>
              </w:rPr>
              <w:t>1. Відносини замовників з перевізниками регулюються згідно із законодавством, а також договором про організацію надання транспортних послуг.</w:t>
            </w:r>
          </w:p>
          <w:p w:rsidR="0014086B" w:rsidRPr="00EA4636" w:rsidRDefault="0014086B" w:rsidP="003D5036">
            <w:pPr>
              <w:ind w:firstLine="4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У договорі про організацію надання транспортних послуг визначаються обсяги і якість транспортних послуг за маршрутами (лініями) згідно з розкладом руху, вартість перевезення пасажирів, обов’язки та права сторін, порядок та строки проведення розрахунків, </w:t>
            </w:r>
            <w:r w:rsidRPr="00EA4636">
              <w:rPr>
                <w:rFonts w:ascii="Times New Roman" w:hAnsi="Times New Roman" w:cs="Times New Roman"/>
                <w:b/>
                <w:sz w:val="24"/>
                <w:szCs w:val="24"/>
              </w:rPr>
              <w:t>тариф одиниці транспортної роботи,</w:t>
            </w:r>
            <w:r w:rsidRPr="00EA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4636">
              <w:rPr>
                <w:rFonts w:ascii="Times New Roman" w:hAnsi="Times New Roman" w:cs="Times New Roman"/>
                <w:b/>
                <w:sz w:val="24"/>
                <w:szCs w:val="24"/>
              </w:rPr>
              <w:t>розмір та умови компенсації, розподіл витрат та доходу від продажу квитків між замовником та перевізником</w:t>
            </w:r>
            <w:r w:rsidRPr="00EA46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інші умови надання транспортних послуг.</w:t>
            </w:r>
          </w:p>
          <w:p w:rsidR="0014086B" w:rsidRPr="00EA4636" w:rsidRDefault="00F94E76" w:rsidP="003D5036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hyperlink r:id="rId8" w:anchor="n9" w:tgtFrame="_blank" w:history="1">
              <w:r w:rsidR="0014086B" w:rsidRPr="00EA4636">
                <w:rPr>
                  <w:rStyle w:val="a6"/>
                  <w:color w:val="000000" w:themeColor="text1"/>
                </w:rPr>
                <w:t>Типовий договір про організацію надання транспортних послуг</w:t>
              </w:r>
            </w:hyperlink>
            <w:r w:rsidR="0014086B" w:rsidRPr="00EA4636">
              <w:rPr>
                <w:color w:val="000000" w:themeColor="text1"/>
              </w:rPr>
              <w:t> затверджується Кабінетом Міністрів України.</w:t>
            </w:r>
          </w:p>
          <w:p w:rsidR="0014086B" w:rsidRPr="00EA4636" w:rsidRDefault="0014086B" w:rsidP="003D5036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b/>
                <w:lang w:eastAsia="en-US"/>
              </w:rPr>
            </w:pPr>
            <w:r w:rsidRPr="00EA4636">
              <w:rPr>
                <w:b/>
                <w:lang w:eastAsia="ru-RU"/>
              </w:rPr>
              <w:t xml:space="preserve">Договір </w:t>
            </w:r>
            <w:r w:rsidR="00D8758F">
              <w:rPr>
                <w:b/>
                <w:lang w:eastAsia="ru-RU"/>
              </w:rPr>
              <w:t xml:space="preserve">про організацію надання  транспортних послуг </w:t>
            </w:r>
            <w:r w:rsidRPr="00EA4636">
              <w:rPr>
                <w:b/>
                <w:lang w:eastAsia="ru-RU"/>
              </w:rPr>
              <w:t>між замовником та перевізником укладається строком від десяти до п’ятнадцяти  років.</w:t>
            </w:r>
          </w:p>
          <w:p w:rsidR="0014086B" w:rsidRPr="00EA4636" w:rsidRDefault="0014086B" w:rsidP="003D5036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rStyle w:val="rvts9"/>
                <w:color w:val="000000"/>
              </w:rPr>
            </w:pPr>
            <w:r w:rsidRPr="00EA4636">
              <w:rPr>
                <w:b/>
                <w:bCs/>
              </w:rPr>
              <w:t xml:space="preserve">Замовник визначає </w:t>
            </w:r>
            <w:r w:rsidRPr="00EA4636">
              <w:rPr>
                <w:b/>
                <w:color w:val="000000"/>
                <w:shd w:val="clear" w:color="auto" w:fill="FFFFFF"/>
              </w:rPr>
              <w:t xml:space="preserve">базовий </w:t>
            </w:r>
            <w:r w:rsidRPr="00EA4636">
              <w:rPr>
                <w:b/>
              </w:rPr>
              <w:t>тариф одиниці транспортної роботи</w:t>
            </w:r>
            <w:r w:rsidRPr="00EA4636">
              <w:rPr>
                <w:b/>
                <w:bCs/>
              </w:rPr>
              <w:t xml:space="preserve"> з урахуванням економічно обґрунтованих витрат</w:t>
            </w:r>
            <w:r w:rsidRPr="00EA4636">
              <w:rPr>
                <w:b/>
              </w:rPr>
              <w:t xml:space="preserve"> і обґрунтованої частини </w:t>
            </w:r>
            <w:r w:rsidRPr="00EA4636">
              <w:rPr>
                <w:b/>
                <w:shd w:val="clear" w:color="auto" w:fill="FFFFFF" w:themeFill="background1"/>
              </w:rPr>
              <w:t>прибутку на підставі</w:t>
            </w:r>
            <w:r w:rsidRPr="00EA4636">
              <w:rPr>
                <w:b/>
                <w:bCs/>
                <w:shd w:val="clear" w:color="auto" w:fill="FFFFFF" w:themeFill="background1"/>
              </w:rPr>
              <w:t xml:space="preserve"> методики</w:t>
            </w:r>
            <w:r w:rsidRPr="00EA4636">
              <w:rPr>
                <w:b/>
                <w:bCs/>
              </w:rPr>
              <w:t>, затвердженої центральним органом виконавчої влади, що забезпечує формування та реалізує державну політику у сфері транспорту.</w:t>
            </w:r>
          </w:p>
        </w:tc>
        <w:tc>
          <w:tcPr>
            <w:tcW w:w="3657" w:type="dxa"/>
            <w:gridSpan w:val="2"/>
          </w:tcPr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sz w:val="24"/>
                <w:szCs w:val="24"/>
              </w:rPr>
              <w:t>у зв’язку з імплементацією Регламенту (ЄС) №1370/2007 Європейського парламенту та ради від 23 жовтня 2007 року про громадські послуги з перевезення пасажирів залізницею і автомобільними шляхами, що скасовує Регламент (ЄЕС) № 1191/69 і (ЄЕС) №1107/70 Ради згідно Додатку XXXII до глави 7 «Транспорт» розділу V «Економічне і галузеве співробітництво»</w:t>
            </w:r>
          </w:p>
          <w:p w:rsidR="0014086B" w:rsidRPr="00EA4636" w:rsidRDefault="0014086B" w:rsidP="003D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86B" w:rsidRPr="00EA4636" w:rsidTr="003D5036">
        <w:tc>
          <w:tcPr>
            <w:tcW w:w="5416" w:type="dxa"/>
          </w:tcPr>
          <w:p w:rsidR="0014086B" w:rsidRPr="00EA4636" w:rsidRDefault="0014086B" w:rsidP="003D503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EA4636">
              <w:rPr>
                <w:rStyle w:val="rvts9"/>
                <w:b/>
                <w:bCs/>
                <w:color w:val="000000"/>
              </w:rPr>
              <w:t>Стаття 12.</w:t>
            </w:r>
            <w:r w:rsidRPr="00EA4636">
              <w:rPr>
                <w:color w:val="000000"/>
              </w:rPr>
              <w:t> Обов’язки та права замовника транспортних послуг</w:t>
            </w:r>
          </w:p>
          <w:p w:rsidR="0014086B" w:rsidRPr="00EA4636" w:rsidRDefault="0014086B" w:rsidP="003D503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10" w:name="n138"/>
            <w:bookmarkEnd w:id="10"/>
            <w:r w:rsidRPr="00EA4636">
              <w:rPr>
                <w:color w:val="000000"/>
              </w:rPr>
              <w:t>1. Замовник транспортних послуг зобов’язаний:</w:t>
            </w:r>
          </w:p>
          <w:p w:rsidR="0014086B" w:rsidRPr="00EA4636" w:rsidRDefault="0014086B" w:rsidP="003D503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Style w:val="rvts9"/>
                <w:b/>
                <w:bCs/>
                <w:color w:val="000000"/>
              </w:rPr>
            </w:pPr>
          </w:p>
        </w:tc>
        <w:tc>
          <w:tcPr>
            <w:tcW w:w="6236" w:type="dxa"/>
            <w:gridSpan w:val="2"/>
          </w:tcPr>
          <w:p w:rsidR="0014086B" w:rsidRPr="00EA4636" w:rsidRDefault="0014086B" w:rsidP="003D503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EA4636">
              <w:rPr>
                <w:rStyle w:val="rvts9"/>
                <w:b/>
                <w:bCs/>
                <w:color w:val="000000"/>
              </w:rPr>
              <w:t>Стаття 12.</w:t>
            </w:r>
            <w:r w:rsidRPr="00EA4636">
              <w:rPr>
                <w:color w:val="000000"/>
              </w:rPr>
              <w:t> Обов’язки та права замовника транспортних послуг</w:t>
            </w:r>
          </w:p>
          <w:p w:rsidR="0014086B" w:rsidRPr="00EA4636" w:rsidRDefault="0014086B" w:rsidP="003D503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EA4636">
              <w:rPr>
                <w:color w:val="000000"/>
              </w:rPr>
              <w:t>1. Замовник транспортних послуг зобов’язаний:</w:t>
            </w:r>
          </w:p>
          <w:p w:rsidR="0014086B" w:rsidRPr="00EA4636" w:rsidRDefault="0014086B" w:rsidP="003D503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Style w:val="rvts9"/>
                <w:b/>
                <w:bCs/>
                <w:color w:val="000000"/>
              </w:rPr>
            </w:pPr>
            <w:r w:rsidRPr="00EA4636">
              <w:rPr>
                <w:b/>
              </w:rPr>
              <w:t>оприлюднювати щорічний звіт щодо виконання зобов’язань з організації надання транспортних послуг, інформацію про укладені договори та розміри н</w:t>
            </w:r>
            <w:r w:rsidR="00D8758F">
              <w:rPr>
                <w:b/>
              </w:rPr>
              <w:t>аданої перевізникам компенсації;</w:t>
            </w:r>
          </w:p>
        </w:tc>
        <w:tc>
          <w:tcPr>
            <w:tcW w:w="3657" w:type="dxa"/>
            <w:gridSpan w:val="2"/>
          </w:tcPr>
          <w:p w:rsidR="0014086B" w:rsidRPr="00EA4636" w:rsidRDefault="0014086B" w:rsidP="003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36">
              <w:rPr>
                <w:rFonts w:ascii="Times New Roman" w:hAnsi="Times New Roman" w:cs="Times New Roman"/>
                <w:sz w:val="24"/>
                <w:szCs w:val="24"/>
              </w:rPr>
              <w:t xml:space="preserve">імплементація Регламенту (ЄС) №1370/2007 Європейського парламенту та ради від 23 жовтня 2007 року про громадські послуги з перевезення пасажирів залізницею і автомобільними шляхами, що скасовує Регламент (ЄЕС) № 1191/69 і (ЄЕС) №1107/70 Ради згідно Додатку </w:t>
            </w:r>
            <w:r w:rsidRPr="00EA4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XXXII до глави 7 «Транспорт» розділу V «Економічне і галузеве співробітництво»</w:t>
            </w:r>
          </w:p>
        </w:tc>
      </w:tr>
      <w:tr w:rsidR="0014086B" w:rsidRPr="00EA4636" w:rsidTr="003D5036">
        <w:tc>
          <w:tcPr>
            <w:tcW w:w="5416" w:type="dxa"/>
          </w:tcPr>
          <w:p w:rsidR="0014086B" w:rsidRPr="00EA4636" w:rsidRDefault="0014086B" w:rsidP="003D503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EA4636">
              <w:rPr>
                <w:rStyle w:val="rvts9"/>
                <w:b/>
                <w:bCs/>
                <w:color w:val="000000"/>
              </w:rPr>
              <w:lastRenderedPageBreak/>
              <w:t>Стаття 13.</w:t>
            </w:r>
            <w:r w:rsidRPr="00EA4636">
              <w:rPr>
                <w:color w:val="000000"/>
              </w:rPr>
              <w:t> Обов’язки та права перевізника</w:t>
            </w:r>
          </w:p>
          <w:p w:rsidR="0014086B" w:rsidRPr="00EA4636" w:rsidRDefault="0014086B" w:rsidP="003D503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11" w:name="n152"/>
            <w:bookmarkEnd w:id="11"/>
            <w:r w:rsidRPr="00EA4636">
              <w:rPr>
                <w:color w:val="000000"/>
              </w:rPr>
              <w:t>1. Перевізник зобов’язаний:</w:t>
            </w:r>
          </w:p>
          <w:p w:rsidR="0014086B" w:rsidRPr="00EA4636" w:rsidRDefault="0014086B" w:rsidP="003D503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Style w:val="rvts9"/>
                <w:b/>
                <w:bCs/>
                <w:color w:val="000000"/>
              </w:rPr>
            </w:pPr>
          </w:p>
        </w:tc>
        <w:tc>
          <w:tcPr>
            <w:tcW w:w="6236" w:type="dxa"/>
            <w:gridSpan w:val="2"/>
          </w:tcPr>
          <w:p w:rsidR="0014086B" w:rsidRPr="00EA4636" w:rsidRDefault="0014086B" w:rsidP="003D503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EA4636">
              <w:rPr>
                <w:rStyle w:val="rvts9"/>
                <w:b/>
                <w:bCs/>
                <w:color w:val="000000"/>
              </w:rPr>
              <w:t>Стаття 13.</w:t>
            </w:r>
            <w:r w:rsidRPr="00EA4636">
              <w:rPr>
                <w:color w:val="000000"/>
              </w:rPr>
              <w:t> Обов’язки та права перевізника</w:t>
            </w:r>
          </w:p>
          <w:p w:rsidR="0014086B" w:rsidRPr="00EA4636" w:rsidRDefault="0014086B" w:rsidP="003D503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EA4636">
              <w:rPr>
                <w:color w:val="000000"/>
              </w:rPr>
              <w:t>1. Перевізник зобов’язаний:</w:t>
            </w:r>
          </w:p>
          <w:p w:rsidR="0014086B" w:rsidRPr="00EA4636" w:rsidRDefault="0014086B" w:rsidP="003D503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Style w:val="rvts9"/>
                <w:b/>
                <w:bCs/>
                <w:color w:val="000000"/>
              </w:rPr>
            </w:pPr>
            <w:r w:rsidRPr="00EA4636">
              <w:rPr>
                <w:b/>
              </w:rPr>
              <w:t>щорічно на власному веб-сайті оприлюднювати звіт стосовно дотримання  якості надання послуг, який, зокрема, включає інформацію про кількість і типи отриманих скарг і заходи, вжиті для покращення ситуації.</w:t>
            </w:r>
          </w:p>
        </w:tc>
        <w:tc>
          <w:tcPr>
            <w:tcW w:w="3657" w:type="dxa"/>
            <w:gridSpan w:val="2"/>
          </w:tcPr>
          <w:p w:rsidR="0014086B" w:rsidRPr="00EA4636" w:rsidRDefault="0014086B" w:rsidP="003D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36">
              <w:rPr>
                <w:rFonts w:ascii="Times New Roman" w:hAnsi="Times New Roman" w:cs="Times New Roman"/>
                <w:sz w:val="24"/>
                <w:szCs w:val="24"/>
              </w:rPr>
              <w:t>імплементація Регламенту (ЄС) №1370/2007 Європейського парламенту та ради від 23 жовтня 2007 року про громадські послуги з перевезення пасажирів залізницею і автомобільними шляхами, що скасовує Регламент (ЄЕС) № 1191/69 і (ЄЕС) №1107/70 Ради згідно Додатку XXXII до глави 7 «Транспорт» розділу V «Економічне і галузеве співробітництво»</w:t>
            </w:r>
          </w:p>
        </w:tc>
      </w:tr>
      <w:tr w:rsidR="0014086B" w:rsidRPr="00EA4636" w:rsidTr="003D5036">
        <w:tc>
          <w:tcPr>
            <w:tcW w:w="5416" w:type="dxa"/>
          </w:tcPr>
          <w:p w:rsidR="0014086B" w:rsidRPr="00EA4636" w:rsidRDefault="0014086B" w:rsidP="003D503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EA4636">
              <w:rPr>
                <w:rStyle w:val="rvts9"/>
                <w:b/>
                <w:bCs/>
                <w:color w:val="000000"/>
              </w:rPr>
              <w:t>Стаття 19.</w:t>
            </w:r>
            <w:r w:rsidRPr="00EA4636">
              <w:rPr>
                <w:color w:val="000000"/>
              </w:rPr>
              <w:t> Трудові відносини та соціальний захист працівників перевізника</w:t>
            </w:r>
          </w:p>
          <w:p w:rsidR="0014086B" w:rsidRPr="00EA4636" w:rsidRDefault="0014086B" w:rsidP="003D503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12" w:name="n196"/>
            <w:bookmarkEnd w:id="12"/>
            <w:r w:rsidRPr="00EA4636">
              <w:rPr>
                <w:color w:val="000000"/>
              </w:rPr>
              <w:t>1. Трудові відносини працівників перевізника регулюються законодавством про працю та правилами внутрішнього трудового розпорядку.</w:t>
            </w:r>
          </w:p>
          <w:p w:rsidR="0014086B" w:rsidRPr="00EA4636" w:rsidRDefault="0014086B" w:rsidP="003D503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13" w:name="n197"/>
            <w:bookmarkEnd w:id="13"/>
            <w:r w:rsidRPr="00EA4636">
              <w:rPr>
                <w:color w:val="000000"/>
              </w:rPr>
              <w:t>2. </w:t>
            </w:r>
            <w:hyperlink r:id="rId9" w:anchor="n15" w:tgtFrame="_blank" w:history="1">
              <w:r w:rsidRPr="00EA4636">
                <w:rPr>
                  <w:rStyle w:val="a6"/>
                </w:rPr>
                <w:t>Положення про робочий час та час відпочинку водіїв</w:t>
              </w:r>
            </w:hyperlink>
            <w:r w:rsidRPr="00EA4636">
              <w:rPr>
                <w:color w:val="000000"/>
              </w:rPr>
              <w:t> затверджує центральний орган виконавчої влади, що забезпечує формування та реалізує державну політику у сфері транспорту.</w:t>
            </w:r>
          </w:p>
          <w:p w:rsidR="0014086B" w:rsidRPr="00EA4636" w:rsidRDefault="0014086B" w:rsidP="003D503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Style w:val="rvts9"/>
                <w:b/>
                <w:color w:val="000000"/>
              </w:rPr>
            </w:pPr>
            <w:bookmarkStart w:id="14" w:name="n198"/>
            <w:bookmarkStart w:id="15" w:name="n199"/>
            <w:bookmarkEnd w:id="14"/>
            <w:bookmarkEnd w:id="15"/>
            <w:r w:rsidRPr="00EA4636">
              <w:rPr>
                <w:color w:val="000000"/>
              </w:rPr>
              <w:t xml:space="preserve">3. Керівник перевізника приймається на роботу за контрактом. </w:t>
            </w:r>
            <w:r w:rsidRPr="00EA4636">
              <w:rPr>
                <w:b/>
                <w:strike/>
                <w:color w:val="000000"/>
              </w:rPr>
              <w:t>Прийняття і звільнення керівника із займаної посади узгоджується з центральним органом виконавчої влади, що забезпечує формування та реалізує державну політику у сфері транспорту у межах їх повноважень.</w:t>
            </w:r>
          </w:p>
        </w:tc>
        <w:tc>
          <w:tcPr>
            <w:tcW w:w="6236" w:type="dxa"/>
            <w:gridSpan w:val="2"/>
          </w:tcPr>
          <w:p w:rsidR="0014086B" w:rsidRPr="00EA4636" w:rsidRDefault="0014086B" w:rsidP="003D503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EA4636">
              <w:rPr>
                <w:rStyle w:val="rvts9"/>
                <w:b/>
                <w:bCs/>
                <w:color w:val="000000"/>
              </w:rPr>
              <w:t>Стаття 19.</w:t>
            </w:r>
            <w:r w:rsidRPr="00EA4636">
              <w:rPr>
                <w:color w:val="000000"/>
              </w:rPr>
              <w:t> Трудові відносини та соціальний захист працівників перевізника</w:t>
            </w:r>
          </w:p>
          <w:p w:rsidR="0014086B" w:rsidRPr="00EA4636" w:rsidRDefault="0014086B" w:rsidP="003D503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EA4636">
              <w:rPr>
                <w:color w:val="000000"/>
              </w:rPr>
              <w:t>1. Трудові відносини працівників перевізника регулюються законодавством про працю та правилами внутрішнього трудового розпорядку.</w:t>
            </w:r>
          </w:p>
          <w:p w:rsidR="0014086B" w:rsidRPr="00EA4636" w:rsidRDefault="0014086B" w:rsidP="003D503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EA4636">
              <w:rPr>
                <w:color w:val="000000"/>
              </w:rPr>
              <w:t>2. </w:t>
            </w:r>
            <w:hyperlink r:id="rId10" w:anchor="n15" w:tgtFrame="_blank" w:history="1">
              <w:r w:rsidRPr="00EA4636">
                <w:rPr>
                  <w:rStyle w:val="a6"/>
                </w:rPr>
                <w:t>Положення про робочий час та час відпочинку водіїв</w:t>
              </w:r>
            </w:hyperlink>
            <w:r w:rsidRPr="00EA4636">
              <w:rPr>
                <w:color w:val="000000"/>
              </w:rPr>
              <w:t> затверджує центральний орган виконавчої влади, що забезпечує формування та реалізує державну політику у сфері транспорту.</w:t>
            </w:r>
          </w:p>
          <w:p w:rsidR="0014086B" w:rsidRPr="00EA4636" w:rsidRDefault="0014086B" w:rsidP="003D503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EA4636">
              <w:rPr>
                <w:color w:val="000000"/>
              </w:rPr>
              <w:t xml:space="preserve">3. Керівник перевізника приймається на роботу за контрактом. </w:t>
            </w:r>
          </w:p>
          <w:p w:rsidR="0014086B" w:rsidRPr="00EA4636" w:rsidRDefault="0014086B" w:rsidP="00EA463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Style w:val="rvts9"/>
                <w:b/>
                <w:color w:val="000000"/>
              </w:rPr>
            </w:pPr>
            <w:r w:rsidRPr="00EA4636">
              <w:rPr>
                <w:b/>
                <w:color w:val="000000"/>
              </w:rPr>
              <w:t>відсутня</w:t>
            </w:r>
          </w:p>
        </w:tc>
        <w:tc>
          <w:tcPr>
            <w:tcW w:w="3657" w:type="dxa"/>
            <w:gridSpan w:val="2"/>
          </w:tcPr>
          <w:p w:rsidR="0014086B" w:rsidRPr="00EA4636" w:rsidRDefault="0014086B" w:rsidP="003D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 до Закону України «Про місцеве самоврядування» міський голова призначає на посаду керівника перевізника за контрактом.</w:t>
            </w:r>
          </w:p>
        </w:tc>
      </w:tr>
    </w:tbl>
    <w:p w:rsidR="0014086B" w:rsidRPr="00EA4636" w:rsidRDefault="0014086B" w:rsidP="00140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86B" w:rsidRPr="00EA4636" w:rsidRDefault="0014086B" w:rsidP="00140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636">
        <w:rPr>
          <w:rFonts w:ascii="Times New Roman" w:hAnsi="Times New Roman" w:cs="Times New Roman"/>
          <w:b/>
          <w:sz w:val="24"/>
          <w:szCs w:val="24"/>
        </w:rPr>
        <w:t xml:space="preserve">Директор Департаменту стратегічного розвитку </w:t>
      </w:r>
    </w:p>
    <w:p w:rsidR="0014086B" w:rsidRPr="00EA4636" w:rsidRDefault="0014086B" w:rsidP="00140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636">
        <w:rPr>
          <w:rFonts w:ascii="Times New Roman" w:hAnsi="Times New Roman" w:cs="Times New Roman"/>
          <w:b/>
          <w:sz w:val="24"/>
          <w:szCs w:val="24"/>
        </w:rPr>
        <w:t>дорожнього ринку та автомобільних перевезень</w:t>
      </w:r>
    </w:p>
    <w:p w:rsidR="0014086B" w:rsidRPr="00EA4636" w:rsidRDefault="0014086B" w:rsidP="00140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636">
        <w:rPr>
          <w:rFonts w:ascii="Times New Roman" w:hAnsi="Times New Roman" w:cs="Times New Roman"/>
          <w:b/>
          <w:sz w:val="24"/>
          <w:szCs w:val="24"/>
        </w:rPr>
        <w:t>Міністерства інфраструктури України                                                                                                                         Ольга РЯБОВА</w:t>
      </w:r>
    </w:p>
    <w:p w:rsidR="0014086B" w:rsidRPr="00EA4636" w:rsidRDefault="0014086B" w:rsidP="00140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86B" w:rsidRPr="00EA4636" w:rsidRDefault="0014086B" w:rsidP="0014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36">
        <w:rPr>
          <w:rFonts w:ascii="Times New Roman" w:hAnsi="Times New Roman" w:cs="Times New Roman"/>
          <w:sz w:val="24"/>
          <w:szCs w:val="24"/>
        </w:rPr>
        <w:t>«_____»_______________2020 р.</w:t>
      </w:r>
    </w:p>
    <w:p w:rsidR="00453346" w:rsidRPr="00EA4636" w:rsidRDefault="00453346" w:rsidP="0014086B">
      <w:pPr>
        <w:rPr>
          <w:sz w:val="24"/>
          <w:szCs w:val="24"/>
        </w:rPr>
      </w:pPr>
    </w:p>
    <w:sectPr w:rsidR="00453346" w:rsidRPr="00EA4636" w:rsidSect="00386AA1">
      <w:headerReference w:type="default" r:id="rId11"/>
      <w:pgSz w:w="16838" w:h="11906" w:orient="landscape"/>
      <w:pgMar w:top="426" w:right="850" w:bottom="426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E76" w:rsidRDefault="00F94E76">
      <w:pPr>
        <w:spacing w:after="0" w:line="240" w:lineRule="auto"/>
      </w:pPr>
      <w:r>
        <w:separator/>
      </w:r>
    </w:p>
  </w:endnote>
  <w:endnote w:type="continuationSeparator" w:id="0">
    <w:p w:rsidR="00F94E76" w:rsidRDefault="00F9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E76" w:rsidRDefault="00F94E76">
      <w:pPr>
        <w:spacing w:after="0" w:line="240" w:lineRule="auto"/>
      </w:pPr>
      <w:r>
        <w:separator/>
      </w:r>
    </w:p>
  </w:footnote>
  <w:footnote w:type="continuationSeparator" w:id="0">
    <w:p w:rsidR="00F94E76" w:rsidRDefault="00F9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577261164"/>
      <w:docPartObj>
        <w:docPartGallery w:val="Page Numbers (Top of Page)"/>
        <w:docPartUnique/>
      </w:docPartObj>
    </w:sdtPr>
    <w:sdtEndPr/>
    <w:sdtContent>
      <w:p w:rsidR="005F363F" w:rsidRPr="00C70F52" w:rsidRDefault="005F363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0F5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0F5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0F5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187A" w:rsidRPr="0064187A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C70F5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DDC"/>
    <w:multiLevelType w:val="hybridMultilevel"/>
    <w:tmpl w:val="B246BB0E"/>
    <w:lvl w:ilvl="0" w:tplc="74CC29B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2EC9"/>
    <w:multiLevelType w:val="hybridMultilevel"/>
    <w:tmpl w:val="2068A4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0C5A"/>
    <w:multiLevelType w:val="hybridMultilevel"/>
    <w:tmpl w:val="8F9855C4"/>
    <w:lvl w:ilvl="0" w:tplc="0BF2C094">
      <w:start w:val="8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2CDB7C8E"/>
    <w:multiLevelType w:val="hybridMultilevel"/>
    <w:tmpl w:val="54F0DC44"/>
    <w:lvl w:ilvl="0" w:tplc="CEAC1D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11046"/>
    <w:multiLevelType w:val="hybridMultilevel"/>
    <w:tmpl w:val="E730BBA6"/>
    <w:lvl w:ilvl="0" w:tplc="DBDAF5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A31C3"/>
    <w:multiLevelType w:val="hybridMultilevel"/>
    <w:tmpl w:val="46B610FE"/>
    <w:lvl w:ilvl="0" w:tplc="5D3A0C3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57"/>
    <w:rsid w:val="000002B0"/>
    <w:rsid w:val="0000529E"/>
    <w:rsid w:val="00005BE1"/>
    <w:rsid w:val="00030182"/>
    <w:rsid w:val="00035A7F"/>
    <w:rsid w:val="00037F96"/>
    <w:rsid w:val="000409E6"/>
    <w:rsid w:val="000438E3"/>
    <w:rsid w:val="00046FAF"/>
    <w:rsid w:val="000473D3"/>
    <w:rsid w:val="000511CA"/>
    <w:rsid w:val="00053294"/>
    <w:rsid w:val="00053C1C"/>
    <w:rsid w:val="00061F7A"/>
    <w:rsid w:val="00062A9C"/>
    <w:rsid w:val="00072051"/>
    <w:rsid w:val="00075D9A"/>
    <w:rsid w:val="00077175"/>
    <w:rsid w:val="00084878"/>
    <w:rsid w:val="00085C47"/>
    <w:rsid w:val="0009497D"/>
    <w:rsid w:val="00096678"/>
    <w:rsid w:val="000A21D4"/>
    <w:rsid w:val="000B231F"/>
    <w:rsid w:val="000C12DE"/>
    <w:rsid w:val="000D1298"/>
    <w:rsid w:val="000D3856"/>
    <w:rsid w:val="000D7358"/>
    <w:rsid w:val="000E7360"/>
    <w:rsid w:val="000F639F"/>
    <w:rsid w:val="000F7E50"/>
    <w:rsid w:val="00101B1F"/>
    <w:rsid w:val="00103D81"/>
    <w:rsid w:val="001059A0"/>
    <w:rsid w:val="0010742C"/>
    <w:rsid w:val="001116BD"/>
    <w:rsid w:val="00114BEA"/>
    <w:rsid w:val="00115061"/>
    <w:rsid w:val="001158C0"/>
    <w:rsid w:val="00115BBC"/>
    <w:rsid w:val="00117158"/>
    <w:rsid w:val="00120E3E"/>
    <w:rsid w:val="00121B4F"/>
    <w:rsid w:val="00123225"/>
    <w:rsid w:val="00125CA5"/>
    <w:rsid w:val="001304C5"/>
    <w:rsid w:val="00133333"/>
    <w:rsid w:val="001379BB"/>
    <w:rsid w:val="0014086B"/>
    <w:rsid w:val="00140BB5"/>
    <w:rsid w:val="001442AF"/>
    <w:rsid w:val="00154E7C"/>
    <w:rsid w:val="001554C4"/>
    <w:rsid w:val="00163349"/>
    <w:rsid w:val="001634C4"/>
    <w:rsid w:val="00166B8D"/>
    <w:rsid w:val="00174CDF"/>
    <w:rsid w:val="001A046C"/>
    <w:rsid w:val="001A3D3F"/>
    <w:rsid w:val="001A63DF"/>
    <w:rsid w:val="001B1AF2"/>
    <w:rsid w:val="001B2765"/>
    <w:rsid w:val="001B6912"/>
    <w:rsid w:val="001C0815"/>
    <w:rsid w:val="001C26AF"/>
    <w:rsid w:val="001C2704"/>
    <w:rsid w:val="001C6316"/>
    <w:rsid w:val="001D0443"/>
    <w:rsid w:val="001D7C8C"/>
    <w:rsid w:val="001E076D"/>
    <w:rsid w:val="001F678D"/>
    <w:rsid w:val="002144F9"/>
    <w:rsid w:val="0021663A"/>
    <w:rsid w:val="00220CF5"/>
    <w:rsid w:val="002249F5"/>
    <w:rsid w:val="00240EB2"/>
    <w:rsid w:val="002414D7"/>
    <w:rsid w:val="002429B4"/>
    <w:rsid w:val="00247B77"/>
    <w:rsid w:val="0025028E"/>
    <w:rsid w:val="00257DEA"/>
    <w:rsid w:val="002717E9"/>
    <w:rsid w:val="00271EDA"/>
    <w:rsid w:val="00280754"/>
    <w:rsid w:val="0029032A"/>
    <w:rsid w:val="002926EC"/>
    <w:rsid w:val="002937E5"/>
    <w:rsid w:val="00297298"/>
    <w:rsid w:val="002A248D"/>
    <w:rsid w:val="002A7EA8"/>
    <w:rsid w:val="002B0196"/>
    <w:rsid w:val="002B1050"/>
    <w:rsid w:val="002B338B"/>
    <w:rsid w:val="002B7D94"/>
    <w:rsid w:val="002C017A"/>
    <w:rsid w:val="002C4E5A"/>
    <w:rsid w:val="002D0D2A"/>
    <w:rsid w:val="002D6B9E"/>
    <w:rsid w:val="002D7EF6"/>
    <w:rsid w:val="002F0EBF"/>
    <w:rsid w:val="002F133C"/>
    <w:rsid w:val="003134FB"/>
    <w:rsid w:val="003141B2"/>
    <w:rsid w:val="00325238"/>
    <w:rsid w:val="0034723D"/>
    <w:rsid w:val="00347925"/>
    <w:rsid w:val="0035035C"/>
    <w:rsid w:val="00356DE8"/>
    <w:rsid w:val="00360C32"/>
    <w:rsid w:val="003706BC"/>
    <w:rsid w:val="0037643A"/>
    <w:rsid w:val="003809DD"/>
    <w:rsid w:val="00384DA7"/>
    <w:rsid w:val="00384EF9"/>
    <w:rsid w:val="00386AA1"/>
    <w:rsid w:val="00387BF0"/>
    <w:rsid w:val="0039742B"/>
    <w:rsid w:val="003A160B"/>
    <w:rsid w:val="003A2093"/>
    <w:rsid w:val="003A4BB4"/>
    <w:rsid w:val="003A4CE6"/>
    <w:rsid w:val="003B5C2D"/>
    <w:rsid w:val="003C0D14"/>
    <w:rsid w:val="003C5947"/>
    <w:rsid w:val="003D1AAB"/>
    <w:rsid w:val="003D3481"/>
    <w:rsid w:val="003E4C16"/>
    <w:rsid w:val="003E55F2"/>
    <w:rsid w:val="003E7884"/>
    <w:rsid w:val="003F3366"/>
    <w:rsid w:val="003F3601"/>
    <w:rsid w:val="003F3851"/>
    <w:rsid w:val="003F5094"/>
    <w:rsid w:val="00401ACB"/>
    <w:rsid w:val="0040274D"/>
    <w:rsid w:val="00405FD4"/>
    <w:rsid w:val="0041517C"/>
    <w:rsid w:val="004307CF"/>
    <w:rsid w:val="00430D5D"/>
    <w:rsid w:val="00431B40"/>
    <w:rsid w:val="004325ED"/>
    <w:rsid w:val="00435621"/>
    <w:rsid w:val="00441CB8"/>
    <w:rsid w:val="0044327B"/>
    <w:rsid w:val="00451AAE"/>
    <w:rsid w:val="00453346"/>
    <w:rsid w:val="0045544B"/>
    <w:rsid w:val="00455A23"/>
    <w:rsid w:val="00456CE7"/>
    <w:rsid w:val="00457746"/>
    <w:rsid w:val="00462870"/>
    <w:rsid w:val="004638B4"/>
    <w:rsid w:val="00465163"/>
    <w:rsid w:val="0046560A"/>
    <w:rsid w:val="00465BCD"/>
    <w:rsid w:val="00466F2E"/>
    <w:rsid w:val="00470872"/>
    <w:rsid w:val="0047209A"/>
    <w:rsid w:val="004824A9"/>
    <w:rsid w:val="00483816"/>
    <w:rsid w:val="004915F9"/>
    <w:rsid w:val="0049309C"/>
    <w:rsid w:val="004A1BBE"/>
    <w:rsid w:val="004A5B74"/>
    <w:rsid w:val="004C13E1"/>
    <w:rsid w:val="004D3C30"/>
    <w:rsid w:val="004E5D9F"/>
    <w:rsid w:val="00504B52"/>
    <w:rsid w:val="005171C3"/>
    <w:rsid w:val="00520D6B"/>
    <w:rsid w:val="00530776"/>
    <w:rsid w:val="00534238"/>
    <w:rsid w:val="00534844"/>
    <w:rsid w:val="00537FFD"/>
    <w:rsid w:val="00553A13"/>
    <w:rsid w:val="00556222"/>
    <w:rsid w:val="005576FD"/>
    <w:rsid w:val="00561C96"/>
    <w:rsid w:val="00571A96"/>
    <w:rsid w:val="005741FC"/>
    <w:rsid w:val="00575463"/>
    <w:rsid w:val="00576BF3"/>
    <w:rsid w:val="005834FD"/>
    <w:rsid w:val="0058419D"/>
    <w:rsid w:val="00585371"/>
    <w:rsid w:val="00585B5A"/>
    <w:rsid w:val="00587BB9"/>
    <w:rsid w:val="00594205"/>
    <w:rsid w:val="005974ED"/>
    <w:rsid w:val="005B562D"/>
    <w:rsid w:val="005B5650"/>
    <w:rsid w:val="005C2805"/>
    <w:rsid w:val="005D4A24"/>
    <w:rsid w:val="005D7F86"/>
    <w:rsid w:val="005E4F2D"/>
    <w:rsid w:val="005F12FF"/>
    <w:rsid w:val="005F1E5F"/>
    <w:rsid w:val="005F363F"/>
    <w:rsid w:val="005F4044"/>
    <w:rsid w:val="005F4F3A"/>
    <w:rsid w:val="0060727E"/>
    <w:rsid w:val="00610C68"/>
    <w:rsid w:val="00614B6A"/>
    <w:rsid w:val="006208E6"/>
    <w:rsid w:val="006238A5"/>
    <w:rsid w:val="00626A60"/>
    <w:rsid w:val="00631A21"/>
    <w:rsid w:val="0064187A"/>
    <w:rsid w:val="006478BC"/>
    <w:rsid w:val="0065021E"/>
    <w:rsid w:val="00651447"/>
    <w:rsid w:val="006641A6"/>
    <w:rsid w:val="0067001C"/>
    <w:rsid w:val="00672A29"/>
    <w:rsid w:val="006754A8"/>
    <w:rsid w:val="00682DE2"/>
    <w:rsid w:val="00684410"/>
    <w:rsid w:val="00695EFA"/>
    <w:rsid w:val="00697533"/>
    <w:rsid w:val="0069777D"/>
    <w:rsid w:val="006A0C7D"/>
    <w:rsid w:val="006A2725"/>
    <w:rsid w:val="006C44E1"/>
    <w:rsid w:val="006C7167"/>
    <w:rsid w:val="006D1D79"/>
    <w:rsid w:val="006D294C"/>
    <w:rsid w:val="006D31AC"/>
    <w:rsid w:val="006D5088"/>
    <w:rsid w:val="006D73C7"/>
    <w:rsid w:val="006F2AB4"/>
    <w:rsid w:val="006F5F1F"/>
    <w:rsid w:val="00706464"/>
    <w:rsid w:val="0071190C"/>
    <w:rsid w:val="00711C67"/>
    <w:rsid w:val="00724EE3"/>
    <w:rsid w:val="007308F7"/>
    <w:rsid w:val="007312AC"/>
    <w:rsid w:val="00732174"/>
    <w:rsid w:val="0073481E"/>
    <w:rsid w:val="007370A5"/>
    <w:rsid w:val="00745D84"/>
    <w:rsid w:val="00750593"/>
    <w:rsid w:val="007534AD"/>
    <w:rsid w:val="00755A9C"/>
    <w:rsid w:val="00755B59"/>
    <w:rsid w:val="00760A37"/>
    <w:rsid w:val="007657A2"/>
    <w:rsid w:val="007661FC"/>
    <w:rsid w:val="00766CA8"/>
    <w:rsid w:val="00771FE8"/>
    <w:rsid w:val="007766F3"/>
    <w:rsid w:val="00780413"/>
    <w:rsid w:val="007806BC"/>
    <w:rsid w:val="0079271D"/>
    <w:rsid w:val="00797A55"/>
    <w:rsid w:val="007A3B21"/>
    <w:rsid w:val="007B2003"/>
    <w:rsid w:val="007B690F"/>
    <w:rsid w:val="007C1853"/>
    <w:rsid w:val="007C301B"/>
    <w:rsid w:val="007D43B0"/>
    <w:rsid w:val="007D6E07"/>
    <w:rsid w:val="007E1AF6"/>
    <w:rsid w:val="007E285B"/>
    <w:rsid w:val="007E5A0B"/>
    <w:rsid w:val="007F175B"/>
    <w:rsid w:val="007F76DC"/>
    <w:rsid w:val="00800F8E"/>
    <w:rsid w:val="008042F2"/>
    <w:rsid w:val="00810A4A"/>
    <w:rsid w:val="008110C6"/>
    <w:rsid w:val="00812133"/>
    <w:rsid w:val="00815891"/>
    <w:rsid w:val="008177C2"/>
    <w:rsid w:val="008211DA"/>
    <w:rsid w:val="0082385E"/>
    <w:rsid w:val="008300D6"/>
    <w:rsid w:val="0084464F"/>
    <w:rsid w:val="00853667"/>
    <w:rsid w:val="008538F3"/>
    <w:rsid w:val="008567E2"/>
    <w:rsid w:val="00856A7A"/>
    <w:rsid w:val="008616C9"/>
    <w:rsid w:val="0086232A"/>
    <w:rsid w:val="00885BAA"/>
    <w:rsid w:val="00887A29"/>
    <w:rsid w:val="00892F63"/>
    <w:rsid w:val="008A7291"/>
    <w:rsid w:val="008B52B6"/>
    <w:rsid w:val="008C2057"/>
    <w:rsid w:val="008D79D5"/>
    <w:rsid w:val="008F621A"/>
    <w:rsid w:val="0090415C"/>
    <w:rsid w:val="00905B11"/>
    <w:rsid w:val="00906A29"/>
    <w:rsid w:val="009123C0"/>
    <w:rsid w:val="00912591"/>
    <w:rsid w:val="00913727"/>
    <w:rsid w:val="00914D06"/>
    <w:rsid w:val="00920F52"/>
    <w:rsid w:val="00923455"/>
    <w:rsid w:val="00934E9B"/>
    <w:rsid w:val="00941E5C"/>
    <w:rsid w:val="00944123"/>
    <w:rsid w:val="00944508"/>
    <w:rsid w:val="00950D4D"/>
    <w:rsid w:val="0095733F"/>
    <w:rsid w:val="0096499A"/>
    <w:rsid w:val="00965AEC"/>
    <w:rsid w:val="009677FB"/>
    <w:rsid w:val="00971713"/>
    <w:rsid w:val="00981F0B"/>
    <w:rsid w:val="009A05C2"/>
    <w:rsid w:val="009B792C"/>
    <w:rsid w:val="009C05E7"/>
    <w:rsid w:val="009C5A76"/>
    <w:rsid w:val="009C63E4"/>
    <w:rsid w:val="009C78DA"/>
    <w:rsid w:val="009F09F1"/>
    <w:rsid w:val="009F1C42"/>
    <w:rsid w:val="009F46DE"/>
    <w:rsid w:val="009F7216"/>
    <w:rsid w:val="00A02183"/>
    <w:rsid w:val="00A12AA0"/>
    <w:rsid w:val="00A16AA6"/>
    <w:rsid w:val="00A36B6C"/>
    <w:rsid w:val="00A375CC"/>
    <w:rsid w:val="00A37751"/>
    <w:rsid w:val="00A56354"/>
    <w:rsid w:val="00A56572"/>
    <w:rsid w:val="00A601A6"/>
    <w:rsid w:val="00A61AAB"/>
    <w:rsid w:val="00A6414A"/>
    <w:rsid w:val="00A67775"/>
    <w:rsid w:val="00A75232"/>
    <w:rsid w:val="00A82FFD"/>
    <w:rsid w:val="00A8661A"/>
    <w:rsid w:val="00A87031"/>
    <w:rsid w:val="00AA3ADA"/>
    <w:rsid w:val="00AA709B"/>
    <w:rsid w:val="00AB1E20"/>
    <w:rsid w:val="00AB2F8F"/>
    <w:rsid w:val="00AB4900"/>
    <w:rsid w:val="00AC1A75"/>
    <w:rsid w:val="00AD53EF"/>
    <w:rsid w:val="00AE5320"/>
    <w:rsid w:val="00AF2724"/>
    <w:rsid w:val="00AF3E89"/>
    <w:rsid w:val="00B03069"/>
    <w:rsid w:val="00B047BD"/>
    <w:rsid w:val="00B0716C"/>
    <w:rsid w:val="00B17DF8"/>
    <w:rsid w:val="00B3177A"/>
    <w:rsid w:val="00B351C1"/>
    <w:rsid w:val="00B44120"/>
    <w:rsid w:val="00B63B4E"/>
    <w:rsid w:val="00B73FA7"/>
    <w:rsid w:val="00B82959"/>
    <w:rsid w:val="00B8356D"/>
    <w:rsid w:val="00B8760C"/>
    <w:rsid w:val="00B87B5A"/>
    <w:rsid w:val="00B93CBB"/>
    <w:rsid w:val="00BA0874"/>
    <w:rsid w:val="00BA23BE"/>
    <w:rsid w:val="00BB6C00"/>
    <w:rsid w:val="00BB72CB"/>
    <w:rsid w:val="00BD1ECA"/>
    <w:rsid w:val="00BD4AF4"/>
    <w:rsid w:val="00BD54F3"/>
    <w:rsid w:val="00BD64C4"/>
    <w:rsid w:val="00BD7C2B"/>
    <w:rsid w:val="00BE2874"/>
    <w:rsid w:val="00BE5519"/>
    <w:rsid w:val="00BF2212"/>
    <w:rsid w:val="00BF4524"/>
    <w:rsid w:val="00C15728"/>
    <w:rsid w:val="00C254DC"/>
    <w:rsid w:val="00C321BA"/>
    <w:rsid w:val="00C34A88"/>
    <w:rsid w:val="00C43617"/>
    <w:rsid w:val="00C45CBA"/>
    <w:rsid w:val="00C53D19"/>
    <w:rsid w:val="00C64EC7"/>
    <w:rsid w:val="00C702F2"/>
    <w:rsid w:val="00C70F52"/>
    <w:rsid w:val="00C72127"/>
    <w:rsid w:val="00C80FC8"/>
    <w:rsid w:val="00C82E20"/>
    <w:rsid w:val="00C87E49"/>
    <w:rsid w:val="00C927B9"/>
    <w:rsid w:val="00C9293E"/>
    <w:rsid w:val="00C92C52"/>
    <w:rsid w:val="00C93208"/>
    <w:rsid w:val="00C95651"/>
    <w:rsid w:val="00C95EDC"/>
    <w:rsid w:val="00CA07C9"/>
    <w:rsid w:val="00CA3AEA"/>
    <w:rsid w:val="00CA543F"/>
    <w:rsid w:val="00CB5044"/>
    <w:rsid w:val="00CE3D5E"/>
    <w:rsid w:val="00CE5AB8"/>
    <w:rsid w:val="00CF3932"/>
    <w:rsid w:val="00CF6B34"/>
    <w:rsid w:val="00D01061"/>
    <w:rsid w:val="00D055DB"/>
    <w:rsid w:val="00D061D2"/>
    <w:rsid w:val="00D21422"/>
    <w:rsid w:val="00D228F3"/>
    <w:rsid w:val="00D30338"/>
    <w:rsid w:val="00D3675A"/>
    <w:rsid w:val="00D42A43"/>
    <w:rsid w:val="00D4765A"/>
    <w:rsid w:val="00D522C5"/>
    <w:rsid w:val="00D52EE9"/>
    <w:rsid w:val="00D54180"/>
    <w:rsid w:val="00D56C2C"/>
    <w:rsid w:val="00D57694"/>
    <w:rsid w:val="00D7348E"/>
    <w:rsid w:val="00D8650D"/>
    <w:rsid w:val="00D86E87"/>
    <w:rsid w:val="00D8758F"/>
    <w:rsid w:val="00D9050E"/>
    <w:rsid w:val="00D949A8"/>
    <w:rsid w:val="00D95B05"/>
    <w:rsid w:val="00DA0297"/>
    <w:rsid w:val="00DA651A"/>
    <w:rsid w:val="00DB691D"/>
    <w:rsid w:val="00DD244F"/>
    <w:rsid w:val="00DE0D70"/>
    <w:rsid w:val="00DE4044"/>
    <w:rsid w:val="00DF5701"/>
    <w:rsid w:val="00E07D10"/>
    <w:rsid w:val="00E07D7D"/>
    <w:rsid w:val="00E22504"/>
    <w:rsid w:val="00E22726"/>
    <w:rsid w:val="00E23C2C"/>
    <w:rsid w:val="00E40B8A"/>
    <w:rsid w:val="00E42B7A"/>
    <w:rsid w:val="00E4784A"/>
    <w:rsid w:val="00E500FD"/>
    <w:rsid w:val="00E51C98"/>
    <w:rsid w:val="00E547CD"/>
    <w:rsid w:val="00E563EA"/>
    <w:rsid w:val="00E57D9E"/>
    <w:rsid w:val="00E57E5F"/>
    <w:rsid w:val="00E86359"/>
    <w:rsid w:val="00E96278"/>
    <w:rsid w:val="00E97A8C"/>
    <w:rsid w:val="00EA0FC8"/>
    <w:rsid w:val="00EA4636"/>
    <w:rsid w:val="00EA5DAA"/>
    <w:rsid w:val="00EC08B1"/>
    <w:rsid w:val="00EC1180"/>
    <w:rsid w:val="00EC2412"/>
    <w:rsid w:val="00EC3577"/>
    <w:rsid w:val="00EC55C4"/>
    <w:rsid w:val="00EC7AEB"/>
    <w:rsid w:val="00ED4663"/>
    <w:rsid w:val="00EE32EB"/>
    <w:rsid w:val="00EF1318"/>
    <w:rsid w:val="00EF6A86"/>
    <w:rsid w:val="00F00FF8"/>
    <w:rsid w:val="00F01C95"/>
    <w:rsid w:val="00F01E1A"/>
    <w:rsid w:val="00F0497B"/>
    <w:rsid w:val="00F140AA"/>
    <w:rsid w:val="00F16369"/>
    <w:rsid w:val="00F2229D"/>
    <w:rsid w:val="00F226E5"/>
    <w:rsid w:val="00F273AF"/>
    <w:rsid w:val="00F35B2C"/>
    <w:rsid w:val="00F366D2"/>
    <w:rsid w:val="00F42FC1"/>
    <w:rsid w:val="00F43E52"/>
    <w:rsid w:val="00F46993"/>
    <w:rsid w:val="00F53153"/>
    <w:rsid w:val="00F537E6"/>
    <w:rsid w:val="00F55B18"/>
    <w:rsid w:val="00F62873"/>
    <w:rsid w:val="00F65D64"/>
    <w:rsid w:val="00F66755"/>
    <w:rsid w:val="00F67749"/>
    <w:rsid w:val="00F721E1"/>
    <w:rsid w:val="00F80DD1"/>
    <w:rsid w:val="00F82C7A"/>
    <w:rsid w:val="00F83433"/>
    <w:rsid w:val="00F84B67"/>
    <w:rsid w:val="00F85261"/>
    <w:rsid w:val="00F94E76"/>
    <w:rsid w:val="00F95E34"/>
    <w:rsid w:val="00FA25AD"/>
    <w:rsid w:val="00FA420A"/>
    <w:rsid w:val="00FA4C8A"/>
    <w:rsid w:val="00FB33F1"/>
    <w:rsid w:val="00FB49E5"/>
    <w:rsid w:val="00FC7786"/>
    <w:rsid w:val="00FD373C"/>
    <w:rsid w:val="00FE65CE"/>
    <w:rsid w:val="00FE75AC"/>
    <w:rsid w:val="00FF4E74"/>
    <w:rsid w:val="00FF6CB2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24DD"/>
  <w15:docId w15:val="{6720CF0A-14FD-41D4-AEF6-CB449E2B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D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D7D"/>
  </w:style>
  <w:style w:type="character" w:styleId="a6">
    <w:name w:val="Hyperlink"/>
    <w:basedOn w:val="a0"/>
    <w:uiPriority w:val="99"/>
    <w:unhideWhenUsed/>
    <w:rsid w:val="00E07D7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D7C8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7C8C"/>
    <w:rPr>
      <w:rFonts w:ascii="Consolas" w:hAnsi="Consolas"/>
      <w:sz w:val="20"/>
      <w:szCs w:val="20"/>
    </w:rPr>
  </w:style>
  <w:style w:type="paragraph" w:styleId="a7">
    <w:name w:val="List Paragraph"/>
    <w:basedOn w:val="a"/>
    <w:uiPriority w:val="34"/>
    <w:qFormat/>
    <w:rsid w:val="009F09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6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7FB"/>
    <w:rPr>
      <w:rFonts w:ascii="Tahoma" w:hAnsi="Tahoma" w:cs="Tahoma"/>
      <w:sz w:val="16"/>
      <w:szCs w:val="16"/>
    </w:rPr>
  </w:style>
  <w:style w:type="paragraph" w:customStyle="1" w:styleId="aa">
    <w:name w:val="Нормальний текст"/>
    <w:basedOn w:val="a"/>
    <w:rsid w:val="00DF570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0F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0F52"/>
  </w:style>
  <w:style w:type="character" w:customStyle="1" w:styleId="rvts9">
    <w:name w:val="rvts9"/>
    <w:basedOn w:val="a0"/>
    <w:rsid w:val="001554C4"/>
  </w:style>
  <w:style w:type="paragraph" w:customStyle="1" w:styleId="rvps2">
    <w:name w:val="rvps2"/>
    <w:basedOn w:val="a"/>
    <w:rsid w:val="00F6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F62873"/>
  </w:style>
  <w:style w:type="character" w:styleId="ad">
    <w:name w:val="Emphasis"/>
    <w:basedOn w:val="a0"/>
    <w:uiPriority w:val="20"/>
    <w:qFormat/>
    <w:rsid w:val="00D56C2C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6C4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45-2012-%D0%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z1181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1181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FAD84-0B58-400C-A7A1-7B07001D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13877</Words>
  <Characters>7911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Юсина Лидия</cp:lastModifiedBy>
  <cp:revision>2</cp:revision>
  <cp:lastPrinted>2020-06-26T14:15:00Z</cp:lastPrinted>
  <dcterms:created xsi:type="dcterms:W3CDTF">2020-07-30T08:28:00Z</dcterms:created>
  <dcterms:modified xsi:type="dcterms:W3CDTF">2020-07-30T08:28:00Z</dcterms:modified>
</cp:coreProperties>
</file>