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DA1" w:rsidRPr="00A82723" w:rsidRDefault="0014196B" w:rsidP="00BB52D9">
      <w:pPr>
        <w:spacing w:after="0" w:line="240" w:lineRule="auto"/>
        <w:ind w:firstLine="567"/>
        <w:jc w:val="center"/>
        <w:rPr>
          <w:b/>
        </w:rPr>
      </w:pPr>
      <w:r w:rsidRPr="00A82723">
        <w:rPr>
          <w:b/>
        </w:rPr>
        <w:t>ПОЯСНЮВАЛЬНА ЗАПИСКА</w:t>
      </w:r>
    </w:p>
    <w:p w:rsidR="00B239F8" w:rsidRPr="009E4DB3" w:rsidRDefault="002C6939" w:rsidP="00B239F8">
      <w:pPr>
        <w:spacing w:after="0" w:line="240" w:lineRule="auto"/>
        <w:ind w:firstLine="720"/>
        <w:jc w:val="center"/>
        <w:rPr>
          <w:rStyle w:val="ac"/>
        </w:rPr>
      </w:pPr>
      <w:r w:rsidRPr="00A82723">
        <w:rPr>
          <w:b/>
        </w:rPr>
        <w:t>до про</w:t>
      </w:r>
      <w:r w:rsidR="00A82723" w:rsidRPr="00A82723">
        <w:rPr>
          <w:b/>
        </w:rPr>
        <w:t>є</w:t>
      </w:r>
      <w:r w:rsidRPr="00A82723">
        <w:rPr>
          <w:b/>
        </w:rPr>
        <w:t xml:space="preserve">кту </w:t>
      </w:r>
      <w:r w:rsidR="00B239F8" w:rsidRPr="009E4DB3">
        <w:rPr>
          <w:rStyle w:val="ac"/>
        </w:rPr>
        <w:t xml:space="preserve">постанови Кабінету Міністрів України </w:t>
      </w:r>
    </w:p>
    <w:p w:rsidR="00B239F8" w:rsidRDefault="00B239F8" w:rsidP="00B239F8">
      <w:pPr>
        <w:spacing w:line="309" w:lineRule="atLeast"/>
        <w:jc w:val="center"/>
        <w:textAlignment w:val="baseline"/>
        <w:rPr>
          <w:b/>
        </w:rPr>
      </w:pPr>
      <w:r w:rsidRPr="009E4DB3">
        <w:rPr>
          <w:b/>
        </w:rPr>
        <w:t>«Про внесення змін до Технічного регламенту</w:t>
      </w:r>
      <w:r>
        <w:rPr>
          <w:b/>
        </w:rPr>
        <w:t xml:space="preserve"> безпеки інфраструктури залізничного транспорту та до Технічного регламенту безпеки  рухомого складу залізничного транспорту</w:t>
      </w:r>
      <w:r w:rsidRPr="009E4DB3">
        <w:rPr>
          <w:b/>
        </w:rPr>
        <w:t>»</w:t>
      </w:r>
    </w:p>
    <w:p w:rsidR="00AB2994" w:rsidRPr="009E4DB3" w:rsidRDefault="00AB2994" w:rsidP="00B239F8">
      <w:pPr>
        <w:spacing w:line="309" w:lineRule="atLeast"/>
        <w:jc w:val="center"/>
        <w:textAlignment w:val="baseline"/>
        <w:rPr>
          <w:b/>
        </w:rPr>
      </w:pPr>
    </w:p>
    <w:p w:rsidR="00BB52D9" w:rsidRPr="001C66FC" w:rsidRDefault="00BB52D9" w:rsidP="00BB52D9">
      <w:pPr>
        <w:widowControl w:val="0"/>
        <w:spacing w:after="0" w:line="240" w:lineRule="auto"/>
        <w:ind w:firstLine="567"/>
        <w:jc w:val="both"/>
        <w:rPr>
          <w:b/>
        </w:rPr>
      </w:pPr>
      <w:r w:rsidRPr="001C66FC">
        <w:rPr>
          <w:b/>
        </w:rPr>
        <w:t>1. Резюме</w:t>
      </w:r>
    </w:p>
    <w:p w:rsidR="00BB52D9" w:rsidRDefault="00BB52D9" w:rsidP="00B239F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AE3583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ою проє</w:t>
      </w:r>
      <w:r w:rsidRPr="00AE3583"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у</w:t>
      </w:r>
      <w:r w:rsidRPr="00AE3583">
        <w:rPr>
          <w:rFonts w:ascii="Times New Roman" w:hAnsi="Times New Roman"/>
          <w:sz w:val="28"/>
          <w:szCs w:val="28"/>
        </w:rPr>
        <w:t xml:space="preserve"> постанови </w:t>
      </w:r>
      <w:r w:rsidRPr="00BB52D9">
        <w:rPr>
          <w:rFonts w:ascii="Times New Roman" w:hAnsi="Times New Roman" w:cs="Times New Roman"/>
          <w:sz w:val="28"/>
          <w:szCs w:val="28"/>
        </w:rPr>
        <w:t>Кабінету Міністрів України</w:t>
      </w:r>
      <w:r w:rsidR="0076505B">
        <w:rPr>
          <w:rFonts w:ascii="Times New Roman" w:hAnsi="Times New Roman" w:cs="Times New Roman"/>
          <w:sz w:val="28"/>
          <w:szCs w:val="28"/>
        </w:rPr>
        <w:t xml:space="preserve"> </w:t>
      </w:r>
      <w:r w:rsidR="0076505B" w:rsidRPr="0076505B">
        <w:rPr>
          <w:rFonts w:ascii="Times New Roman" w:hAnsi="Times New Roman" w:cs="Times New Roman"/>
          <w:sz w:val="28"/>
          <w:szCs w:val="28"/>
        </w:rPr>
        <w:t>«</w:t>
      </w:r>
      <w:r w:rsidR="00B239F8" w:rsidRPr="00B239F8">
        <w:rPr>
          <w:rFonts w:ascii="Times New Roman" w:hAnsi="Times New Roman" w:cs="Times New Roman"/>
          <w:sz w:val="28"/>
          <w:szCs w:val="28"/>
        </w:rPr>
        <w:t>Про внесення змін до Технічного регламенту безпеки інфраструктури залізничного транспорту та до Технічного регламенту безпеки  рухомого складу залізничного транспорту</w:t>
      </w:r>
      <w:r w:rsidR="0076505B" w:rsidRPr="0076505B">
        <w:rPr>
          <w:rFonts w:ascii="Times New Roman" w:hAnsi="Times New Roman" w:cs="Times New Roman"/>
          <w:sz w:val="28"/>
          <w:szCs w:val="28"/>
        </w:rPr>
        <w:t>»</w:t>
      </w:r>
      <w:r w:rsidRPr="00BB52D9">
        <w:rPr>
          <w:rFonts w:ascii="Times New Roman" w:hAnsi="Times New Roman" w:cs="Times New Roman"/>
          <w:sz w:val="28"/>
          <w:szCs w:val="28"/>
        </w:rPr>
        <w:t xml:space="preserve"> </w:t>
      </w:r>
      <w:r w:rsidR="007C2C89">
        <w:rPr>
          <w:rFonts w:ascii="Times New Roman" w:hAnsi="Times New Roman" w:cs="Times New Roman"/>
          <w:sz w:val="28"/>
          <w:szCs w:val="28"/>
        </w:rPr>
        <w:t xml:space="preserve">(далі – проєкт постанови) </w:t>
      </w:r>
      <w:r>
        <w:rPr>
          <w:rFonts w:ascii="Times New Roman" w:hAnsi="Times New Roman" w:cs="Times New Roman"/>
          <w:sz w:val="28"/>
          <w:szCs w:val="28"/>
        </w:rPr>
        <w:t xml:space="preserve">є </w:t>
      </w:r>
      <w:r w:rsidR="003818A1" w:rsidRPr="00BB52D9">
        <w:rPr>
          <w:rFonts w:ascii="Times New Roman" w:hAnsi="Times New Roman" w:cs="Times New Roman"/>
          <w:sz w:val="28"/>
          <w:szCs w:val="28"/>
        </w:rPr>
        <w:t xml:space="preserve">врегулювання </w:t>
      </w:r>
      <w:r w:rsidR="00B239F8" w:rsidRPr="00B239F8">
        <w:rPr>
          <w:rFonts w:ascii="Times New Roman" w:hAnsi="Times New Roman" w:cs="Times New Roman"/>
          <w:sz w:val="28"/>
          <w:szCs w:val="28"/>
        </w:rPr>
        <w:t xml:space="preserve">проблемних питань, виявлених під час застосування  Технічного регламенту безпеки інфраструктури залізничного транспорту, затвердженого постановою Кабінету Міністрів України від </w:t>
      </w:r>
      <w:r w:rsidR="00193013" w:rsidRPr="00193013">
        <w:rPr>
          <w:rFonts w:ascii="Times New Roman" w:hAnsi="Times New Roman" w:cs="Times New Roman"/>
          <w:sz w:val="28"/>
          <w:szCs w:val="28"/>
        </w:rPr>
        <w:t>11</w:t>
      </w:r>
      <w:r w:rsidR="00193013">
        <w:rPr>
          <w:rFonts w:ascii="Times New Roman" w:hAnsi="Times New Roman" w:cs="Times New Roman"/>
          <w:sz w:val="28"/>
          <w:szCs w:val="28"/>
        </w:rPr>
        <w:t>.07.</w:t>
      </w:r>
      <w:r w:rsidR="00193013" w:rsidRPr="00193013">
        <w:rPr>
          <w:rFonts w:ascii="Times New Roman" w:hAnsi="Times New Roman" w:cs="Times New Roman"/>
          <w:sz w:val="28"/>
          <w:szCs w:val="28"/>
        </w:rPr>
        <w:t>2013 № 494</w:t>
      </w:r>
      <w:r w:rsidR="00F02C21">
        <w:rPr>
          <w:rFonts w:ascii="Times New Roman" w:hAnsi="Times New Roman" w:cs="Times New Roman"/>
          <w:sz w:val="28"/>
          <w:szCs w:val="28"/>
        </w:rPr>
        <w:t>,</w:t>
      </w:r>
      <w:r w:rsidR="00B239F8" w:rsidRPr="00B239F8">
        <w:rPr>
          <w:rFonts w:ascii="Times New Roman" w:hAnsi="Times New Roman" w:cs="Times New Roman"/>
          <w:sz w:val="28"/>
          <w:szCs w:val="28"/>
        </w:rPr>
        <w:t xml:space="preserve"> та </w:t>
      </w:r>
      <w:r w:rsidR="00193013">
        <w:rPr>
          <w:rFonts w:ascii="Times New Roman" w:hAnsi="Times New Roman" w:cs="Times New Roman"/>
          <w:sz w:val="28"/>
          <w:szCs w:val="28"/>
        </w:rPr>
        <w:t>до</w:t>
      </w:r>
      <w:r w:rsidR="00B239F8" w:rsidRPr="00B239F8">
        <w:rPr>
          <w:rFonts w:ascii="Times New Roman" w:hAnsi="Times New Roman" w:cs="Times New Roman"/>
          <w:sz w:val="28"/>
          <w:szCs w:val="28"/>
        </w:rPr>
        <w:t xml:space="preserve"> Технічного регламенту безпеки  рухомого складу залізничного транспорту, затвердженого постановою Кабінету Міністрів України від </w:t>
      </w:r>
      <w:r w:rsidR="00193013" w:rsidRPr="00193013">
        <w:rPr>
          <w:rFonts w:ascii="Times New Roman" w:hAnsi="Times New Roman" w:cs="Times New Roman"/>
          <w:sz w:val="28"/>
          <w:szCs w:val="28"/>
        </w:rPr>
        <w:t>30</w:t>
      </w:r>
      <w:r w:rsidR="00193013">
        <w:rPr>
          <w:rFonts w:ascii="Times New Roman" w:hAnsi="Times New Roman" w:cs="Times New Roman"/>
          <w:sz w:val="28"/>
          <w:szCs w:val="28"/>
        </w:rPr>
        <w:t>.12.2015</w:t>
      </w:r>
      <w:r w:rsidR="00193013" w:rsidRPr="00193013">
        <w:rPr>
          <w:rFonts w:ascii="Times New Roman" w:hAnsi="Times New Roman" w:cs="Times New Roman"/>
          <w:sz w:val="28"/>
          <w:szCs w:val="28"/>
        </w:rPr>
        <w:t xml:space="preserve"> № 1194</w:t>
      </w:r>
      <w:r w:rsidR="00193013">
        <w:rPr>
          <w:rFonts w:ascii="Times New Roman" w:hAnsi="Times New Roman" w:cs="Times New Roman"/>
          <w:sz w:val="28"/>
          <w:szCs w:val="28"/>
        </w:rPr>
        <w:t>.</w:t>
      </w:r>
    </w:p>
    <w:p w:rsidR="00B239F8" w:rsidRDefault="00B239F8" w:rsidP="00B239F8">
      <w:pPr>
        <w:pStyle w:val="aa"/>
        <w:ind w:firstLine="567"/>
        <w:jc w:val="both"/>
        <w:rPr>
          <w:b/>
          <w:lang w:eastAsia="ru-RU"/>
        </w:rPr>
      </w:pPr>
    </w:p>
    <w:p w:rsidR="00BB52D9" w:rsidRPr="00CF4524" w:rsidRDefault="00BB52D9" w:rsidP="00BB52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lang w:eastAsia="ru-RU"/>
        </w:rPr>
      </w:pPr>
      <w:r w:rsidRPr="00CF4524">
        <w:rPr>
          <w:b/>
          <w:lang w:eastAsia="ru-RU"/>
        </w:rPr>
        <w:t>2. Проблема, яка потребує розв’язання</w:t>
      </w:r>
    </w:p>
    <w:p w:rsidR="001000F2" w:rsidRDefault="001000F2" w:rsidP="001000F2">
      <w:pPr>
        <w:spacing w:after="0" w:line="240" w:lineRule="auto"/>
        <w:ind w:firstLine="567"/>
        <w:jc w:val="both"/>
      </w:pPr>
      <w:r>
        <w:t xml:space="preserve">З </w:t>
      </w:r>
      <w:r w:rsidR="000679B6">
        <w:t>моменту</w:t>
      </w:r>
      <w:r>
        <w:t xml:space="preserve"> затвердження </w:t>
      </w:r>
      <w:r w:rsidR="00B239F8">
        <w:t xml:space="preserve">Технічного  регламенту безпеки інфраструктури залізничного транспорту та Технічного регламенту безпеки рухомого складу залізничного транспорту (далі – Технічні регламенти) </w:t>
      </w:r>
      <w:r w:rsidRPr="0014196B">
        <w:t xml:space="preserve">в законодавстві України </w:t>
      </w:r>
      <w:r w:rsidR="008B3EBC">
        <w:t>та</w:t>
      </w:r>
      <w:r w:rsidRPr="0014196B">
        <w:t xml:space="preserve"> Європейського Союзу сталися </w:t>
      </w:r>
      <w:r>
        <w:t>значні</w:t>
      </w:r>
      <w:r w:rsidRPr="0014196B">
        <w:t xml:space="preserve"> зміни</w:t>
      </w:r>
      <w:r w:rsidR="002B6F5C" w:rsidRPr="002B6F5C">
        <w:t>.</w:t>
      </w:r>
      <w:r w:rsidRPr="0014196B">
        <w:t xml:space="preserve"> </w:t>
      </w:r>
    </w:p>
    <w:p w:rsidR="00B239F8" w:rsidRDefault="001000F2" w:rsidP="00B239F8">
      <w:pPr>
        <w:spacing w:after="0" w:line="240" w:lineRule="auto"/>
        <w:ind w:firstLine="567"/>
        <w:jc w:val="both"/>
      </w:pPr>
      <w:r>
        <w:t>Зокрема</w:t>
      </w:r>
      <w:r w:rsidR="00525059">
        <w:t>,</w:t>
      </w:r>
      <w:r>
        <w:t xml:space="preserve"> </w:t>
      </w:r>
      <w:r w:rsidR="00B239F8">
        <w:t xml:space="preserve">прийнято </w:t>
      </w:r>
      <w:r w:rsidR="008D0FE6">
        <w:t xml:space="preserve">Закон України «Про технічні регламенти та оцінку відповідності», </w:t>
      </w:r>
      <w:r w:rsidR="00B239F8">
        <w:t xml:space="preserve">постанови </w:t>
      </w:r>
      <w:r w:rsidR="00F02F8D">
        <w:t xml:space="preserve"> </w:t>
      </w:r>
      <w:r w:rsidR="00B239F8">
        <w:t xml:space="preserve">Кабінету Міністрів України </w:t>
      </w:r>
      <w:r w:rsidR="00B239F8" w:rsidRPr="00B239F8">
        <w:t>від 30</w:t>
      </w:r>
      <w:r w:rsidR="008D0FE6">
        <w:t>.12.</w:t>
      </w:r>
      <w:r w:rsidR="00B239F8" w:rsidRPr="00B239F8">
        <w:t xml:space="preserve">2015 № 1184 «Про затвердження форми, опису </w:t>
      </w:r>
      <w:proofErr w:type="spellStart"/>
      <w:r w:rsidR="00B239F8" w:rsidRPr="00B239F8">
        <w:t>знака</w:t>
      </w:r>
      <w:proofErr w:type="spellEnd"/>
      <w:r w:rsidR="00B239F8" w:rsidRPr="00B239F8">
        <w:t xml:space="preserve"> відповідності технічним регламентам, правил та умов його нанесення</w:t>
      </w:r>
      <w:r w:rsidR="00B239F8">
        <w:t xml:space="preserve">», </w:t>
      </w:r>
      <w:r w:rsidR="008D0FE6" w:rsidRPr="008D0FE6">
        <w:t>від 13</w:t>
      </w:r>
      <w:r w:rsidR="008D0FE6">
        <w:t>.01.</w:t>
      </w:r>
      <w:r w:rsidR="008D0FE6" w:rsidRPr="008D0FE6">
        <w:t>2016 № 56 «Про затвердження спеціальних вимог до призначених органів з оцінки відповідності»</w:t>
      </w:r>
      <w:r w:rsidR="008D0FE6">
        <w:t>, від 27.01.2016 № 96 «</w:t>
      </w:r>
      <w:r w:rsidR="008D0FE6" w:rsidRPr="008D0FE6">
        <w:t>Про затвердження Порядку видачі або відмови у видачі рішення про призначення, його переоформлення та видачі його дубліката, розширення та обмеження сфери призначення, тимчасового припинення і поновлення дії рішення про призначення та анулювання такого рішення та визнання такими, що втратили чинність, деяких постанов Кабінету Міністрів</w:t>
      </w:r>
      <w:r w:rsidR="008D0FE6">
        <w:t xml:space="preserve"> України», </w:t>
      </w:r>
      <w:r w:rsidR="00B239F8">
        <w:t>від 03.10.20</w:t>
      </w:r>
      <w:r w:rsidR="008D0FE6">
        <w:t>18</w:t>
      </w:r>
      <w:r w:rsidR="00B239F8">
        <w:t xml:space="preserve"> № 797 «Про затвердження модулів оцінки відповідності у сфері залізничного транспорту», Директиву </w:t>
      </w:r>
      <w:r w:rsidR="00F02C21">
        <w:t xml:space="preserve">ЄС </w:t>
      </w:r>
      <w:r w:rsidR="00B239F8">
        <w:t xml:space="preserve">2016/797 Європейського Парламенту та Ради від 11 травня 2016 про </w:t>
      </w:r>
      <w:proofErr w:type="spellStart"/>
      <w:r w:rsidR="00B239F8">
        <w:t>інтероперабельність</w:t>
      </w:r>
      <w:proofErr w:type="spellEnd"/>
      <w:r w:rsidR="00B239F8">
        <w:t xml:space="preserve"> залізничної системи в рамках Європейського Союзу; Директиву </w:t>
      </w:r>
      <w:r w:rsidR="00F02C21">
        <w:t xml:space="preserve">ЄС </w:t>
      </w:r>
      <w:r w:rsidR="00226FD7">
        <w:t>2</w:t>
      </w:r>
      <w:r w:rsidR="00B239F8">
        <w:t xml:space="preserve">016/798 Європейського Парламенту та Ради від 11 травня 2016 </w:t>
      </w:r>
      <w:r w:rsidR="00F02C21">
        <w:t xml:space="preserve">р. </w:t>
      </w:r>
      <w:r w:rsidR="00B239F8">
        <w:t>з безпеки на залізничному транспорті.</w:t>
      </w:r>
    </w:p>
    <w:p w:rsidR="002B6F5C" w:rsidRDefault="002B6F5C" w:rsidP="001000F2">
      <w:pPr>
        <w:shd w:val="clear" w:color="auto" w:fill="FFFFFF"/>
        <w:spacing w:after="0" w:line="240" w:lineRule="auto"/>
        <w:ind w:firstLine="567"/>
        <w:jc w:val="both"/>
      </w:pPr>
      <w:r>
        <w:rPr>
          <w:lang w:eastAsia="ru-RU"/>
        </w:rPr>
        <w:t>Пр</w:t>
      </w:r>
      <w:r w:rsidR="00193013">
        <w:rPr>
          <w:lang w:eastAsia="ru-RU"/>
        </w:rPr>
        <w:t xml:space="preserve">иведення Технічних </w:t>
      </w:r>
      <w:r w:rsidR="00525059">
        <w:rPr>
          <w:lang w:eastAsia="ru-RU"/>
        </w:rPr>
        <w:t xml:space="preserve">регламентів у відповідність до зазначених </w:t>
      </w:r>
      <w:r>
        <w:rPr>
          <w:lang w:eastAsia="ru-RU"/>
        </w:rPr>
        <w:t xml:space="preserve">актів потребує </w:t>
      </w:r>
      <w:r w:rsidRPr="002B6F5C">
        <w:t>внесення</w:t>
      </w:r>
      <w:r>
        <w:t xml:space="preserve"> відповідних змін до Т</w:t>
      </w:r>
      <w:r w:rsidRPr="002B6F5C">
        <w:t>ехнічних регламентів</w:t>
      </w:r>
      <w:r>
        <w:t xml:space="preserve">. </w:t>
      </w:r>
      <w:r w:rsidRPr="002B6F5C">
        <w:t xml:space="preserve"> </w:t>
      </w:r>
    </w:p>
    <w:p w:rsidR="001000F2" w:rsidRDefault="001000F2" w:rsidP="001000F2">
      <w:pPr>
        <w:shd w:val="clear" w:color="auto" w:fill="FFFFFF"/>
        <w:spacing w:after="0" w:line="240" w:lineRule="auto"/>
        <w:ind w:firstLine="567"/>
        <w:jc w:val="both"/>
      </w:pPr>
      <w:r w:rsidRPr="0014196B">
        <w:rPr>
          <w:lang w:eastAsia="ru-RU"/>
        </w:rPr>
        <w:t>Прийняття цієї постанови</w:t>
      </w:r>
      <w:r w:rsidRPr="0014196B">
        <w:t xml:space="preserve"> </w:t>
      </w:r>
      <w:r>
        <w:rPr>
          <w:lang w:eastAsia="ru-RU"/>
        </w:rPr>
        <w:t>сприятиме</w:t>
      </w:r>
      <w:r w:rsidRPr="0014196B">
        <w:rPr>
          <w:lang w:eastAsia="ru-RU"/>
        </w:rPr>
        <w:t xml:space="preserve"> виконанн</w:t>
      </w:r>
      <w:r>
        <w:rPr>
          <w:lang w:eastAsia="ru-RU"/>
        </w:rPr>
        <w:t>ю</w:t>
      </w:r>
      <w:r w:rsidRPr="0014196B">
        <w:rPr>
          <w:lang w:eastAsia="ru-RU"/>
        </w:rPr>
        <w:t xml:space="preserve"> </w:t>
      </w:r>
      <w:r w:rsidRPr="0014196B">
        <w:t xml:space="preserve">Угоди про асоціацію </w:t>
      </w:r>
      <w:r>
        <w:t xml:space="preserve">між </w:t>
      </w:r>
      <w:r w:rsidRPr="0014196B">
        <w:t>Україн</w:t>
      </w:r>
      <w:r>
        <w:t>ою</w:t>
      </w:r>
      <w:r w:rsidRPr="0014196B">
        <w:t xml:space="preserve"> з однієї сторони, та Європейським Союзом, Європейським співтовариством з атомної енергії і їхніми дер</w:t>
      </w:r>
      <w:r w:rsidR="00F02C21">
        <w:t>жавами-членами, з іншої сторони (далі – Угода про асоціацію).</w:t>
      </w:r>
    </w:p>
    <w:p w:rsidR="002B6F5C" w:rsidRDefault="002B6F5C" w:rsidP="00BB52D9">
      <w:pPr>
        <w:spacing w:after="0" w:line="240" w:lineRule="auto"/>
        <w:ind w:firstLine="567"/>
        <w:rPr>
          <w:b/>
        </w:rPr>
      </w:pPr>
    </w:p>
    <w:p w:rsidR="00B415B1" w:rsidRPr="00CF4524" w:rsidRDefault="00B415B1" w:rsidP="00B415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lang w:eastAsia="ru-RU"/>
        </w:rPr>
      </w:pPr>
      <w:r w:rsidRPr="00CF4524">
        <w:rPr>
          <w:b/>
          <w:lang w:eastAsia="ru-RU"/>
        </w:rPr>
        <w:lastRenderedPageBreak/>
        <w:t>3. Суть про</w:t>
      </w:r>
      <w:r w:rsidR="00653422">
        <w:rPr>
          <w:b/>
          <w:lang w:eastAsia="ru-RU"/>
        </w:rPr>
        <w:t>є</w:t>
      </w:r>
      <w:r w:rsidRPr="00CF4524">
        <w:rPr>
          <w:b/>
          <w:lang w:eastAsia="ru-RU"/>
        </w:rPr>
        <w:t xml:space="preserve">кту </w:t>
      </w:r>
      <w:proofErr w:type="spellStart"/>
      <w:r w:rsidRPr="00CF4524">
        <w:rPr>
          <w:b/>
          <w:lang w:eastAsia="ru-RU"/>
        </w:rPr>
        <w:t>акта</w:t>
      </w:r>
      <w:proofErr w:type="spellEnd"/>
    </w:p>
    <w:p w:rsidR="00C64AE9" w:rsidRDefault="00B415B1" w:rsidP="00B415B1">
      <w:pPr>
        <w:spacing w:after="0" w:line="240" w:lineRule="auto"/>
        <w:ind w:firstLine="567"/>
        <w:jc w:val="both"/>
      </w:pPr>
      <w:proofErr w:type="spellStart"/>
      <w:r>
        <w:t>Проєктом</w:t>
      </w:r>
      <w:proofErr w:type="spellEnd"/>
      <w:r>
        <w:t xml:space="preserve"> п</w:t>
      </w:r>
      <w:r w:rsidRPr="00AE3583">
        <w:t>останов</w:t>
      </w:r>
      <w:r>
        <w:t>и</w:t>
      </w:r>
      <w:r w:rsidRPr="00AE3583">
        <w:t xml:space="preserve"> пропонується </w:t>
      </w:r>
      <w:proofErr w:type="spellStart"/>
      <w:r w:rsidRPr="00AE3583">
        <w:t>внести</w:t>
      </w:r>
      <w:proofErr w:type="spellEnd"/>
      <w:r w:rsidR="00B239F8">
        <w:t xml:space="preserve"> </w:t>
      </w:r>
      <w:r w:rsidRPr="00AE3583">
        <w:t>зміни</w:t>
      </w:r>
      <w:r>
        <w:t xml:space="preserve"> до </w:t>
      </w:r>
      <w:r w:rsidR="00B239F8">
        <w:t>Технічних регламентів</w:t>
      </w:r>
      <w:r>
        <w:t xml:space="preserve">, доповнивши їх </w:t>
      </w:r>
      <w:r w:rsidR="009276FC">
        <w:t xml:space="preserve">нормами та </w:t>
      </w:r>
      <w:r>
        <w:t>новими термінами</w:t>
      </w:r>
      <w:r w:rsidR="00B239F8">
        <w:t xml:space="preserve">, </w:t>
      </w:r>
      <w:r w:rsidR="008D0FE6">
        <w:t>що</w:t>
      </w:r>
      <w:r w:rsidR="00B239F8">
        <w:t xml:space="preserve"> застосовуються в </w:t>
      </w:r>
      <w:r w:rsidR="00DE6E54">
        <w:t>Д</w:t>
      </w:r>
      <w:r w:rsidR="008D0FE6">
        <w:t xml:space="preserve">ирективах, які мають бути </w:t>
      </w:r>
      <w:proofErr w:type="spellStart"/>
      <w:r w:rsidR="008D0FE6">
        <w:t>імплементовані</w:t>
      </w:r>
      <w:proofErr w:type="spellEnd"/>
      <w:r w:rsidR="008D0FE6">
        <w:t xml:space="preserve"> Україною для забезпечення </w:t>
      </w:r>
      <w:proofErr w:type="spellStart"/>
      <w:r w:rsidR="008D0FE6">
        <w:t>інтероперабельності</w:t>
      </w:r>
      <w:proofErr w:type="spellEnd"/>
      <w:r w:rsidR="008D0FE6">
        <w:t xml:space="preserve"> залізничних систем</w:t>
      </w:r>
      <w:r w:rsidR="00C64AE9">
        <w:t xml:space="preserve">, вилучити з Технічних регламентів терміни та норми, що не є безпосередньо </w:t>
      </w:r>
      <w:r w:rsidR="00525059">
        <w:t>предметом</w:t>
      </w:r>
      <w:r w:rsidR="00C64AE9">
        <w:t xml:space="preserve"> їх регулювання, а також доповнити нормою щодо застосування при здійсненні оцінки відповідності у сфері залізничного транспорту модулів, затверджених постановою Кабінету Міністрів України від 03.10.2018 № 797. </w:t>
      </w:r>
    </w:p>
    <w:p w:rsidR="00C64AE9" w:rsidRDefault="00C64AE9" w:rsidP="00B415B1">
      <w:pPr>
        <w:spacing w:after="0" w:line="240" w:lineRule="auto"/>
        <w:ind w:firstLine="567"/>
        <w:jc w:val="both"/>
      </w:pPr>
      <w:r>
        <w:t xml:space="preserve">Також </w:t>
      </w:r>
      <w:proofErr w:type="spellStart"/>
      <w:r>
        <w:t>проєктом</w:t>
      </w:r>
      <w:proofErr w:type="spellEnd"/>
      <w:r>
        <w:t xml:space="preserve"> постанови пропонується конкретизувати сферу дії Технічних регламентів </w:t>
      </w:r>
      <w:r w:rsidR="009276FC">
        <w:t>т</w:t>
      </w:r>
      <w:r>
        <w:t>а наве</w:t>
      </w:r>
      <w:r w:rsidR="00F02C21">
        <w:t>сти</w:t>
      </w:r>
      <w:r>
        <w:t xml:space="preserve"> зразок декларації про відповідність</w:t>
      </w:r>
      <w:r w:rsidR="00525059">
        <w:t xml:space="preserve"> вимогам Технічних регламентів</w:t>
      </w:r>
      <w:r>
        <w:t xml:space="preserve">. </w:t>
      </w:r>
    </w:p>
    <w:p w:rsidR="00BB52D9" w:rsidRDefault="00BB52D9" w:rsidP="00BB52D9">
      <w:pPr>
        <w:spacing w:after="0" w:line="240" w:lineRule="auto"/>
        <w:ind w:firstLine="567"/>
        <w:rPr>
          <w:b/>
        </w:rPr>
      </w:pPr>
    </w:p>
    <w:p w:rsidR="007C2C89" w:rsidRPr="00C75876" w:rsidRDefault="007C2C89" w:rsidP="007C2C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lang w:eastAsia="ru-RU"/>
        </w:rPr>
      </w:pPr>
      <w:r w:rsidRPr="00C75876">
        <w:rPr>
          <w:b/>
          <w:lang w:eastAsia="ru-RU"/>
        </w:rPr>
        <w:t>4. Вплив на бюджет</w:t>
      </w:r>
    </w:p>
    <w:p w:rsidR="007C2C89" w:rsidRPr="00AE3583" w:rsidRDefault="007C2C89" w:rsidP="007C2C89">
      <w:pPr>
        <w:widowControl w:val="0"/>
        <w:spacing w:after="0" w:line="240" w:lineRule="auto"/>
        <w:ind w:firstLine="567"/>
        <w:jc w:val="both"/>
        <w:rPr>
          <w:lang w:eastAsia="ru-RU"/>
        </w:rPr>
      </w:pPr>
      <w:r w:rsidRPr="00AE3583">
        <w:rPr>
          <w:lang w:eastAsia="ru-RU"/>
        </w:rPr>
        <w:t xml:space="preserve">Реалізація </w:t>
      </w:r>
      <w:r w:rsidRPr="00AE3583">
        <w:rPr>
          <w:lang w:eastAsia="uk-UA"/>
        </w:rPr>
        <w:t>постанови</w:t>
      </w:r>
      <w:r w:rsidRPr="00AE3583">
        <w:rPr>
          <w:lang w:eastAsia="ru-RU"/>
        </w:rPr>
        <w:t xml:space="preserve"> не </w:t>
      </w:r>
      <w:proofErr w:type="spellStart"/>
      <w:r w:rsidRPr="00AE3583">
        <w:rPr>
          <w:lang w:eastAsia="ru-RU"/>
        </w:rPr>
        <w:t>потребу</w:t>
      </w:r>
      <w:r w:rsidR="00F02C21">
        <w:rPr>
          <w:lang w:eastAsia="ru-RU"/>
        </w:rPr>
        <w:t>ватимее</w:t>
      </w:r>
      <w:proofErr w:type="spellEnd"/>
      <w:r w:rsidRPr="00AE3583">
        <w:rPr>
          <w:lang w:eastAsia="ru-RU"/>
        </w:rPr>
        <w:t xml:space="preserve"> додаткового фінансування </w:t>
      </w:r>
      <w:r>
        <w:rPr>
          <w:lang w:eastAsia="ru-RU"/>
        </w:rPr>
        <w:br/>
      </w:r>
      <w:r w:rsidRPr="00AE3583">
        <w:rPr>
          <w:lang w:eastAsia="ru-RU"/>
        </w:rPr>
        <w:t xml:space="preserve">з </w:t>
      </w:r>
      <w:r>
        <w:rPr>
          <w:lang w:eastAsia="ru-RU"/>
        </w:rPr>
        <w:t>Д</w:t>
      </w:r>
      <w:r w:rsidRPr="00AE3583">
        <w:rPr>
          <w:lang w:eastAsia="ru-RU"/>
        </w:rPr>
        <w:t>ержавного бюджет</w:t>
      </w:r>
      <w:r>
        <w:rPr>
          <w:lang w:eastAsia="ru-RU"/>
        </w:rPr>
        <w:t>у України</w:t>
      </w:r>
      <w:r w:rsidR="00FF7FCD">
        <w:rPr>
          <w:lang w:eastAsia="ru-RU"/>
        </w:rPr>
        <w:t xml:space="preserve"> </w:t>
      </w:r>
      <w:r w:rsidR="00FF7FCD">
        <w:rPr>
          <w:rFonts w:eastAsia="Times New Roman"/>
          <w:lang w:eastAsia="ru-RU"/>
        </w:rPr>
        <w:t>чи місцевих бюджетів</w:t>
      </w:r>
      <w:r w:rsidRPr="00AE3583">
        <w:rPr>
          <w:lang w:eastAsia="ru-RU"/>
        </w:rPr>
        <w:t>.</w:t>
      </w:r>
    </w:p>
    <w:p w:rsidR="007C2C89" w:rsidRDefault="007C2C89" w:rsidP="007C2C89">
      <w:pPr>
        <w:widowControl w:val="0"/>
        <w:spacing w:after="0" w:line="240" w:lineRule="auto"/>
        <w:ind w:firstLine="567"/>
        <w:jc w:val="both"/>
      </w:pPr>
    </w:p>
    <w:p w:rsidR="007C2C89" w:rsidRPr="00C75876" w:rsidRDefault="007C2C89" w:rsidP="007C2C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lang w:eastAsia="ru-RU"/>
        </w:rPr>
      </w:pPr>
      <w:r w:rsidRPr="00C75876">
        <w:rPr>
          <w:b/>
          <w:lang w:eastAsia="ru-RU"/>
        </w:rPr>
        <w:t>5. Позиція заінтересованих сторін</w:t>
      </w:r>
    </w:p>
    <w:p w:rsidR="007C2C89" w:rsidRPr="005F0A28" w:rsidRDefault="007C2C89" w:rsidP="007C2C89">
      <w:pPr>
        <w:spacing w:after="0" w:line="240" w:lineRule="auto"/>
        <w:ind w:firstLine="567"/>
        <w:jc w:val="both"/>
        <w:rPr>
          <w:bCs/>
          <w:lang w:eastAsia="uk-UA"/>
        </w:rPr>
      </w:pPr>
      <w:r w:rsidRPr="005F0A28">
        <w:rPr>
          <w:bCs/>
          <w:lang w:eastAsia="uk-UA"/>
        </w:rPr>
        <w:t xml:space="preserve">Реалізація </w:t>
      </w:r>
      <w:r w:rsidRPr="00AE3583">
        <w:rPr>
          <w:lang w:eastAsia="uk-UA"/>
        </w:rPr>
        <w:t>постанови</w:t>
      </w:r>
      <w:r w:rsidRPr="00AE3583">
        <w:rPr>
          <w:lang w:eastAsia="ru-RU"/>
        </w:rPr>
        <w:t xml:space="preserve"> </w:t>
      </w:r>
      <w:r w:rsidRPr="005F0A28">
        <w:rPr>
          <w:bCs/>
          <w:lang w:eastAsia="uk-UA"/>
        </w:rPr>
        <w:t>впливатиме на</w:t>
      </w:r>
      <w:r>
        <w:rPr>
          <w:bCs/>
          <w:lang w:eastAsia="uk-UA"/>
        </w:rPr>
        <w:t xml:space="preserve"> ключові</w:t>
      </w:r>
      <w:r w:rsidRPr="005F0A28">
        <w:rPr>
          <w:bCs/>
          <w:lang w:eastAsia="uk-UA"/>
        </w:rPr>
        <w:t xml:space="preserve"> інтереси заінтересованих сторін, прогноз впливу додається.</w:t>
      </w:r>
    </w:p>
    <w:p w:rsidR="00FF7FCD" w:rsidRPr="00FF7FCD" w:rsidRDefault="00FF7FCD" w:rsidP="00FF7FCD">
      <w:pPr>
        <w:spacing w:after="0" w:line="240" w:lineRule="auto"/>
        <w:ind w:firstLine="567"/>
        <w:jc w:val="both"/>
        <w:rPr>
          <w:rFonts w:eastAsia="Times New Roman"/>
          <w:bCs/>
          <w:lang w:val="ru-RU" w:eastAsia="uk-UA"/>
        </w:rPr>
      </w:pPr>
      <w:r>
        <w:rPr>
          <w:rFonts w:eastAsia="Times New Roman"/>
          <w:bCs/>
          <w:lang w:eastAsia="uk-UA"/>
        </w:rPr>
        <w:t>Проєкт постанови</w:t>
      </w:r>
      <w:r w:rsidRPr="00494D6D">
        <w:rPr>
          <w:rFonts w:eastAsia="Times New Roman"/>
          <w:bCs/>
          <w:lang w:eastAsia="uk-UA"/>
        </w:rPr>
        <w:t xml:space="preserve"> не стосується питань функціонування місцевого самоврядування, прав та інтересів територіальних громад, місцевого та регіонального розвитку</w:t>
      </w:r>
      <w:r>
        <w:rPr>
          <w:rFonts w:eastAsia="Times New Roman"/>
          <w:bCs/>
          <w:lang w:eastAsia="uk-UA"/>
        </w:rPr>
        <w:t>.</w:t>
      </w:r>
    </w:p>
    <w:p w:rsidR="00FF7FCD" w:rsidRPr="00494D6D" w:rsidRDefault="00FF7FCD" w:rsidP="00FF7F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lang w:eastAsia="uk-UA"/>
        </w:rPr>
      </w:pPr>
      <w:r>
        <w:rPr>
          <w:rFonts w:eastAsia="Times New Roman"/>
          <w:bCs/>
          <w:lang w:eastAsia="uk-UA"/>
        </w:rPr>
        <w:t>Проєкт постанови</w:t>
      </w:r>
      <w:r w:rsidRPr="00494D6D">
        <w:rPr>
          <w:rFonts w:eastAsia="Times New Roman"/>
          <w:bCs/>
          <w:lang w:eastAsia="uk-UA"/>
        </w:rPr>
        <w:t xml:space="preserve"> не стосується соціально-трудової сфери, прав осіб з інвалідністю і не потребує погодження з уповноваженими представниками від всеукраїнських профспілок, їх об’єднань, всеукраїнських об’єднань організацій роботодавців.</w:t>
      </w:r>
    </w:p>
    <w:p w:rsidR="00FF7FCD" w:rsidRPr="00494D6D" w:rsidRDefault="00FF7FCD" w:rsidP="00FF7F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lang w:eastAsia="uk-UA"/>
        </w:rPr>
      </w:pPr>
      <w:r>
        <w:rPr>
          <w:rFonts w:eastAsia="Times New Roman"/>
          <w:bCs/>
          <w:lang w:eastAsia="uk-UA"/>
        </w:rPr>
        <w:t>Проєкт постанови</w:t>
      </w:r>
      <w:r w:rsidRPr="00494D6D">
        <w:rPr>
          <w:rFonts w:eastAsia="Times New Roman"/>
          <w:bCs/>
          <w:lang w:eastAsia="uk-UA"/>
        </w:rPr>
        <w:t xml:space="preserve"> не стосується сфери наукової та науково-технічної діяльності, тому не потребує розгляду Науковим комітетом Національної ради з питань розвитку і технологій.</w:t>
      </w:r>
    </w:p>
    <w:p w:rsidR="00FF7FCD" w:rsidRDefault="00FF7FCD" w:rsidP="00FF7F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lang w:eastAsia="uk-UA"/>
        </w:rPr>
      </w:pPr>
      <w:r>
        <w:rPr>
          <w:rFonts w:eastAsia="Times New Roman"/>
          <w:bCs/>
          <w:lang w:eastAsia="uk-UA"/>
        </w:rPr>
        <w:t>Проєкт постанови</w:t>
      </w:r>
      <w:r w:rsidRPr="00494D6D">
        <w:rPr>
          <w:rFonts w:eastAsia="Times New Roman"/>
          <w:bCs/>
          <w:lang w:eastAsia="uk-UA"/>
        </w:rPr>
        <w:t xml:space="preserve"> не стосується питання розвитку адміністративно-територіальних одиниць.</w:t>
      </w:r>
    </w:p>
    <w:p w:rsidR="00FF7FCD" w:rsidRDefault="00FF7FCD" w:rsidP="00FF7F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lang w:eastAsia="uk-UA"/>
        </w:rPr>
        <w:t>Проєкт постанови</w:t>
      </w:r>
      <w:r w:rsidRPr="00494D6D">
        <w:rPr>
          <w:rFonts w:eastAsia="Times New Roman"/>
          <w:bCs/>
          <w:lang w:eastAsia="uk-UA"/>
        </w:rPr>
        <w:t xml:space="preserve"> </w:t>
      </w:r>
      <w:r>
        <w:rPr>
          <w:rFonts w:eastAsia="Times New Roman"/>
          <w:lang w:eastAsia="ru-RU"/>
        </w:rPr>
        <w:t xml:space="preserve">оприлюднено на офіційному </w:t>
      </w:r>
      <w:proofErr w:type="spellStart"/>
      <w:r>
        <w:rPr>
          <w:rFonts w:eastAsia="Times New Roman"/>
          <w:lang w:eastAsia="ru-RU"/>
        </w:rPr>
        <w:t>веб</w:t>
      </w:r>
      <w:r w:rsidRPr="00E3049F">
        <w:rPr>
          <w:rFonts w:eastAsia="Times New Roman"/>
          <w:lang w:eastAsia="ru-RU"/>
        </w:rPr>
        <w:t>сайті</w:t>
      </w:r>
      <w:proofErr w:type="spellEnd"/>
      <w:r w:rsidRPr="00E3049F">
        <w:rPr>
          <w:rFonts w:eastAsia="Times New Roman"/>
          <w:lang w:eastAsia="ru-RU"/>
        </w:rPr>
        <w:t xml:space="preserve"> Мінінфраструктури </w:t>
      </w:r>
      <w:r>
        <w:rPr>
          <w:rFonts w:eastAsia="Times New Roman"/>
          <w:lang w:eastAsia="ru-RU"/>
        </w:rPr>
        <w:t xml:space="preserve">для </w:t>
      </w:r>
      <w:r w:rsidRPr="00E3049F">
        <w:rPr>
          <w:rFonts w:eastAsia="Times New Roman"/>
          <w:lang w:eastAsia="ru-RU"/>
        </w:rPr>
        <w:t>отримання зауважень та пропозицій від фізичних, юридичних осіб та їх об’єднань</w:t>
      </w:r>
      <w:r>
        <w:rPr>
          <w:rFonts w:eastAsia="Times New Roman"/>
          <w:lang w:eastAsia="ru-RU"/>
        </w:rPr>
        <w:t>.</w:t>
      </w:r>
    </w:p>
    <w:p w:rsidR="00FF7FCD" w:rsidRPr="00E3049F" w:rsidRDefault="00FF7FCD" w:rsidP="00FF7F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7C2C89" w:rsidRPr="00C75876" w:rsidRDefault="007C2C89" w:rsidP="007C2C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lang w:eastAsia="ru-RU"/>
        </w:rPr>
      </w:pPr>
      <w:r w:rsidRPr="00C75876">
        <w:rPr>
          <w:b/>
          <w:lang w:eastAsia="ru-RU"/>
        </w:rPr>
        <w:t>6. Прогноз впливу</w:t>
      </w:r>
    </w:p>
    <w:p w:rsidR="00B415B1" w:rsidRDefault="007C2C89" w:rsidP="00525059">
      <w:pPr>
        <w:spacing w:after="0" w:line="240" w:lineRule="auto"/>
        <w:ind w:firstLine="567"/>
        <w:jc w:val="both"/>
      </w:pPr>
      <w:r w:rsidRPr="00DE6E54">
        <w:t xml:space="preserve">Реалізація постанови </w:t>
      </w:r>
      <w:r w:rsidR="00525059">
        <w:t>сприятиме гармонізації</w:t>
      </w:r>
      <w:r w:rsidR="00525059" w:rsidRPr="00525059">
        <w:t xml:space="preserve"> та приведенн</w:t>
      </w:r>
      <w:r w:rsidR="00525059">
        <w:t>ю</w:t>
      </w:r>
      <w:r w:rsidR="00525059" w:rsidRPr="00525059">
        <w:t xml:space="preserve"> вітчизняного законодавства у відповідність </w:t>
      </w:r>
      <w:r w:rsidR="00525059">
        <w:t xml:space="preserve"> </w:t>
      </w:r>
      <w:r w:rsidR="00525059" w:rsidRPr="00525059">
        <w:t>з чинними європейськими нормативно-правовими актами</w:t>
      </w:r>
      <w:r w:rsidR="008560B0">
        <w:t xml:space="preserve">, </w:t>
      </w:r>
      <w:r w:rsidR="00F02C21">
        <w:t>та виконання зобов’язань відповідно до Угоди про асоціацію</w:t>
      </w:r>
      <w:r w:rsidR="00525059" w:rsidRPr="00525059">
        <w:t>, закладення основ для підвищення конкурентоспроможності продукції для потреб залізничної галузі</w:t>
      </w:r>
      <w:r w:rsidR="008560B0">
        <w:t>,</w:t>
      </w:r>
      <w:r w:rsidR="00525059" w:rsidRPr="00525059">
        <w:t xml:space="preserve"> створення умов, які будуть сприяти розширенню ринку її збуту і зменшенню дискримінації вітчизняного виробника в порівнянні з виробниками країн Європейського Союзу.</w:t>
      </w:r>
    </w:p>
    <w:p w:rsidR="002B6F5C" w:rsidRDefault="002B6F5C" w:rsidP="002B6F5C">
      <w:pPr>
        <w:spacing w:after="0" w:line="240" w:lineRule="auto"/>
        <w:ind w:firstLine="567"/>
        <w:jc w:val="both"/>
      </w:pPr>
    </w:p>
    <w:p w:rsidR="007C2C89" w:rsidRDefault="007C2C89" w:rsidP="002B6F5C">
      <w:pPr>
        <w:spacing w:after="0" w:line="240" w:lineRule="auto"/>
        <w:ind w:firstLine="567"/>
        <w:jc w:val="both"/>
        <w:rPr>
          <w:b/>
          <w:lang w:eastAsia="ru-RU"/>
        </w:rPr>
      </w:pPr>
      <w:r w:rsidRPr="005159BC">
        <w:rPr>
          <w:b/>
          <w:lang w:eastAsia="ru-RU"/>
        </w:rPr>
        <w:lastRenderedPageBreak/>
        <w:t>7. Позиція заінтересованих органів</w:t>
      </w:r>
    </w:p>
    <w:p w:rsidR="007C2C89" w:rsidRDefault="007C2C89" w:rsidP="007C2C89">
      <w:pPr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Проєкт п</w:t>
      </w:r>
      <w:r w:rsidRPr="00C8146A">
        <w:rPr>
          <w:lang w:eastAsia="ru-RU"/>
        </w:rPr>
        <w:t>останов</w:t>
      </w:r>
      <w:r>
        <w:rPr>
          <w:lang w:eastAsia="ru-RU"/>
        </w:rPr>
        <w:t>и потребує погодження з Міністерством розвитку економіки, торгівлі та сільського господарства України,</w:t>
      </w:r>
      <w:r w:rsidRPr="00C8146A">
        <w:rPr>
          <w:lang w:eastAsia="ru-RU"/>
        </w:rPr>
        <w:t xml:space="preserve"> Мін</w:t>
      </w:r>
      <w:r>
        <w:rPr>
          <w:lang w:eastAsia="ru-RU"/>
        </w:rPr>
        <w:t>істерством фінансів України,</w:t>
      </w:r>
      <w:r w:rsidRPr="00C8146A">
        <w:rPr>
          <w:lang w:eastAsia="ru-RU"/>
        </w:rPr>
        <w:t xml:space="preserve"> </w:t>
      </w:r>
      <w:r w:rsidR="009276FC">
        <w:rPr>
          <w:lang w:eastAsia="ru-RU"/>
        </w:rPr>
        <w:t xml:space="preserve">Державною службою України з безпеки на транспорті, </w:t>
      </w:r>
      <w:r>
        <w:rPr>
          <w:lang w:eastAsia="ru-RU"/>
        </w:rPr>
        <w:t xml:space="preserve"> </w:t>
      </w:r>
      <w:r w:rsidRPr="00C8146A">
        <w:rPr>
          <w:lang w:eastAsia="ru-RU"/>
        </w:rPr>
        <w:t>Д</w:t>
      </w:r>
      <w:r>
        <w:rPr>
          <w:lang w:eastAsia="ru-RU"/>
        </w:rPr>
        <w:t>ержавною регуляторно</w:t>
      </w:r>
      <w:r w:rsidR="009276FC">
        <w:rPr>
          <w:lang w:eastAsia="ru-RU"/>
        </w:rPr>
        <w:t>ю</w:t>
      </w:r>
      <w:r>
        <w:rPr>
          <w:lang w:eastAsia="ru-RU"/>
        </w:rPr>
        <w:t xml:space="preserve"> службою України.</w:t>
      </w:r>
      <w:r w:rsidRPr="00C8146A">
        <w:rPr>
          <w:lang w:eastAsia="ru-RU"/>
        </w:rPr>
        <w:t xml:space="preserve"> </w:t>
      </w:r>
    </w:p>
    <w:p w:rsidR="007C2C89" w:rsidRPr="00C8146A" w:rsidRDefault="007C2C89" w:rsidP="007C2C89">
      <w:pPr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Проєкт постанови потребує проведення правової експертизи Міністерством юстиції України.</w:t>
      </w:r>
    </w:p>
    <w:p w:rsidR="007C2C89" w:rsidRPr="00AF4817" w:rsidRDefault="007C2C89" w:rsidP="007C2C89">
      <w:pPr>
        <w:widowControl w:val="0"/>
        <w:spacing w:after="0" w:line="240" w:lineRule="auto"/>
        <w:ind w:firstLine="567"/>
        <w:jc w:val="both"/>
      </w:pPr>
    </w:p>
    <w:p w:rsidR="007C2C89" w:rsidRDefault="007C2C89" w:rsidP="007C2C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lang w:eastAsia="ru-RU"/>
        </w:rPr>
      </w:pPr>
      <w:r w:rsidRPr="005159BC">
        <w:rPr>
          <w:b/>
          <w:lang w:eastAsia="ru-RU"/>
        </w:rPr>
        <w:t>8. Ризики та обмеження</w:t>
      </w:r>
    </w:p>
    <w:p w:rsidR="007C2C89" w:rsidRDefault="007C2C89" w:rsidP="007C2C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  <w:r w:rsidRPr="000E2DE6">
        <w:rPr>
          <w:lang w:eastAsia="ru-RU"/>
        </w:rPr>
        <w:t xml:space="preserve">У </w:t>
      </w:r>
      <w:r>
        <w:rPr>
          <w:lang w:eastAsia="ru-RU"/>
        </w:rPr>
        <w:t>проєкті постанови</w:t>
      </w:r>
      <w:r w:rsidRPr="000E2DE6">
        <w:rPr>
          <w:lang w:eastAsia="ru-RU"/>
        </w:rPr>
        <w:t xml:space="preserve"> відсутні</w:t>
      </w:r>
      <w:r>
        <w:rPr>
          <w:lang w:eastAsia="ru-RU"/>
        </w:rPr>
        <w:t xml:space="preserve"> </w:t>
      </w:r>
      <w:r w:rsidRPr="005159BC">
        <w:rPr>
          <w:lang w:eastAsia="ru-RU"/>
        </w:rPr>
        <w:t>положен</w:t>
      </w:r>
      <w:r>
        <w:rPr>
          <w:lang w:eastAsia="ru-RU"/>
        </w:rPr>
        <w:t>ня</w:t>
      </w:r>
      <w:r w:rsidRPr="005159BC">
        <w:rPr>
          <w:lang w:eastAsia="ru-RU"/>
        </w:rPr>
        <w:t xml:space="preserve">, </w:t>
      </w:r>
      <w:r>
        <w:rPr>
          <w:lang w:eastAsia="ru-RU"/>
        </w:rPr>
        <w:t>що:</w:t>
      </w:r>
    </w:p>
    <w:p w:rsidR="007C2C89" w:rsidRDefault="007C2C89" w:rsidP="007C2C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  <w:r w:rsidRPr="005159BC">
        <w:rPr>
          <w:lang w:eastAsia="ru-RU"/>
        </w:rPr>
        <w:t>стосуються прав та свобод, гарантованих Конвенцією про захист прав</w:t>
      </w:r>
      <w:r>
        <w:rPr>
          <w:lang w:eastAsia="ru-RU"/>
        </w:rPr>
        <w:t xml:space="preserve"> людини і основоположних свобод;</w:t>
      </w:r>
      <w:r w:rsidRPr="005159BC">
        <w:rPr>
          <w:lang w:eastAsia="ru-RU"/>
        </w:rPr>
        <w:t xml:space="preserve"> </w:t>
      </w:r>
    </w:p>
    <w:p w:rsidR="007C2C89" w:rsidRDefault="007C2C89" w:rsidP="007C2C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  <w:r w:rsidRPr="005159BC">
        <w:rPr>
          <w:lang w:eastAsia="ru-RU"/>
        </w:rPr>
        <w:t>впливають на забезпечення рівних прав та можливостей жінок і чоловіків</w:t>
      </w:r>
      <w:r>
        <w:rPr>
          <w:lang w:eastAsia="ru-RU"/>
        </w:rPr>
        <w:t>;</w:t>
      </w:r>
      <w:r w:rsidRPr="005159BC">
        <w:rPr>
          <w:lang w:eastAsia="ru-RU"/>
        </w:rPr>
        <w:t xml:space="preserve"> </w:t>
      </w:r>
    </w:p>
    <w:p w:rsidR="007C2C89" w:rsidRDefault="007C2C89" w:rsidP="007C2C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  <w:r w:rsidRPr="005159BC">
        <w:rPr>
          <w:lang w:eastAsia="ru-RU"/>
        </w:rPr>
        <w:t>містять ризики вчинення корупційних правопорушень та правопо</w:t>
      </w:r>
      <w:r>
        <w:rPr>
          <w:lang w:eastAsia="ru-RU"/>
        </w:rPr>
        <w:t>рушень, пов’язаних з корупцією;</w:t>
      </w:r>
    </w:p>
    <w:p w:rsidR="007C2C89" w:rsidRDefault="007C2C89" w:rsidP="007C2C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  <w:r w:rsidRPr="005159BC">
        <w:rPr>
          <w:lang w:eastAsia="ru-RU"/>
        </w:rPr>
        <w:t>створю</w:t>
      </w:r>
      <w:r>
        <w:rPr>
          <w:lang w:eastAsia="ru-RU"/>
        </w:rPr>
        <w:t>ють підстави для дискримінації.</w:t>
      </w:r>
    </w:p>
    <w:p w:rsidR="00FF7FCD" w:rsidRDefault="00FF7FCD" w:rsidP="00FF7F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lang w:eastAsia="ru-RU"/>
        </w:rPr>
        <w:t>Проєкт п</w:t>
      </w:r>
      <w:r w:rsidRPr="00C8146A">
        <w:rPr>
          <w:lang w:eastAsia="ru-RU"/>
        </w:rPr>
        <w:t>останов</w:t>
      </w:r>
      <w:r>
        <w:rPr>
          <w:lang w:eastAsia="ru-RU"/>
        </w:rPr>
        <w:t>и</w:t>
      </w:r>
      <w:r>
        <w:rPr>
          <w:rFonts w:eastAsia="Times New Roman"/>
          <w:lang w:eastAsia="ru-RU"/>
        </w:rPr>
        <w:t xml:space="preserve"> не потребує проведення цифрової експертизи та отримання висновку Міністерства цифрової трансформації України про проведення цифрової експертизи, у зв’язку з тим, що </w:t>
      </w:r>
      <w:r w:rsidR="00D02DE6">
        <w:rPr>
          <w:rFonts w:eastAsia="Times New Roman"/>
          <w:lang w:eastAsia="ru-RU"/>
        </w:rPr>
        <w:t>проєкт постанови</w:t>
      </w:r>
      <w:r>
        <w:rPr>
          <w:rFonts w:eastAsia="Times New Roman"/>
          <w:lang w:eastAsia="ru-RU"/>
        </w:rPr>
        <w:t xml:space="preserve"> не стосується питань інформатизації, електронного урядування, формування і використання національних електронних інформаційних ресурсів, розвитку інформаційного суспільства, електронної демократії надання адміністративних послуг або цифрового розвитку.</w:t>
      </w:r>
    </w:p>
    <w:p w:rsidR="00FF7FCD" w:rsidRDefault="00FF7FCD" w:rsidP="00FF7F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lang w:eastAsia="ru-RU"/>
        </w:rPr>
        <w:t>Проєкт п</w:t>
      </w:r>
      <w:r w:rsidRPr="00C8146A">
        <w:rPr>
          <w:lang w:eastAsia="ru-RU"/>
        </w:rPr>
        <w:t>останов</w:t>
      </w:r>
      <w:r>
        <w:rPr>
          <w:lang w:eastAsia="ru-RU"/>
        </w:rPr>
        <w:t xml:space="preserve">и </w:t>
      </w:r>
      <w:r>
        <w:rPr>
          <w:rFonts w:eastAsia="Times New Roman"/>
          <w:lang w:eastAsia="ru-RU"/>
        </w:rPr>
        <w:t xml:space="preserve">не потребує рішення Антимонопольного комітету України </w:t>
      </w:r>
      <w:r w:rsidRPr="00A51724">
        <w:rPr>
          <w:rFonts w:eastAsia="Times New Roman"/>
          <w:lang w:eastAsia="ru-RU"/>
        </w:rPr>
        <w:t xml:space="preserve">про нову державну допомогу </w:t>
      </w:r>
      <w:r>
        <w:rPr>
          <w:rFonts w:eastAsia="Times New Roman"/>
          <w:lang w:eastAsia="ru-RU"/>
        </w:rPr>
        <w:t xml:space="preserve">суб’єктам господарювання, оскільки не передбачає надання державної допомоги суб’єктам господарювання. Дія Закону України «Про державну допомогу суб’єктам господарювання» не поширюється на </w:t>
      </w:r>
      <w:r w:rsidR="00D02DE6">
        <w:rPr>
          <w:rFonts w:eastAsia="Times New Roman"/>
          <w:lang w:eastAsia="ru-RU"/>
        </w:rPr>
        <w:t>проєкт постанови</w:t>
      </w:r>
      <w:r>
        <w:rPr>
          <w:rFonts w:eastAsia="Times New Roman"/>
          <w:lang w:eastAsia="ru-RU"/>
        </w:rPr>
        <w:t xml:space="preserve"> та на підтримку суб’єктів господарювання. </w:t>
      </w:r>
    </w:p>
    <w:p w:rsidR="00384727" w:rsidRDefault="00384727" w:rsidP="00BB52D9">
      <w:pPr>
        <w:spacing w:after="0" w:line="240" w:lineRule="auto"/>
        <w:ind w:firstLine="567"/>
        <w:rPr>
          <w:b/>
        </w:rPr>
      </w:pPr>
    </w:p>
    <w:p w:rsidR="007C2C89" w:rsidRPr="005159BC" w:rsidRDefault="007C2C89" w:rsidP="007C2C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lang w:eastAsia="ru-RU"/>
        </w:rPr>
      </w:pPr>
      <w:r w:rsidRPr="005159BC">
        <w:rPr>
          <w:b/>
          <w:lang w:eastAsia="ru-RU"/>
        </w:rPr>
        <w:t>9. Підстава розроблення про</w:t>
      </w:r>
      <w:r w:rsidR="00653422">
        <w:rPr>
          <w:b/>
          <w:lang w:eastAsia="ru-RU"/>
        </w:rPr>
        <w:t>є</w:t>
      </w:r>
      <w:r w:rsidRPr="005159BC">
        <w:rPr>
          <w:b/>
          <w:lang w:eastAsia="ru-RU"/>
        </w:rPr>
        <w:t xml:space="preserve">кту </w:t>
      </w:r>
      <w:proofErr w:type="spellStart"/>
      <w:r w:rsidRPr="005159BC">
        <w:rPr>
          <w:b/>
          <w:lang w:eastAsia="ru-RU"/>
        </w:rPr>
        <w:t>акта</w:t>
      </w:r>
      <w:proofErr w:type="spellEnd"/>
    </w:p>
    <w:p w:rsidR="009276FC" w:rsidRDefault="007C2C89" w:rsidP="00005060">
      <w:pPr>
        <w:widowControl w:val="0"/>
        <w:spacing w:after="0" w:line="240" w:lineRule="auto"/>
        <w:ind w:firstLine="567"/>
        <w:jc w:val="both"/>
      </w:pPr>
      <w:r>
        <w:t>Проє</w:t>
      </w:r>
      <w:r w:rsidRPr="00AE3583">
        <w:t xml:space="preserve">кт постанови розроблено </w:t>
      </w:r>
      <w:r w:rsidR="009276FC">
        <w:t xml:space="preserve">на виконання вимог </w:t>
      </w:r>
      <w:r w:rsidR="00193013">
        <w:t xml:space="preserve">статті 20 </w:t>
      </w:r>
      <w:r w:rsidR="009276FC">
        <w:t>Закону України «Про технічні регламенти та оцінку відповідності»</w:t>
      </w:r>
      <w:r w:rsidR="000D10F2">
        <w:t>, підпункту 24</w:t>
      </w:r>
      <w:bookmarkStart w:id="0" w:name="_GoBack"/>
      <w:bookmarkEnd w:id="0"/>
      <w:r w:rsidR="00005060">
        <w:t xml:space="preserve"> пункту 9 Плану заходів щодо реалізації Стратегії розвитку системи технічного регулювання на період до 2020 року, схваленої розпорядженням Кабінету Міністрів України від 19 серпня 2015 р. № 844-р</w:t>
      </w:r>
      <w:r w:rsidR="00F02C21">
        <w:t>,</w:t>
      </w:r>
      <w:r w:rsidR="00005060">
        <w:t xml:space="preserve"> </w:t>
      </w:r>
      <w:r w:rsidR="009276FC">
        <w:t xml:space="preserve"> </w:t>
      </w:r>
      <w:r w:rsidR="00193013">
        <w:t xml:space="preserve">а також з метою </w:t>
      </w:r>
      <w:r w:rsidR="009276FC">
        <w:t xml:space="preserve"> забезпечення оцінки відповідності, сумісності, придатності до використання та перевірки у сфері залізничного транспорту ідентичної до процедур оцінки відповідності, які діють у Європейському Союзі у сфері залізничного транспорту</w:t>
      </w:r>
      <w:r w:rsidR="008560B0">
        <w:t xml:space="preserve">. </w:t>
      </w:r>
    </w:p>
    <w:p w:rsidR="00E17E65" w:rsidRDefault="00E17E65" w:rsidP="00E17E65">
      <w:pPr>
        <w:widowControl w:val="0"/>
        <w:spacing w:after="0" w:line="240" w:lineRule="auto"/>
        <w:jc w:val="both"/>
      </w:pPr>
    </w:p>
    <w:p w:rsidR="00A86816" w:rsidRPr="00AF4817" w:rsidRDefault="00A86816" w:rsidP="00E17E65">
      <w:pPr>
        <w:widowControl w:val="0"/>
        <w:spacing w:after="0" w:line="240" w:lineRule="auto"/>
        <w:jc w:val="both"/>
      </w:pPr>
    </w:p>
    <w:p w:rsidR="00E17E65" w:rsidRDefault="00E17E65" w:rsidP="00E17E65">
      <w:pPr>
        <w:widowControl w:val="0"/>
        <w:spacing w:after="0" w:line="240" w:lineRule="auto"/>
        <w:jc w:val="both"/>
        <w:rPr>
          <w:lang w:eastAsia="ru-RU"/>
        </w:rPr>
      </w:pPr>
      <w:r>
        <w:t xml:space="preserve">Міністр інфраструктури України </w:t>
      </w:r>
      <w:r>
        <w:tab/>
      </w:r>
      <w:r>
        <w:tab/>
      </w:r>
      <w:r>
        <w:tab/>
      </w:r>
      <w:r>
        <w:tab/>
        <w:t xml:space="preserve">       Владислав КРИКЛІЙ</w:t>
      </w:r>
    </w:p>
    <w:p w:rsidR="00C77B3D" w:rsidRDefault="00C77B3D" w:rsidP="00E17E65">
      <w:pPr>
        <w:widowControl w:val="0"/>
        <w:spacing w:after="0" w:line="240" w:lineRule="auto"/>
        <w:jc w:val="both"/>
        <w:rPr>
          <w:lang w:eastAsia="ru-RU"/>
        </w:rPr>
      </w:pPr>
    </w:p>
    <w:p w:rsidR="00E17E65" w:rsidRPr="00C77B3D" w:rsidRDefault="00C77B3D" w:rsidP="00E17E65">
      <w:pPr>
        <w:widowControl w:val="0"/>
        <w:spacing w:after="0" w:line="240" w:lineRule="auto"/>
        <w:jc w:val="both"/>
        <w:rPr>
          <w:lang w:eastAsia="ru-RU"/>
        </w:rPr>
      </w:pPr>
      <w:r w:rsidRPr="00C77B3D">
        <w:rPr>
          <w:lang w:eastAsia="ru-RU"/>
        </w:rPr>
        <w:t xml:space="preserve">«____» </w:t>
      </w:r>
      <w:r>
        <w:rPr>
          <w:lang w:eastAsia="ru-RU"/>
        </w:rPr>
        <w:softHyphen/>
      </w:r>
      <w:r>
        <w:rPr>
          <w:lang w:eastAsia="ru-RU"/>
        </w:rPr>
        <w:softHyphen/>
      </w:r>
      <w:r>
        <w:rPr>
          <w:lang w:eastAsia="ru-RU"/>
        </w:rPr>
        <w:softHyphen/>
      </w:r>
      <w:r>
        <w:rPr>
          <w:lang w:eastAsia="ru-RU"/>
        </w:rPr>
        <w:softHyphen/>
      </w:r>
      <w:r>
        <w:rPr>
          <w:lang w:eastAsia="ru-RU"/>
        </w:rPr>
        <w:softHyphen/>
      </w:r>
      <w:r>
        <w:rPr>
          <w:lang w:eastAsia="ru-RU"/>
        </w:rPr>
        <w:softHyphen/>
      </w:r>
      <w:r>
        <w:rPr>
          <w:lang w:eastAsia="ru-RU"/>
        </w:rPr>
        <w:softHyphen/>
      </w:r>
      <w:r>
        <w:rPr>
          <w:lang w:eastAsia="ru-RU"/>
        </w:rPr>
        <w:softHyphen/>
      </w:r>
      <w:r>
        <w:rPr>
          <w:lang w:eastAsia="ru-RU"/>
        </w:rPr>
        <w:softHyphen/>
      </w:r>
      <w:r>
        <w:rPr>
          <w:lang w:eastAsia="ru-RU"/>
        </w:rPr>
        <w:softHyphen/>
      </w:r>
      <w:r>
        <w:rPr>
          <w:lang w:eastAsia="ru-RU"/>
        </w:rPr>
        <w:softHyphen/>
      </w:r>
      <w:r w:rsidRPr="00C77B3D">
        <w:rPr>
          <w:lang w:eastAsia="ru-RU"/>
        </w:rPr>
        <w:t>_____</w:t>
      </w:r>
      <w:r w:rsidR="00E17E65" w:rsidRPr="00C77B3D">
        <w:rPr>
          <w:lang w:eastAsia="ru-RU"/>
        </w:rPr>
        <w:t xml:space="preserve">______ </w:t>
      </w:r>
      <w:r w:rsidRPr="00C77B3D">
        <w:rPr>
          <w:lang w:eastAsia="ru-RU"/>
        </w:rPr>
        <w:t xml:space="preserve">    </w:t>
      </w:r>
      <w:r w:rsidR="00E17E65" w:rsidRPr="00C77B3D">
        <w:rPr>
          <w:lang w:eastAsia="ru-RU"/>
        </w:rPr>
        <w:t>2020 р.</w:t>
      </w:r>
    </w:p>
    <w:sectPr w:rsidR="00E17E65" w:rsidRPr="00C77B3D" w:rsidSect="00A8681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18F" w:rsidRDefault="00B4018F" w:rsidP="004D3263">
      <w:pPr>
        <w:spacing w:after="0" w:line="240" w:lineRule="auto"/>
      </w:pPr>
      <w:r>
        <w:separator/>
      </w:r>
    </w:p>
  </w:endnote>
  <w:endnote w:type="continuationSeparator" w:id="0">
    <w:p w:rsidR="00B4018F" w:rsidRDefault="00B4018F" w:rsidP="004D3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18F" w:rsidRDefault="00B4018F" w:rsidP="004D3263">
      <w:pPr>
        <w:spacing w:after="0" w:line="240" w:lineRule="auto"/>
      </w:pPr>
      <w:r>
        <w:separator/>
      </w:r>
    </w:p>
  </w:footnote>
  <w:footnote w:type="continuationSeparator" w:id="0">
    <w:p w:rsidR="00B4018F" w:rsidRDefault="00B4018F" w:rsidP="004D3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772365"/>
      <w:docPartObj>
        <w:docPartGallery w:val="Page Numbers (Top of Page)"/>
        <w:docPartUnique/>
      </w:docPartObj>
    </w:sdtPr>
    <w:sdtEndPr/>
    <w:sdtContent>
      <w:p w:rsidR="004D3263" w:rsidRDefault="004D326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0F2" w:rsidRPr="000D10F2">
          <w:rPr>
            <w:noProof/>
            <w:lang w:val="ru-RU"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6D6F"/>
    <w:multiLevelType w:val="hybridMultilevel"/>
    <w:tmpl w:val="80D62892"/>
    <w:lvl w:ilvl="0" w:tplc="665C7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0C76F1"/>
    <w:multiLevelType w:val="hybridMultilevel"/>
    <w:tmpl w:val="E4AE848E"/>
    <w:lvl w:ilvl="0" w:tplc="882A46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7403290"/>
    <w:multiLevelType w:val="hybridMultilevel"/>
    <w:tmpl w:val="B87CE4F8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4D23029D"/>
    <w:multiLevelType w:val="hybridMultilevel"/>
    <w:tmpl w:val="351A8F5C"/>
    <w:lvl w:ilvl="0" w:tplc="9B9C42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5E51F9"/>
    <w:multiLevelType w:val="hybridMultilevel"/>
    <w:tmpl w:val="286C0DDA"/>
    <w:lvl w:ilvl="0" w:tplc="0A9A0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3"/>
    <w:rsid w:val="00005060"/>
    <w:rsid w:val="00016CF7"/>
    <w:rsid w:val="00024426"/>
    <w:rsid w:val="0006409C"/>
    <w:rsid w:val="00064CCF"/>
    <w:rsid w:val="000679B6"/>
    <w:rsid w:val="00070821"/>
    <w:rsid w:val="000C25A5"/>
    <w:rsid w:val="000D10F2"/>
    <w:rsid w:val="000F3891"/>
    <w:rsid w:val="000F4B73"/>
    <w:rsid w:val="000F4DD3"/>
    <w:rsid w:val="001000F2"/>
    <w:rsid w:val="001163E9"/>
    <w:rsid w:val="0014196B"/>
    <w:rsid w:val="00193013"/>
    <w:rsid w:val="00197B11"/>
    <w:rsid w:val="001A1C39"/>
    <w:rsid w:val="001B2FC2"/>
    <w:rsid w:val="001C20EB"/>
    <w:rsid w:val="001D703A"/>
    <w:rsid w:val="00226FD7"/>
    <w:rsid w:val="00227CBD"/>
    <w:rsid w:val="00242240"/>
    <w:rsid w:val="00262DA5"/>
    <w:rsid w:val="002848CB"/>
    <w:rsid w:val="002900DB"/>
    <w:rsid w:val="00293A08"/>
    <w:rsid w:val="00295782"/>
    <w:rsid w:val="002A24F2"/>
    <w:rsid w:val="002B6F5C"/>
    <w:rsid w:val="002C238C"/>
    <w:rsid w:val="002C6939"/>
    <w:rsid w:val="002F5095"/>
    <w:rsid w:val="00344B9E"/>
    <w:rsid w:val="003651B9"/>
    <w:rsid w:val="003730D8"/>
    <w:rsid w:val="0037463E"/>
    <w:rsid w:val="00380259"/>
    <w:rsid w:val="003818A1"/>
    <w:rsid w:val="00384727"/>
    <w:rsid w:val="003F72C6"/>
    <w:rsid w:val="004233F8"/>
    <w:rsid w:val="004410EA"/>
    <w:rsid w:val="00444BE9"/>
    <w:rsid w:val="0046573E"/>
    <w:rsid w:val="00475BAA"/>
    <w:rsid w:val="00491141"/>
    <w:rsid w:val="00495AB1"/>
    <w:rsid w:val="0049615E"/>
    <w:rsid w:val="004B00F0"/>
    <w:rsid w:val="004C48BA"/>
    <w:rsid w:val="004D3263"/>
    <w:rsid w:val="004F43AE"/>
    <w:rsid w:val="004F4A63"/>
    <w:rsid w:val="004F7FB9"/>
    <w:rsid w:val="0051597E"/>
    <w:rsid w:val="00525059"/>
    <w:rsid w:val="0053012A"/>
    <w:rsid w:val="0053575A"/>
    <w:rsid w:val="00581258"/>
    <w:rsid w:val="005C45E9"/>
    <w:rsid w:val="00600A99"/>
    <w:rsid w:val="00605672"/>
    <w:rsid w:val="00615326"/>
    <w:rsid w:val="006266DF"/>
    <w:rsid w:val="00631DDD"/>
    <w:rsid w:val="00653422"/>
    <w:rsid w:val="0065753A"/>
    <w:rsid w:val="006744C4"/>
    <w:rsid w:val="00682F4E"/>
    <w:rsid w:val="006A321F"/>
    <w:rsid w:val="006B2653"/>
    <w:rsid w:val="006B7022"/>
    <w:rsid w:val="006D49A8"/>
    <w:rsid w:val="006E5052"/>
    <w:rsid w:val="006F20DE"/>
    <w:rsid w:val="006F7BE7"/>
    <w:rsid w:val="0070600C"/>
    <w:rsid w:val="00721CCE"/>
    <w:rsid w:val="007325A3"/>
    <w:rsid w:val="00751DB9"/>
    <w:rsid w:val="0076505B"/>
    <w:rsid w:val="00791ED1"/>
    <w:rsid w:val="007B1D4E"/>
    <w:rsid w:val="007C2C89"/>
    <w:rsid w:val="007C4D9A"/>
    <w:rsid w:val="007C5431"/>
    <w:rsid w:val="007E7EA5"/>
    <w:rsid w:val="00801FF2"/>
    <w:rsid w:val="0084501C"/>
    <w:rsid w:val="008526C1"/>
    <w:rsid w:val="008552E3"/>
    <w:rsid w:val="008560B0"/>
    <w:rsid w:val="00860F97"/>
    <w:rsid w:val="00874250"/>
    <w:rsid w:val="008852F7"/>
    <w:rsid w:val="008922E2"/>
    <w:rsid w:val="008A2D21"/>
    <w:rsid w:val="008B3EBC"/>
    <w:rsid w:val="008D0FE6"/>
    <w:rsid w:val="008E01EA"/>
    <w:rsid w:val="008E2B88"/>
    <w:rsid w:val="008F02CB"/>
    <w:rsid w:val="00906568"/>
    <w:rsid w:val="009129B9"/>
    <w:rsid w:val="009276FC"/>
    <w:rsid w:val="009523A9"/>
    <w:rsid w:val="009540F8"/>
    <w:rsid w:val="009A308C"/>
    <w:rsid w:val="009A393F"/>
    <w:rsid w:val="009B69F0"/>
    <w:rsid w:val="009E3E25"/>
    <w:rsid w:val="009E42D8"/>
    <w:rsid w:val="009E5B89"/>
    <w:rsid w:val="00A04260"/>
    <w:rsid w:val="00A308E2"/>
    <w:rsid w:val="00A337B5"/>
    <w:rsid w:val="00A43AA1"/>
    <w:rsid w:val="00A82723"/>
    <w:rsid w:val="00A86816"/>
    <w:rsid w:val="00AB2994"/>
    <w:rsid w:val="00B239F8"/>
    <w:rsid w:val="00B25910"/>
    <w:rsid w:val="00B4018F"/>
    <w:rsid w:val="00B415B1"/>
    <w:rsid w:val="00B54A07"/>
    <w:rsid w:val="00B96A3A"/>
    <w:rsid w:val="00BB52D9"/>
    <w:rsid w:val="00BD1065"/>
    <w:rsid w:val="00BD599B"/>
    <w:rsid w:val="00BD74D4"/>
    <w:rsid w:val="00BF4135"/>
    <w:rsid w:val="00C63331"/>
    <w:rsid w:val="00C644B0"/>
    <w:rsid w:val="00C64AE9"/>
    <w:rsid w:val="00C743F7"/>
    <w:rsid w:val="00C77B3D"/>
    <w:rsid w:val="00C90D4F"/>
    <w:rsid w:val="00C9332C"/>
    <w:rsid w:val="00C97622"/>
    <w:rsid w:val="00CA72D0"/>
    <w:rsid w:val="00CB7A0B"/>
    <w:rsid w:val="00CC2705"/>
    <w:rsid w:val="00CD3360"/>
    <w:rsid w:val="00CE5152"/>
    <w:rsid w:val="00CF588C"/>
    <w:rsid w:val="00D02DE6"/>
    <w:rsid w:val="00D05C8A"/>
    <w:rsid w:val="00D60700"/>
    <w:rsid w:val="00D672DB"/>
    <w:rsid w:val="00D77B74"/>
    <w:rsid w:val="00D840C6"/>
    <w:rsid w:val="00D85D3E"/>
    <w:rsid w:val="00D86C92"/>
    <w:rsid w:val="00D877C2"/>
    <w:rsid w:val="00D927FD"/>
    <w:rsid w:val="00D94A13"/>
    <w:rsid w:val="00DA4DA1"/>
    <w:rsid w:val="00DE6E54"/>
    <w:rsid w:val="00E02C59"/>
    <w:rsid w:val="00E106EA"/>
    <w:rsid w:val="00E14756"/>
    <w:rsid w:val="00E17E65"/>
    <w:rsid w:val="00E267AA"/>
    <w:rsid w:val="00E3552E"/>
    <w:rsid w:val="00E367DE"/>
    <w:rsid w:val="00E644C7"/>
    <w:rsid w:val="00E81938"/>
    <w:rsid w:val="00EB56CB"/>
    <w:rsid w:val="00ED7A04"/>
    <w:rsid w:val="00EE5439"/>
    <w:rsid w:val="00F02C21"/>
    <w:rsid w:val="00F02F8D"/>
    <w:rsid w:val="00F155A7"/>
    <w:rsid w:val="00F2099A"/>
    <w:rsid w:val="00F6014D"/>
    <w:rsid w:val="00F633A8"/>
    <w:rsid w:val="00F8418C"/>
    <w:rsid w:val="00FE48A8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5376"/>
  <w15:docId w15:val="{4C4DA0EE-9A33-4D97-8913-E6E3D020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06409C"/>
    <w:pPr>
      <w:spacing w:after="0" w:line="240" w:lineRule="auto"/>
    </w:pPr>
    <w:rPr>
      <w:rFonts w:eastAsiaTheme="majorEastAsia" w:cstheme="majorBidi"/>
      <w:sz w:val="24"/>
      <w:szCs w:val="20"/>
    </w:rPr>
  </w:style>
  <w:style w:type="paragraph" w:styleId="a3">
    <w:name w:val="envelope address"/>
    <w:basedOn w:val="a"/>
    <w:uiPriority w:val="99"/>
    <w:semiHidden/>
    <w:unhideWhenUsed/>
    <w:rsid w:val="0006409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</w:rPr>
  </w:style>
  <w:style w:type="paragraph" w:styleId="a4">
    <w:name w:val="header"/>
    <w:basedOn w:val="a"/>
    <w:link w:val="a5"/>
    <w:uiPriority w:val="99"/>
    <w:unhideWhenUsed/>
    <w:rsid w:val="004D3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3263"/>
  </w:style>
  <w:style w:type="paragraph" w:styleId="a6">
    <w:name w:val="footer"/>
    <w:basedOn w:val="a"/>
    <w:link w:val="a7"/>
    <w:uiPriority w:val="99"/>
    <w:unhideWhenUsed/>
    <w:rsid w:val="004D3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3263"/>
  </w:style>
  <w:style w:type="paragraph" w:styleId="a8">
    <w:name w:val="List Paragraph"/>
    <w:basedOn w:val="a"/>
    <w:uiPriority w:val="34"/>
    <w:qFormat/>
    <w:rsid w:val="004D326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85D3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5D3E"/>
    <w:rPr>
      <w:rFonts w:ascii="Consolas" w:hAnsi="Consolas"/>
      <w:sz w:val="20"/>
      <w:szCs w:val="20"/>
    </w:rPr>
  </w:style>
  <w:style w:type="paragraph" w:customStyle="1" w:styleId="a9">
    <w:name w:val="Назва документа"/>
    <w:basedOn w:val="a"/>
    <w:next w:val="a"/>
    <w:rsid w:val="0014196B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paragraph" w:styleId="3">
    <w:name w:val="Body Text Indent 3"/>
    <w:basedOn w:val="a"/>
    <w:link w:val="30"/>
    <w:rsid w:val="00B25910"/>
    <w:pPr>
      <w:spacing w:after="120" w:line="240" w:lineRule="auto"/>
      <w:ind w:left="283"/>
    </w:pPr>
    <w:rPr>
      <w:rFonts w:eastAsia="Times New Roman"/>
      <w:sz w:val="16"/>
      <w:szCs w:val="16"/>
      <w:lang w:eastAsia="uk-UA"/>
    </w:rPr>
  </w:style>
  <w:style w:type="character" w:customStyle="1" w:styleId="30">
    <w:name w:val="Основной текст с отступом 3 Знак"/>
    <w:basedOn w:val="a0"/>
    <w:link w:val="3"/>
    <w:rsid w:val="00B25910"/>
    <w:rPr>
      <w:rFonts w:eastAsia="Times New Roman"/>
      <w:sz w:val="16"/>
      <w:szCs w:val="16"/>
      <w:lang w:eastAsia="uk-UA"/>
    </w:rPr>
  </w:style>
  <w:style w:type="paragraph" w:styleId="aa">
    <w:name w:val="Balloon Text"/>
    <w:basedOn w:val="a"/>
    <w:link w:val="ab"/>
    <w:semiHidden/>
    <w:rsid w:val="00BB52D9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BB52D9"/>
    <w:rPr>
      <w:rFonts w:ascii="Segoe UI" w:eastAsia="Times New Roman" w:hAnsi="Segoe UI" w:cs="Segoe UI"/>
      <w:sz w:val="18"/>
      <w:szCs w:val="18"/>
    </w:rPr>
  </w:style>
  <w:style w:type="character" w:styleId="ac">
    <w:name w:val="Strong"/>
    <w:qFormat/>
    <w:rsid w:val="00B239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8808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7548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4749C-89A1-44B1-BF6C-09BC5D604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1071</Words>
  <Characters>6107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Мержиєвський</dc:creator>
  <cp:keywords/>
  <dc:description/>
  <cp:lastModifiedBy>Терлецкая Ирина</cp:lastModifiedBy>
  <cp:revision>4</cp:revision>
  <cp:lastPrinted>2020-10-07T09:08:00Z</cp:lastPrinted>
  <dcterms:created xsi:type="dcterms:W3CDTF">2020-10-20T11:48:00Z</dcterms:created>
  <dcterms:modified xsi:type="dcterms:W3CDTF">2020-10-23T13:03:00Z</dcterms:modified>
</cp:coreProperties>
</file>