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3" w:rsidRPr="002E01D2" w:rsidRDefault="000D78A3" w:rsidP="0026764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0D78A3" w:rsidRPr="002E01D2" w:rsidRDefault="004669DD" w:rsidP="00267649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D3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8A3" w:rsidRPr="002E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 Міністерства інфраструктури України</w:t>
      </w:r>
    </w:p>
    <w:p w:rsidR="00CF39CF" w:rsidRPr="00CF39CF" w:rsidRDefault="00CF39CF" w:rsidP="00CF39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CF">
        <w:rPr>
          <w:rFonts w:ascii="Times New Roman" w:hAnsi="Times New Roman" w:cs="Times New Roman"/>
          <w:b/>
          <w:sz w:val="28"/>
          <w:szCs w:val="28"/>
        </w:rPr>
        <w:t>«Про внесення зміни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послуги, щодо уніфікації тарифної політики на перевезення порожніх вагонів»</w:t>
      </w:r>
    </w:p>
    <w:p w:rsidR="008C0DC5" w:rsidRDefault="008C0DC5" w:rsidP="00CF39CF">
      <w:pPr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457" w:rsidRPr="00CF39CF" w:rsidRDefault="004669DD" w:rsidP="007E3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="00D3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уніфікація</w:t>
      </w:r>
      <w:r w:rsidR="00745BD9" w:rsidRPr="0074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перевезення порожніх вагонів </w:t>
      </w:r>
      <w:r w:rsidR="0074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 від виду перевезення, зменшення збитковості перевезень та </w:t>
      </w:r>
      <w:r w:rsidR="00E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 тарифної політики на залізничному транспорті</w:t>
      </w:r>
      <w:r w:rsidR="000E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457" w:rsidRDefault="000E6457" w:rsidP="007E3235">
      <w:pPr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D78A3" w:rsidRPr="002E01D2" w:rsidRDefault="000D78A3" w:rsidP="007E3235">
      <w:pPr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E01D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1. </w:t>
      </w:r>
      <w:r w:rsidR="00741C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Підстава розроблення проекту </w:t>
      </w:r>
      <w:proofErr w:type="spellStart"/>
      <w:r w:rsidR="00741C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акта</w:t>
      </w:r>
      <w:proofErr w:type="spellEnd"/>
    </w:p>
    <w:p w:rsidR="00741CC4" w:rsidRPr="002558E3" w:rsidRDefault="004669DD" w:rsidP="007E323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1CC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розроблено</w:t>
      </w:r>
      <w:r w:rsidR="0074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D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постанови</w:t>
      </w:r>
      <w:r w:rsid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</w:t>
      </w:r>
      <w:r w:rsidR="00AA5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45BD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4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="00745BD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 w:rsidR="0074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="00745BD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1548 «Про встановлення повноважень органів виконавчої влади та виконавчих органів міських рад щодо регулювання цін (тарифів)»</w:t>
      </w:r>
      <w:r w:rsidR="0074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74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741CC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Кабінету Міністрів України </w:t>
      </w:r>
      <w:r w:rsidR="0052088C" w:rsidRPr="00520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CC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C74E77">
        <w:rPr>
          <w:rFonts w:ascii="Times New Roman" w:eastAsia="Times New Roman" w:hAnsi="Times New Roman" w:cs="Times New Roman"/>
          <w:sz w:val="28"/>
          <w:szCs w:val="28"/>
          <w:lang w:eastAsia="ru-RU"/>
        </w:rPr>
        <w:t>14 лютого 2018 р.</w:t>
      </w:r>
      <w:r w:rsidR="0090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C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87 «Про затвердження консолідованого фінансового плану публічного акціонерного товариства «Українська залізниця» </w:t>
      </w:r>
      <w:r w:rsidR="0052088C" w:rsidRPr="00520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CC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рік»</w:t>
      </w:r>
      <w:r w:rsidR="0025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CC4" w:rsidRDefault="00741CC4" w:rsidP="007E323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CC4" w:rsidRPr="002E01D2" w:rsidRDefault="00741CC4" w:rsidP="007E3235">
      <w:pPr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Pr="002E01D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 Обґрунтування необхідності прийняття </w:t>
      </w:r>
      <w:proofErr w:type="spellStart"/>
      <w:r w:rsidRPr="002E01D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акта</w:t>
      </w:r>
      <w:proofErr w:type="spellEnd"/>
    </w:p>
    <w:p w:rsidR="00EA53A0" w:rsidRDefault="00EA53A0" w:rsidP="007E323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постанови Кабінету Міністрів України від 25</w:t>
      </w:r>
      <w:r w:rsidRPr="003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C7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р.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1548 «Про встановлення повноважень органів виконавчої влади та виконавчих органів міських рад щодо регулювання цін (тарифів)»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інфраструктури України затверджує тарифи на перевезення вантажів залізничним транспортом.</w:t>
      </w:r>
    </w:p>
    <w:p w:rsidR="0089337A" w:rsidRDefault="0089337A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Тарифи на перевезення порожніх вагонів визначаються із використанням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послуги, затверджених наказом Міністерства транспорту та зв’язку України </w:t>
      </w:r>
      <w:r w:rsidR="00B972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7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317, зареєстрованих у Міністерстві юстиції України </w:t>
      </w:r>
      <w:r w:rsidR="00B972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 </w:t>
      </w:r>
      <w:r w:rsidR="00C74E77">
        <w:rPr>
          <w:rFonts w:ascii="Times New Roman" w:eastAsia="Times New Roman" w:hAnsi="Times New Roman" w:cs="Times New Roman"/>
          <w:sz w:val="28"/>
          <w:szCs w:val="28"/>
          <w:lang w:eastAsia="ru-RU"/>
        </w:rPr>
        <w:t>2009 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</w:t>
      </w:r>
      <w:r w:rsidRPr="00B65E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341/16357 (у редакції наказу Міністерства інфраструктури України </w:t>
      </w:r>
      <w:r w:rsidRPr="002A14B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="00C74E77">
        <w:rPr>
          <w:rFonts w:ascii="Times New Roman" w:hAnsi="Times New Roman" w:cs="Times New Roman"/>
          <w:sz w:val="28"/>
          <w:szCs w:val="28"/>
        </w:rPr>
        <w:t xml:space="preserve"> 2017 р.</w:t>
      </w:r>
      <w:r w:rsidRPr="002A14B3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357</w:t>
      </w:r>
      <w:r w:rsidR="00B972F7">
        <w:rPr>
          <w:rFonts w:ascii="Times New Roman" w:hAnsi="Times New Roman" w:cs="Times New Roman"/>
          <w:sz w:val="28"/>
          <w:szCs w:val="28"/>
        </w:rPr>
        <w:t>)</w:t>
      </w:r>
      <w:r w:rsidR="00152949">
        <w:rPr>
          <w:rFonts w:ascii="Times New Roman" w:hAnsi="Times New Roman" w:cs="Times New Roman"/>
          <w:sz w:val="28"/>
          <w:szCs w:val="28"/>
        </w:rPr>
        <w:t xml:space="preserve"> (із</w:t>
      </w:r>
      <w:r w:rsidR="00CA5AB6">
        <w:rPr>
          <w:rFonts w:ascii="Times New Roman" w:hAnsi="Times New Roman" w:cs="Times New Roman"/>
          <w:sz w:val="28"/>
          <w:szCs w:val="28"/>
        </w:rPr>
        <w:t xml:space="preserve"> змінами)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37A" w:rsidRDefault="0089337A" w:rsidP="007E323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перевезення порожніх вагонів встановлено розподіл тарифів </w:t>
      </w:r>
      <w:r w:rsid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три класи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з-під вивантаження якого вантажу порожній вагон слідує під завантаження, в ремонт, </w:t>
      </w:r>
      <w:r w:rsidR="00764A72"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промивання, пропарку, дезінсекцію та дезінфекцію </w:t>
      </w:r>
      <w:r w:rsid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тощо. При цьому виконання цих перевезень залізничним транспортом не має технічних або</w:t>
      </w:r>
      <w:r w:rsidR="003D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технологічних відмінностей, здійснюється за однаковими витратами і вимагає застосування єдиного тарифу.</w:t>
      </w:r>
    </w:p>
    <w:p w:rsidR="003D72AF" w:rsidRDefault="003D72AF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 всі п</w:t>
      </w:r>
      <w:r w:rsidRPr="00006F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еревезення порожніх вагонів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(крім перевезень </w:t>
      </w:r>
      <w:r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з-під вивантаження вантажів 3-го тарифного класу під наступне навантаження або під накопичення вагонів для наступного навантаження та з накопичення вагонів з-під вивантаження цих вантажів під наступне навантаження; з провідниками; в (із) ремонт(у); пересилка після вивантаження на промивання, пропарку, </w:t>
      </w:r>
      <w:r w:rsidRPr="00764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дезінсекцію та дезінфекцію; в інших випадках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займають лише 10,7%)</w:t>
      </w:r>
      <w:r w:rsidRPr="000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збитковими і здійснюються </w:t>
      </w:r>
      <w:r w:rsidRPr="000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від’ємною рентабельністю (-38% у середньому).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273"/>
        <w:gridCol w:w="1048"/>
        <w:gridCol w:w="1206"/>
        <w:gridCol w:w="1215"/>
        <w:gridCol w:w="1094"/>
        <w:gridCol w:w="1162"/>
        <w:gridCol w:w="1128"/>
      </w:tblGrid>
      <w:tr w:rsidR="00CA5AB6" w:rsidRPr="0039422E" w:rsidTr="007E3235">
        <w:trPr>
          <w:trHeight w:val="722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CA5AB6" w:rsidRPr="0039422E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Переве</w:t>
            </w:r>
            <w:r w:rsidRPr="00CA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зення</w:t>
            </w:r>
            <w:proofErr w:type="spellEnd"/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CA5AB6" w:rsidRPr="0039422E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відстань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переве</w:t>
            </w:r>
            <w:r w:rsidR="007A1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зення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 xml:space="preserve"> км</w:t>
            </w:r>
          </w:p>
        </w:tc>
        <w:tc>
          <w:tcPr>
            <w:tcW w:w="2254" w:type="dxa"/>
            <w:gridSpan w:val="2"/>
            <w:shd w:val="clear" w:color="000000" w:fill="FFFFFF"/>
            <w:vAlign w:val="center"/>
            <w:hideMark/>
          </w:tcPr>
          <w:p w:rsidR="00CA5AB6" w:rsidRPr="0039422E" w:rsidRDefault="00CA5AB6" w:rsidP="00A54A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Тариф, 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>грн</w:t>
            </w:r>
            <w:r w:rsidR="00A54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/вагон</w:t>
            </w:r>
          </w:p>
        </w:tc>
        <w:tc>
          <w:tcPr>
            <w:tcW w:w="1215" w:type="dxa"/>
            <w:vMerge w:val="restart"/>
            <w:shd w:val="clear" w:color="000000" w:fill="FFFFFF"/>
            <w:vAlign w:val="center"/>
            <w:hideMark/>
          </w:tcPr>
          <w:p w:rsidR="00CA5AB6" w:rsidRPr="00CA5AB6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Відхи</w:t>
            </w:r>
            <w:r w:rsidR="007A1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лення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 xml:space="preserve">(+/-) </w:t>
            </w:r>
          </w:p>
          <w:p w:rsidR="00CA5AB6" w:rsidRPr="0039422E" w:rsidRDefault="00CA5AB6" w:rsidP="00CA5A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94" w:type="dxa"/>
            <w:vMerge w:val="restart"/>
            <w:shd w:val="clear" w:color="000000" w:fill="FFFFFF"/>
            <w:vAlign w:val="center"/>
            <w:hideMark/>
          </w:tcPr>
          <w:p w:rsidR="00CA5AB6" w:rsidRPr="0039422E" w:rsidRDefault="00CA5AB6" w:rsidP="00A54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Собівар</w:t>
            </w:r>
            <w:r w:rsidR="00A54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тість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br/>
              <w:t>грн</w:t>
            </w:r>
            <w:r w:rsidR="00A54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ва</w:t>
            </w:r>
            <w:proofErr w:type="spellEnd"/>
            <w:r w:rsidRPr="00CA5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гон</w:t>
            </w:r>
            <w:proofErr w:type="gramEnd"/>
          </w:p>
        </w:tc>
        <w:tc>
          <w:tcPr>
            <w:tcW w:w="2290" w:type="dxa"/>
            <w:gridSpan w:val="2"/>
            <w:vMerge w:val="restart"/>
            <w:shd w:val="clear" w:color="000000" w:fill="FFFFFF"/>
            <w:vAlign w:val="center"/>
            <w:hideMark/>
          </w:tcPr>
          <w:p w:rsidR="00CA5AB6" w:rsidRPr="0039422E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Рентабельність</w:t>
            </w:r>
            <w:proofErr w:type="spellEnd"/>
          </w:p>
        </w:tc>
      </w:tr>
      <w:tr w:rsidR="00CA5AB6" w:rsidRPr="0039422E" w:rsidTr="007E3235">
        <w:trPr>
          <w:trHeight w:val="340"/>
        </w:trPr>
        <w:tc>
          <w:tcPr>
            <w:tcW w:w="1502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vMerge w:val="restart"/>
            <w:shd w:val="clear" w:color="000000" w:fill="FFFFFF"/>
            <w:vAlign w:val="center"/>
            <w:hideMark/>
          </w:tcPr>
          <w:p w:rsidR="00CA5AB6" w:rsidRPr="0039422E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діючий</w:t>
            </w:r>
            <w:proofErr w:type="spellEnd"/>
          </w:p>
        </w:tc>
        <w:tc>
          <w:tcPr>
            <w:tcW w:w="1206" w:type="dxa"/>
            <w:vMerge w:val="restart"/>
            <w:shd w:val="clear" w:color="000000" w:fill="FFFFFF"/>
            <w:vAlign w:val="center"/>
            <w:hideMark/>
          </w:tcPr>
          <w:p w:rsidR="00CA5AB6" w:rsidRPr="0039422E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 дня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офіцій</w:t>
            </w:r>
            <w:r w:rsidRPr="00CA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ного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опублікування</w:t>
            </w:r>
            <w:proofErr w:type="spellEnd"/>
          </w:p>
        </w:tc>
        <w:tc>
          <w:tcPr>
            <w:tcW w:w="1215" w:type="dxa"/>
            <w:vMerge/>
            <w:vAlign w:val="center"/>
            <w:hideMark/>
          </w:tcPr>
          <w:p w:rsidR="00CA5AB6" w:rsidRPr="0039422E" w:rsidRDefault="00CA5AB6" w:rsidP="00CA5A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90" w:type="dxa"/>
            <w:gridSpan w:val="2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A5AB6" w:rsidRPr="0039422E" w:rsidTr="007E3235">
        <w:trPr>
          <w:trHeight w:val="1117"/>
        </w:trPr>
        <w:tc>
          <w:tcPr>
            <w:tcW w:w="1502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shd w:val="clear" w:color="000000" w:fill="FFFFFF"/>
            <w:vAlign w:val="center"/>
            <w:hideMark/>
          </w:tcPr>
          <w:p w:rsidR="00CA5AB6" w:rsidRPr="0039422E" w:rsidRDefault="00CA5AB6" w:rsidP="00CA5A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A5AB6" w:rsidRPr="0039422E" w:rsidRDefault="00CA5AB6" w:rsidP="00394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A5AB6" w:rsidRPr="0039422E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діючому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тарифі</w:t>
            </w:r>
            <w:proofErr w:type="spellEnd"/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CA5AB6" w:rsidRPr="0039422E" w:rsidRDefault="00CA5AB6" w:rsidP="003942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єдиному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коефі</w:t>
            </w:r>
            <w:r w:rsidR="00A54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цієнті</w:t>
            </w:r>
            <w:proofErr w:type="spellEnd"/>
          </w:p>
        </w:tc>
      </w:tr>
      <w:tr w:rsidR="0039422E" w:rsidRPr="0039422E" w:rsidTr="007E3235">
        <w:trPr>
          <w:trHeight w:val="913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низьковар</w:t>
            </w:r>
            <w:r w:rsidR="00A54A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тісних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вантажів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1-го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408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1189,4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2315,4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1126</w:t>
            </w:r>
          </w:p>
        </w:tc>
        <w:tc>
          <w:tcPr>
            <w:tcW w:w="1094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-56,9%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-16,2%</w:t>
            </w:r>
          </w:p>
        </w:tc>
      </w:tr>
      <w:tr w:rsidR="0039422E" w:rsidRPr="0039422E" w:rsidTr="007E3235">
        <w:trPr>
          <w:trHeight w:val="681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вантажів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2-го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273" w:type="dxa"/>
            <w:vMerge/>
            <w:vAlign w:val="center"/>
            <w:hideMark/>
          </w:tcPr>
          <w:p w:rsidR="0039422E" w:rsidRPr="0039422E" w:rsidRDefault="0039422E" w:rsidP="003942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1804,9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2315,4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510,5</w:t>
            </w:r>
          </w:p>
        </w:tc>
        <w:tc>
          <w:tcPr>
            <w:tcW w:w="1094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-34,7%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-16,2%</w:t>
            </w:r>
          </w:p>
        </w:tc>
      </w:tr>
      <w:tr w:rsidR="0039422E" w:rsidRPr="0039422E" w:rsidTr="007E3235">
        <w:trPr>
          <w:trHeight w:val="681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вантажів</w:t>
            </w:r>
            <w:proofErr w:type="spellEnd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3-го </w:t>
            </w:r>
            <w:proofErr w:type="spellStart"/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273" w:type="dxa"/>
            <w:vMerge/>
            <w:vAlign w:val="center"/>
            <w:hideMark/>
          </w:tcPr>
          <w:p w:rsidR="0039422E" w:rsidRPr="0039422E" w:rsidRDefault="0039422E" w:rsidP="003942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2893,7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2315,4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-578,3</w:t>
            </w:r>
          </w:p>
        </w:tc>
        <w:tc>
          <w:tcPr>
            <w:tcW w:w="1094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2762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4,8%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:rsidR="0039422E" w:rsidRPr="0039422E" w:rsidRDefault="0039422E" w:rsidP="0039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-16,2%</w:t>
            </w:r>
          </w:p>
        </w:tc>
      </w:tr>
    </w:tbl>
    <w:p w:rsidR="002967F3" w:rsidRDefault="002967F3" w:rsidP="003942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AF" w:rsidRDefault="003D72AF" w:rsidP="003D7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AF" w:rsidRDefault="003D72AF" w:rsidP="003D72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7DFEE0DF" wp14:editId="2B2264B6">
            <wp:extent cx="6120130" cy="3821502"/>
            <wp:effectExtent l="0" t="0" r="139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2AF" w:rsidRDefault="003D72AF" w:rsidP="003D7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AF" w:rsidRDefault="002967F3" w:rsidP="007E3235">
      <w:pPr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перевезення порожніх вагонів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пропонується здійснити шляхом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єдиного коефіцієнт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A5AB6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тарифів Збірника тарифів на перевезення вантажів залізничним транспортом у межах України та пов’язані з ними послуги 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тариф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Збірник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тарифів)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рівні,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встановленому для вантажів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2-го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тарифного класу.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72AF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авіть після уніфікації тарифів на перевезення порожніх вагонів тарифи залишатимуться збитковими.</w:t>
      </w:r>
    </w:p>
    <w:p w:rsidR="00EA53A0" w:rsidRDefault="00EE7604" w:rsidP="007E3235">
      <w:pPr>
        <w:widowControl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к</w:t>
      </w:r>
      <w:r w:rsidR="00EA53A0" w:rsidRPr="00717791">
        <w:rPr>
          <w:rFonts w:ascii="Times New Roman" w:hAnsi="Times New Roman" w:cs="Times New Roman"/>
          <w:sz w:val="28"/>
          <w:szCs w:val="28"/>
        </w:rPr>
        <w:t>ошт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EA53A0" w:rsidRPr="00717791">
        <w:rPr>
          <w:rFonts w:ascii="Times New Roman" w:hAnsi="Times New Roman" w:cs="Times New Roman"/>
          <w:sz w:val="28"/>
          <w:szCs w:val="28"/>
        </w:rPr>
        <w:t>, отриман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A53A0" w:rsidRPr="00717791">
        <w:rPr>
          <w:rFonts w:ascii="Times New Roman" w:hAnsi="Times New Roman" w:cs="Times New Roman"/>
          <w:sz w:val="28"/>
          <w:szCs w:val="28"/>
        </w:rPr>
        <w:t xml:space="preserve"> </w:t>
      </w:r>
      <w:r w:rsidR="00EA53A0">
        <w:rPr>
          <w:rFonts w:ascii="Times New Roman" w:hAnsi="Times New Roman" w:cs="Times New Roman"/>
          <w:sz w:val="28"/>
          <w:szCs w:val="28"/>
        </w:rPr>
        <w:t xml:space="preserve">від </w:t>
      </w:r>
      <w:r w:rsidR="00874583">
        <w:rPr>
          <w:rFonts w:ascii="Times New Roman" w:hAnsi="Times New Roman" w:cs="Times New Roman"/>
          <w:sz w:val="28"/>
          <w:szCs w:val="28"/>
        </w:rPr>
        <w:t>уніфікації тарифів</w:t>
      </w:r>
      <w:r w:rsidR="00A54A4E">
        <w:rPr>
          <w:rFonts w:ascii="Times New Roman" w:hAnsi="Times New Roman" w:cs="Times New Roman"/>
          <w:sz w:val="28"/>
          <w:szCs w:val="28"/>
        </w:rPr>
        <w:t>,</w:t>
      </w:r>
      <w:r w:rsidR="00874583">
        <w:rPr>
          <w:rFonts w:ascii="Times New Roman" w:hAnsi="Times New Roman" w:cs="Times New Roman"/>
          <w:sz w:val="28"/>
          <w:szCs w:val="28"/>
        </w:rPr>
        <w:t xml:space="preserve"> </w:t>
      </w:r>
      <w:r w:rsidR="00EA53A0">
        <w:rPr>
          <w:rFonts w:ascii="Times New Roman" w:hAnsi="Times New Roman" w:cs="Times New Roman"/>
          <w:sz w:val="28"/>
          <w:szCs w:val="28"/>
        </w:rPr>
        <w:t xml:space="preserve">зближення </w:t>
      </w:r>
      <w:r w:rsidR="00EA53A0" w:rsidRPr="00717791">
        <w:rPr>
          <w:rFonts w:ascii="Times New Roman" w:hAnsi="Times New Roman" w:cs="Times New Roman"/>
          <w:sz w:val="28"/>
          <w:szCs w:val="28"/>
        </w:rPr>
        <w:t>клас</w:t>
      </w:r>
      <w:r w:rsidR="00EA53A0">
        <w:rPr>
          <w:rFonts w:ascii="Times New Roman" w:hAnsi="Times New Roman" w:cs="Times New Roman"/>
          <w:sz w:val="28"/>
          <w:szCs w:val="28"/>
        </w:rPr>
        <w:t>ів</w:t>
      </w:r>
      <w:r w:rsidR="00EA53A0" w:rsidRPr="00717791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EA53A0">
        <w:rPr>
          <w:rFonts w:ascii="Times New Roman" w:hAnsi="Times New Roman" w:cs="Times New Roman"/>
          <w:sz w:val="28"/>
          <w:szCs w:val="28"/>
        </w:rPr>
        <w:t>ів</w:t>
      </w:r>
    </w:p>
    <w:p w:rsidR="00EE7604" w:rsidRDefault="00EE7604" w:rsidP="00EE7604">
      <w:pPr>
        <w:widowControl w:val="0"/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127"/>
        <w:gridCol w:w="2721"/>
      </w:tblGrid>
      <w:tr w:rsidR="00745BD9" w:rsidRPr="00745BD9" w:rsidTr="00745BD9">
        <w:tc>
          <w:tcPr>
            <w:tcW w:w="4752" w:type="dxa"/>
            <w:shd w:val="clear" w:color="auto" w:fill="auto"/>
          </w:tcPr>
          <w:p w:rsidR="00745BD9" w:rsidRPr="00745BD9" w:rsidRDefault="00A54A4E" w:rsidP="00A54A4E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45BD9"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апрям</w:t>
            </w:r>
          </w:p>
        </w:tc>
        <w:tc>
          <w:tcPr>
            <w:tcW w:w="2127" w:type="dxa"/>
            <w:shd w:val="clear" w:color="auto" w:fill="auto"/>
          </w:tcPr>
          <w:p w:rsidR="00745BD9" w:rsidRPr="00745BD9" w:rsidRDefault="00A54A4E" w:rsidP="00A54A4E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45BD9"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ількість</w:t>
            </w:r>
          </w:p>
        </w:tc>
        <w:tc>
          <w:tcPr>
            <w:tcW w:w="2721" w:type="dxa"/>
            <w:shd w:val="clear" w:color="auto" w:fill="auto"/>
          </w:tcPr>
          <w:p w:rsidR="00A54A4E" w:rsidRDefault="00A54A4E" w:rsidP="00A54A4E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45BD9"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45BD9" w:rsidRPr="00A54A4E" w:rsidRDefault="00A54A4E" w:rsidP="00A54A4E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4E">
              <w:rPr>
                <w:rFonts w:ascii="Times New Roman" w:hAnsi="Times New Roman" w:cs="Times New Roman"/>
                <w:sz w:val="28"/>
                <w:szCs w:val="28"/>
              </w:rPr>
              <w:t>млн. грн.</w:t>
            </w:r>
          </w:p>
        </w:tc>
      </w:tr>
      <w:tr w:rsidR="00745BD9" w:rsidRPr="00745BD9" w:rsidTr="00745BD9">
        <w:tc>
          <w:tcPr>
            <w:tcW w:w="4752" w:type="dxa"/>
            <w:shd w:val="clear" w:color="auto" w:fill="auto"/>
          </w:tcPr>
          <w:p w:rsidR="00745BD9" w:rsidRPr="00745BD9" w:rsidRDefault="00745BD9" w:rsidP="00D50BAC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Виготовлення вантажних вагонів, од</w:t>
            </w:r>
          </w:p>
        </w:tc>
        <w:tc>
          <w:tcPr>
            <w:tcW w:w="2127" w:type="dxa"/>
            <w:shd w:val="clear" w:color="auto" w:fill="auto"/>
          </w:tcPr>
          <w:p w:rsidR="00745BD9" w:rsidRPr="00745BD9" w:rsidRDefault="00745BD9" w:rsidP="00D50BAC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721" w:type="dxa"/>
            <w:shd w:val="clear" w:color="auto" w:fill="auto"/>
          </w:tcPr>
          <w:p w:rsidR="00745BD9" w:rsidRPr="00A54A4E" w:rsidRDefault="00745BD9" w:rsidP="00D50BAC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A5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446</w:t>
            </w:r>
          </w:p>
        </w:tc>
      </w:tr>
      <w:tr w:rsidR="00745BD9" w:rsidRPr="00745BD9" w:rsidTr="00745BD9">
        <w:tc>
          <w:tcPr>
            <w:tcW w:w="4752" w:type="dxa"/>
            <w:shd w:val="clear" w:color="auto" w:fill="auto"/>
          </w:tcPr>
          <w:p w:rsidR="00745BD9" w:rsidRPr="00745BD9" w:rsidRDefault="00745BD9" w:rsidP="00A54A4E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>Модернізаці</w:t>
            </w:r>
            <w:r w:rsidR="00A54A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5BD9">
              <w:rPr>
                <w:rFonts w:ascii="Times New Roman" w:hAnsi="Times New Roman" w:cs="Times New Roman"/>
                <w:sz w:val="28"/>
                <w:szCs w:val="28"/>
              </w:rPr>
              <w:t xml:space="preserve"> вантажних вагонів, од.</w:t>
            </w:r>
          </w:p>
        </w:tc>
        <w:tc>
          <w:tcPr>
            <w:tcW w:w="2127" w:type="dxa"/>
            <w:shd w:val="clear" w:color="auto" w:fill="auto"/>
          </w:tcPr>
          <w:p w:rsidR="00745BD9" w:rsidRPr="00A54A4E" w:rsidRDefault="00745BD9" w:rsidP="00D50BAC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2707</w:t>
            </w:r>
          </w:p>
        </w:tc>
        <w:tc>
          <w:tcPr>
            <w:tcW w:w="2721" w:type="dxa"/>
            <w:shd w:val="clear" w:color="auto" w:fill="auto"/>
          </w:tcPr>
          <w:p w:rsidR="00745BD9" w:rsidRPr="00A54A4E" w:rsidRDefault="00745BD9" w:rsidP="00D50BAC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371 290</w:t>
            </w:r>
          </w:p>
        </w:tc>
      </w:tr>
      <w:tr w:rsidR="00745BD9" w:rsidRPr="00745BD9" w:rsidTr="00745BD9">
        <w:tc>
          <w:tcPr>
            <w:tcW w:w="4752" w:type="dxa"/>
            <w:shd w:val="clear" w:color="auto" w:fill="auto"/>
          </w:tcPr>
          <w:p w:rsidR="00745BD9" w:rsidRPr="00745BD9" w:rsidRDefault="00745BD9" w:rsidP="00D50BAC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D9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127" w:type="dxa"/>
            <w:shd w:val="clear" w:color="auto" w:fill="auto"/>
          </w:tcPr>
          <w:p w:rsidR="00745BD9" w:rsidRPr="00745BD9" w:rsidRDefault="00745BD9" w:rsidP="00D50BA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745BD9" w:rsidRPr="00A54A4E" w:rsidRDefault="00745BD9" w:rsidP="00D50BA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4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971 736</w:t>
            </w:r>
          </w:p>
        </w:tc>
      </w:tr>
    </w:tbl>
    <w:p w:rsidR="00745BD9" w:rsidRDefault="00745BD9" w:rsidP="00EE7604">
      <w:pPr>
        <w:widowControl w:val="0"/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BD9" w:rsidRPr="00BA2AC7" w:rsidRDefault="00745BD9" w:rsidP="007E323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Оновлення і модернізація рухомого складу </w:t>
      </w:r>
      <w:r w:rsidR="0039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покращуватиме якість послуг з 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 продук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 українських виробників, що сприятиме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енню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обсяг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продажів і надходжень у національній валюті на внутрішньому ринку, так і валютн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надходжен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A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рахунок експорту.</w:t>
      </w:r>
    </w:p>
    <w:p w:rsidR="00EA53A0" w:rsidRDefault="0089337A" w:rsidP="007E3235">
      <w:pPr>
        <w:tabs>
          <w:tab w:val="left" w:pos="-3686"/>
        </w:tabs>
        <w:ind w:right="4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єдиного коефіцієнта до 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тарифів Збірника тарифів </w:t>
      </w:r>
      <w:r w:rsidR="00EA53A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 вирішити тільки шляхом прийняття відповідного наказу Мінінфраструктури. </w:t>
      </w:r>
      <w:r w:rsidR="00EA53A0" w:rsidRPr="002E01D2">
        <w:rPr>
          <w:rFonts w:ascii="Times New Roman" w:hAnsi="Times New Roman" w:cs="Times New Roman"/>
          <w:iCs/>
          <w:sz w:val="28"/>
          <w:szCs w:val="28"/>
        </w:rPr>
        <w:t xml:space="preserve">Прийняття цього </w:t>
      </w:r>
      <w:r w:rsidR="00EA53A0">
        <w:rPr>
          <w:rFonts w:ascii="Times New Roman" w:hAnsi="Times New Roman" w:cs="Times New Roman"/>
          <w:iCs/>
          <w:sz w:val="28"/>
          <w:szCs w:val="28"/>
        </w:rPr>
        <w:t>наказу</w:t>
      </w:r>
      <w:r w:rsidR="00EA53A0" w:rsidRPr="002E01D2">
        <w:rPr>
          <w:rFonts w:ascii="Times New Roman" w:hAnsi="Times New Roman" w:cs="Times New Roman"/>
          <w:iCs/>
          <w:sz w:val="28"/>
          <w:szCs w:val="28"/>
        </w:rPr>
        <w:t xml:space="preserve"> дозволить</w:t>
      </w:r>
      <w:r w:rsidR="00EA53A0">
        <w:rPr>
          <w:rFonts w:ascii="Times New Roman" w:hAnsi="Times New Roman" w:cs="Times New Roman"/>
          <w:iCs/>
          <w:sz w:val="28"/>
          <w:szCs w:val="28"/>
        </w:rPr>
        <w:t>:</w:t>
      </w:r>
    </w:p>
    <w:p w:rsidR="00EA53A0" w:rsidRDefault="00EA53A0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 зменшити збитковість перевезень порожніх вагонів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скоротити перехресне субсидування між вантажами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DC5" w:rsidRDefault="00EA53A0" w:rsidP="007E323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66">
        <w:rPr>
          <w:rFonts w:ascii="Times New Roman" w:eastAsia="Calibri" w:hAnsi="Times New Roman" w:cs="Times New Roman"/>
          <w:sz w:val="28"/>
          <w:szCs w:val="28"/>
        </w:rPr>
        <w:t>уніфікувати тарифи для порожнього пробігу вагонів;</w:t>
      </w:r>
    </w:p>
    <w:p w:rsidR="00EA53A0" w:rsidRDefault="00EA53A0" w:rsidP="007E323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C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сумі </w:t>
      </w:r>
      <w:r w:rsidR="009A6B4E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Pr="001E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9DD" w:rsidRDefault="00EA53A0" w:rsidP="007E323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модернізацію 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2707 од. вантажних вагонів та 557 од. </w:t>
      </w:r>
      <w:r w:rsidR="004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виготовити;</w:t>
      </w:r>
    </w:p>
    <w:p w:rsidR="00EA53A0" w:rsidRPr="004F1037" w:rsidRDefault="004669DD" w:rsidP="00AD04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одержати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 ПАТ «Укрзалізниця» від перевезень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кінця поточного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розмірі 0,972</w:t>
      </w:r>
      <w:r w:rsidRPr="00B65E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складає майже 3% доходних надходжень від пере</w:t>
      </w:r>
      <w:r w:rsidR="004F1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везень вантажів у межах України.</w:t>
      </w:r>
    </w:p>
    <w:p w:rsidR="00EA53A0" w:rsidRPr="00B57EAE" w:rsidRDefault="00EA53A0" w:rsidP="007E3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5E66">
        <w:rPr>
          <w:rFonts w:ascii="Times New Roman" w:hAnsi="Times New Roman" w:cs="Times New Roman"/>
          <w:sz w:val="28"/>
          <w:szCs w:val="28"/>
        </w:rPr>
        <w:t xml:space="preserve"> поточному році змінилися умови, що не залежать від господарської діяльності, </w:t>
      </w:r>
      <w:r w:rsidRPr="00B57EAE">
        <w:rPr>
          <w:rFonts w:ascii="Times New Roman" w:hAnsi="Times New Roman" w:cs="Times New Roman"/>
          <w:sz w:val="28"/>
          <w:szCs w:val="28"/>
        </w:rPr>
        <w:t>зокрема:</w:t>
      </w:r>
    </w:p>
    <w:p w:rsidR="00EA53A0" w:rsidRPr="00B57EAE" w:rsidRDefault="00EA53A0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7E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8 Закону України «Про Державний бюджет України на 2018 рік» </w:t>
      </w:r>
      <w:r w:rsidR="008C0DC5" w:rsidRPr="00B57EAE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Pr="00B57E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мінімальної заробітної плати на 2018 рік у сумі 3723 грн., що на 16,3% перевищує рівень 2017 року (3 200 грн.);</w:t>
      </w:r>
    </w:p>
    <w:p w:rsidR="00EA53A0" w:rsidRPr="00B57EAE" w:rsidRDefault="00EA53A0" w:rsidP="007E3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AE">
        <w:rPr>
          <w:rFonts w:ascii="Times New Roman" w:hAnsi="Times New Roman" w:cs="Times New Roman"/>
          <w:sz w:val="28"/>
          <w:szCs w:val="28"/>
        </w:rPr>
        <w:t xml:space="preserve">зростання цін – прогнозний (за 1-м сценарієм)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індекс цін виробників промислової продукції (далі – ІЦВ)</w:t>
      </w:r>
      <w:r w:rsidRPr="00B57EAE">
        <w:rPr>
          <w:rFonts w:ascii="Times New Roman" w:hAnsi="Times New Roman" w:cs="Times New Roman"/>
          <w:sz w:val="28"/>
          <w:szCs w:val="28"/>
        </w:rPr>
        <w:t xml:space="preserve"> – 110,3%; </w:t>
      </w:r>
    </w:p>
    <w:p w:rsidR="00EA53A0" w:rsidRPr="00B57EAE" w:rsidRDefault="00EA53A0" w:rsidP="007E3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AE">
        <w:rPr>
          <w:rFonts w:ascii="Times New Roman" w:hAnsi="Times New Roman" w:cs="Times New Roman"/>
          <w:sz w:val="28"/>
          <w:szCs w:val="28"/>
        </w:rPr>
        <w:t>збільшення цін на</w:t>
      </w:r>
      <w:r w:rsidR="00A54A4E">
        <w:rPr>
          <w:rFonts w:ascii="Times New Roman" w:hAnsi="Times New Roman" w:cs="Times New Roman"/>
          <w:sz w:val="28"/>
          <w:szCs w:val="28"/>
        </w:rPr>
        <w:t>:</w:t>
      </w:r>
      <w:r w:rsidRPr="00B57EAE">
        <w:rPr>
          <w:rFonts w:ascii="Times New Roman" w:hAnsi="Times New Roman" w:cs="Times New Roman"/>
          <w:sz w:val="28"/>
          <w:szCs w:val="28"/>
        </w:rPr>
        <w:t xml:space="preserve"> дизельне паливо – на 10,3% та на електроенергію – на 9,3%;</w:t>
      </w:r>
    </w:p>
    <w:p w:rsidR="007E3235" w:rsidRPr="003C51F7" w:rsidRDefault="00EA53A0" w:rsidP="003C5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AE">
        <w:rPr>
          <w:rFonts w:ascii="Times New Roman" w:hAnsi="Times New Roman" w:cs="Times New Roman"/>
          <w:sz w:val="28"/>
          <w:szCs w:val="28"/>
        </w:rPr>
        <w:t>збільшення на 10,2% прогнозного курсу гривні до долара</w:t>
      </w:r>
      <w:r w:rsidRPr="00B57EA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57EAE">
        <w:rPr>
          <w:rFonts w:ascii="Times New Roman" w:hAnsi="Times New Roman" w:cs="Times New Roman"/>
          <w:sz w:val="28"/>
          <w:szCs w:val="28"/>
        </w:rPr>
        <w:t>США в 2018 році до середньорічного курсу за 2017 рік.</w:t>
      </w:r>
    </w:p>
    <w:p w:rsidR="00D307DC" w:rsidRDefault="00C81499" w:rsidP="00C81499">
      <w:pPr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30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D78A3" w:rsidRPr="002E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D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</w:t>
      </w:r>
      <w:r w:rsidR="00D307DC" w:rsidRPr="00D30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307DC" w:rsidRPr="00D30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D307DC" w:rsidRPr="00D30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09CB" w:rsidRDefault="00D307DC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положеннями наказу </w:t>
      </w:r>
      <w:r w:rsidR="0039781A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 тарифної політики, уніфікація тарифів на перевезення порожніх вагонів та встановлення єдиного коефіцієнт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тарифів Збірника тарифів, </w:t>
      </w:r>
      <w:r w:rsidR="00CA0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A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</w:t>
      </w:r>
      <w:r w:rsidR="00CA09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EA53A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тільки шляхом </w:t>
      </w:r>
      <w:r w:rsidR="00843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в</w:t>
      </w:r>
      <w:r w:rsidR="00CA09CB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</w:t>
      </w:r>
      <w:r w:rsidR="0084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змін </w:t>
      </w:r>
      <w:r w:rsidR="00CA09CB" w:rsidRPr="00FA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Коефіцієнтів, що застосовуються до тарифів </w:t>
      </w:r>
      <w:r w:rsidR="00CA09CB" w:rsidRPr="00FA5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Збірника тарифів на перевезення вантажів залізничним транспортом у межах України та пов’язані з ними послуги</w:t>
      </w:r>
      <w:r w:rsidR="00CA0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A0" w:rsidRDefault="00EA53A0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2E01D2" w:rsidRDefault="00D307DC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D78A3" w:rsidRPr="002E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Правові аспекти</w:t>
      </w:r>
    </w:p>
    <w:p w:rsidR="000D78A3" w:rsidRPr="002E01D2" w:rsidRDefault="000D78A3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 тарифів на вантажні залізничні перевезення в межах України та пов’язані з ними послуги здійснюється на підставі:</w:t>
      </w:r>
    </w:p>
    <w:p w:rsidR="000D78A3" w:rsidRPr="002E01D2" w:rsidRDefault="000D78A3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ціни і ціноутворення»;</w:t>
      </w:r>
    </w:p>
    <w:p w:rsidR="000D78A3" w:rsidRPr="002E01D2" w:rsidRDefault="000D78A3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природні монополії»;</w:t>
      </w:r>
    </w:p>
    <w:p w:rsidR="00E57F36" w:rsidRDefault="000D78A3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</w:t>
      </w:r>
      <w:r w:rsidR="00480200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Мініс</w:t>
      </w:r>
      <w:r w:rsidR="00744650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трів України від 25 грудня</w:t>
      </w:r>
      <w:r w:rsidR="00480200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480200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1548 «Про встановлення повноважень органів виконавчої влади та виконавчих органів міських рад </w:t>
      </w:r>
      <w:r w:rsidR="007A2CC1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регулювання цін (тарифів)»</w:t>
      </w:r>
      <w:r w:rsidR="00E57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8A3" w:rsidRPr="002E01D2" w:rsidRDefault="00E57F36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Кабінету Міністрів України від 14</w:t>
      </w:r>
      <w:r w:rsidR="00F86F66" w:rsidRPr="00F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лютого </w:t>
      </w:r>
      <w:r w:rsidRPr="00E57F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E5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7F36">
        <w:rPr>
          <w:rFonts w:ascii="Times New Roman" w:eastAsia="Times New Roman" w:hAnsi="Times New Roman" w:cs="Times New Roman"/>
          <w:sz w:val="28"/>
          <w:szCs w:val="28"/>
          <w:lang w:eastAsia="ru-RU"/>
        </w:rPr>
        <w:t>87 «Про затвердження консолідованого фінансового плану публічного акціонерного товариства «Українська залізниця» на 2018 рік».</w:t>
      </w:r>
    </w:p>
    <w:p w:rsidR="007A2CC1" w:rsidRPr="002E01D2" w:rsidRDefault="007A2CC1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A3" w:rsidRPr="002E01D2" w:rsidRDefault="00D307DC" w:rsidP="007E32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78A3" w:rsidRPr="002E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Фінансово-економічне обґрунтування </w:t>
      </w:r>
    </w:p>
    <w:p w:rsidR="00370CB4" w:rsidRDefault="00E762EF" w:rsidP="007E323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D2">
        <w:rPr>
          <w:rFonts w:ascii="Times New Roman" w:hAnsi="Times New Roman" w:cs="Times New Roman"/>
          <w:iCs/>
          <w:sz w:val="28"/>
          <w:szCs w:val="28"/>
        </w:rPr>
        <w:t>П</w:t>
      </w:r>
      <w:r w:rsidR="005531F4" w:rsidRPr="002E01D2">
        <w:rPr>
          <w:rFonts w:ascii="Times New Roman" w:hAnsi="Times New Roman" w:cs="Times New Roman"/>
          <w:iCs/>
          <w:sz w:val="28"/>
          <w:szCs w:val="28"/>
        </w:rPr>
        <w:t xml:space="preserve">рийняття </w:t>
      </w:r>
      <w:r w:rsidR="00A904FD">
        <w:rPr>
          <w:rFonts w:ascii="Times New Roman" w:hAnsi="Times New Roman" w:cs="Times New Roman"/>
          <w:iCs/>
          <w:sz w:val="28"/>
          <w:szCs w:val="28"/>
        </w:rPr>
        <w:t>наказу</w:t>
      </w:r>
      <w:r w:rsidRPr="002E01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1C69" w:rsidRPr="002E01D2">
        <w:rPr>
          <w:rFonts w:ascii="Times New Roman" w:hAnsi="Times New Roman" w:cs="Times New Roman"/>
          <w:iCs/>
          <w:sz w:val="28"/>
          <w:szCs w:val="28"/>
        </w:rPr>
        <w:t>дозволить</w:t>
      </w:r>
      <w:r w:rsidR="00370C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0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ПАТ «Укрзалізниця» від перевезень (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12EC0"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F5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</w:t>
      </w:r>
      <w:r w:rsidR="00663B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р.</w:t>
      </w:r>
      <w:r w:rsidR="00512EC0" w:rsidRPr="005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кінця поточного року) </w:t>
      </w:r>
      <w:r w:rsidR="0037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 </w:t>
      </w:r>
      <w:r w:rsidR="009A6B4E">
        <w:rPr>
          <w:rFonts w:ascii="Times New Roman" w:eastAsia="Times New Roman" w:hAnsi="Times New Roman" w:cs="Times New Roman"/>
          <w:sz w:val="28"/>
          <w:szCs w:val="28"/>
          <w:lang w:eastAsia="ru-RU"/>
        </w:rPr>
        <w:t>0,972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грн.</w:t>
      </w:r>
      <w:r w:rsidR="0037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E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додаткові </w:t>
      </w:r>
      <w:r w:rsidR="002373B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</w:t>
      </w:r>
      <w:r w:rsidR="002373B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373B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надходжен</w:t>
      </w:r>
      <w:r w:rsidR="002373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2373B9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</w:t>
      </w:r>
      <w:r w:rsidR="00237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2373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2373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0CB4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сумі </w:t>
      </w:r>
      <w:r w:rsidR="009A6B4E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="00370CB4" w:rsidRPr="001E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грн.</w:t>
      </w:r>
    </w:p>
    <w:p w:rsidR="008430BD" w:rsidRPr="001E50CA" w:rsidRDefault="00623B86" w:rsidP="007E3235">
      <w:pPr>
        <w:tabs>
          <w:tab w:val="left" w:pos="-3686"/>
        </w:tabs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наказу</w:t>
      </w:r>
      <w:r w:rsidR="0084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30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 та місцевих бюджетів.</w:t>
      </w:r>
    </w:p>
    <w:p w:rsidR="00842425" w:rsidRDefault="00842425" w:rsidP="00267649">
      <w:pPr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CB4" w:rsidRDefault="00D307DC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Прогноз впливу</w:t>
      </w:r>
    </w:p>
    <w:p w:rsidR="00842425" w:rsidRDefault="00623B86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предметом правового регулюван</w:t>
      </w:r>
      <w:r w:rsidR="00B52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вплине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ринкове середовище 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зв’язку з тим, що зміна державно регульованих тарифів на перевезення у середньорічному розрахунку складатиме 17,8%</w:t>
      </w:r>
      <w:r w:rsidR="0084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2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однак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перевищу</w:t>
      </w:r>
      <w:r w:rsidR="00EE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ватиме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розмірів, запланованих у 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кількісних припущеннях прогнозу основних </w:t>
      </w:r>
      <w:proofErr w:type="spellStart"/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макропоказників</w:t>
      </w:r>
      <w:proofErr w:type="spellEnd"/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економічного </w:t>
      </w:r>
      <w:r w:rsidR="00EE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соціального розвитку України на 2018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рік, схвалених п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абінету Міністрів України від 01 грудня 2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017</w:t>
      </w:r>
      <w:r w:rsidR="00663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№ 906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внесення змін у додатки 1 і 2 до постанови 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абінету Міністрів України від 31 травня 2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017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411»</w:t>
      </w:r>
      <w:r w:rsidR="0084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врахованих у </w:t>
      </w:r>
      <w:r w:rsidR="00EE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84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ЦВ. </w:t>
      </w:r>
    </w:p>
    <w:p w:rsidR="001E50CA" w:rsidRPr="001E50CA" w:rsidRDefault="00842425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Слід 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значити, що за 1</w:t>
      </w:r>
      <w:r w:rsidR="0032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сценарієм розвитку ІЦВ за 2018 рік повинен складати 110,3%, а згідно з даними Державної служби статистики України лише за 5 місяців ц</w:t>
      </w:r>
      <w:r w:rsidR="00EE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ього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вже становить 106,8%. </w:t>
      </w:r>
    </w:p>
    <w:p w:rsidR="000E52B4" w:rsidRPr="003C51F7" w:rsidRDefault="00492483" w:rsidP="003C51F7">
      <w:pPr>
        <w:tabs>
          <w:tab w:val="left" w:pos="7017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предметом правового регулювання не матиме відповідного впливу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розвиток регіонів, ринок праці, громадське здоров’я, 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екологію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навколишнє природне середовище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інші сфери суспільних відносин</w:t>
      </w:r>
      <w:r w:rsidR="00EE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оскільки </w:t>
      </w:r>
      <w:r w:rsidR="001E50CA" w:rsidRP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сфери наукової та науково-технічної діяльності</w:t>
      </w:r>
      <w:r w:rsidR="001E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52B4" w:rsidRDefault="000E52B4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8A3" w:rsidRPr="002E01D2" w:rsidRDefault="00D307DC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D78A3" w:rsidRPr="002E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Позиція заінтересованих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сторін</w:t>
      </w:r>
    </w:p>
    <w:p w:rsidR="009E5296" w:rsidRPr="009E5296" w:rsidRDefault="002D3D4F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стосовно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із заінтересованими сторонами не проводилися у зв’язку з тим, що зближення класів тарифів на перевезення 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вантажів та одержання доходних надходжень від цього зближення заплановано </w:t>
      </w:r>
      <w:r w:rsidR="00EE7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онсолідован</w:t>
      </w:r>
      <w:r w:rsidR="00B93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>м фінансов</w:t>
      </w:r>
      <w:r w:rsidR="00B93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</w:t>
      </w:r>
      <w:r w:rsidR="00B9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публічного акціонерного товариства «Українська залізниця» на 2018 рік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затверджени</w:t>
      </w:r>
      <w:r w:rsidR="00A54A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 Кабінету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Міністрів України</w:t>
      </w:r>
      <w:r w:rsidR="000E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 14 лютого 2018 р. № 87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F6C" w:rsidRPr="009E5296" w:rsidRDefault="00AA5F6C" w:rsidP="00AA5F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наказу вплине на </w:t>
      </w:r>
      <w:r w:rsidR="0011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господарювання, що є уча</w:t>
      </w:r>
      <w:r w:rsidR="0011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сниками процесу перевезення вантажів залізничним транспортом, оскільки у</w:t>
      </w:r>
      <w:r w:rsidR="0092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ніфікація тарифів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перевезення порожніх вагонів змінить середній рівень діючих державно регульованих тарифів у середньорічно</w:t>
      </w:r>
      <w:r w:rsidR="00922F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розрахунку на 17,8%</w:t>
      </w:r>
      <w:r w:rsidR="0059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(згідно </w:t>
      </w:r>
      <w:r w:rsidR="00D87935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додатком</w:t>
      </w:r>
      <w:r w:rsidR="00596F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296" w:rsidRDefault="002D3D4F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2CC1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</w:t>
      </w:r>
      <w:r w:rsidR="009E5296" w:rsidRP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матиме впливу на інтереси окремих верств (груп) населення,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сфери наукової та науково-технічної діяльності.</w:t>
      </w:r>
    </w:p>
    <w:p w:rsidR="00CE7325" w:rsidRPr="009E5296" w:rsidRDefault="00CE7325" w:rsidP="007E3235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78A3" w:rsidRPr="002E01D2" w:rsidRDefault="00D307DC" w:rsidP="007E3235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Громадське обговорення</w:t>
      </w:r>
    </w:p>
    <w:p w:rsidR="00D307DC" w:rsidRDefault="00562E2B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07DC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не потребує проведення консультацій із громадськістю.</w:t>
      </w:r>
    </w:p>
    <w:p w:rsidR="00D307DC" w:rsidRDefault="00D307DC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7DC" w:rsidRPr="002E01D2" w:rsidRDefault="00D307DC" w:rsidP="007E3235">
      <w:pPr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2E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Позиція заінтересованих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органів</w:t>
      </w:r>
    </w:p>
    <w:p w:rsidR="00D307DC" w:rsidRPr="002E01D2" w:rsidRDefault="00562E2B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07DC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потребує погодження з Міністерством економічного розвитку і торгівлі України, Міністерством фінансів України, Державною регуляторною службою України.</w:t>
      </w:r>
    </w:p>
    <w:p w:rsidR="00D307DC" w:rsidRDefault="00D307DC" w:rsidP="007E32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7DC" w:rsidRPr="00BD0407" w:rsidRDefault="00D307DC" w:rsidP="007E32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Правова експертиза</w:t>
      </w:r>
    </w:p>
    <w:p w:rsidR="00BD0407" w:rsidRPr="00BD0407" w:rsidRDefault="00BD0407" w:rsidP="007E32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правової експертизи Мін’юстом </w:t>
      </w:r>
      <w:r w:rsidR="00DC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 </w:t>
      </w:r>
      <w:r w:rsidRPr="00BD0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</w:t>
      </w:r>
      <w:r w:rsidR="00DC7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BD0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C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</w:t>
      </w:r>
      <w:r w:rsidR="00DC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E0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DC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реєстраці</w:t>
      </w:r>
      <w:r w:rsidR="00AB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 наказу</w:t>
      </w:r>
      <w:r w:rsidRPr="00BD0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7DC" w:rsidRDefault="00D307DC" w:rsidP="00267649">
      <w:pPr>
        <w:ind w:firstLine="709"/>
        <w:jc w:val="both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0D78A3" w:rsidRPr="002E01D2" w:rsidRDefault="00D307DC" w:rsidP="007E32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D78A3" w:rsidRPr="002E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Запобігання дискримінації</w:t>
      </w:r>
    </w:p>
    <w:p w:rsidR="000D78A3" w:rsidRPr="002E01D2" w:rsidRDefault="002471A9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78A3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 не містить положень, які містять ознаки дискримінації. </w:t>
      </w:r>
    </w:p>
    <w:p w:rsidR="00CB0362" w:rsidRDefault="00CB0362" w:rsidP="007E32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D78A3" w:rsidRPr="002E01D2" w:rsidRDefault="00D307DC" w:rsidP="007E32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D78A3" w:rsidRPr="002E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Запобігання корупції</w:t>
      </w:r>
    </w:p>
    <w:p w:rsidR="000D78A3" w:rsidRPr="002E01D2" w:rsidRDefault="00AB571A" w:rsidP="007E32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78A3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</w:t>
      </w:r>
      <w:r w:rsidR="000D78A3" w:rsidRPr="002E0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78A3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встановлює правила і процедури, що можуть містити ризики вчинення корупційних правопорушень.</w:t>
      </w:r>
    </w:p>
    <w:p w:rsidR="00CB0362" w:rsidRPr="002E01D2" w:rsidRDefault="00CB0362" w:rsidP="007E3235">
      <w:pPr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0D78A3" w:rsidRDefault="000D78A3" w:rsidP="007E3235">
      <w:pPr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3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E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результатів</w:t>
      </w:r>
    </w:p>
    <w:p w:rsidR="004F1037" w:rsidRPr="00587794" w:rsidRDefault="004F1037" w:rsidP="0039605B">
      <w:pPr>
        <w:tabs>
          <w:tab w:val="left" w:pos="708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наказу дозволить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 зменшити збитковість перевезень порожніх вагонів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скоротити перехресне субсидування між вантажами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AB0" w:rsidRDefault="001C773E" w:rsidP="007E3235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87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умови </w:t>
      </w:r>
      <w:r w:rsidR="00FC5A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уніфікації тарифів </w:t>
      </w:r>
      <w:r w:rsidR="00D10A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перевезення </w:t>
      </w:r>
      <w:r w:rsidR="00FC5A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порожніх вагонів </w:t>
      </w:r>
      <w:r w:rsidRPr="00E87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укрупненими прогнозними розрахунками доходи ПАТ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E87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«Укрзалізниця» збільш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E87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ться на </w:t>
      </w:r>
      <w:r w:rsidR="00FC5A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971,7</w:t>
      </w:r>
      <w:r w:rsidR="00C87F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87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млн. грн.</w:t>
      </w:r>
      <w:r w:rsidR="00D10A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а до </w:t>
      </w:r>
      <w:r w:rsidR="00E02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</w:t>
      </w:r>
      <w:r w:rsidR="00D10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10A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67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 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</w:t>
      </w:r>
      <w:r w:rsidR="00D1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відраховано 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</w:t>
      </w:r>
      <w:r w:rsidR="006779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надходжен</w:t>
      </w:r>
      <w:r w:rsidR="0067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сумі </w:t>
      </w:r>
      <w:r w:rsidR="00FC5A05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="00D10AB0" w:rsidRPr="00B6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грн</w:t>
      </w:r>
      <w:r w:rsidR="00677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A25" w:rsidRPr="002E01D2" w:rsidRDefault="00843A25" w:rsidP="002676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644" w:rsidRDefault="00465644" w:rsidP="002676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2017" w:rsidRPr="002E01D2" w:rsidRDefault="00902017" w:rsidP="002676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D2" w:rsidRPr="002E01D2" w:rsidRDefault="00E7796E" w:rsidP="003C51F7">
      <w:pPr>
        <w:tabs>
          <w:tab w:val="left" w:pos="6804"/>
          <w:tab w:val="left" w:pos="7088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 інфраструктури України</w:t>
      </w:r>
      <w:r w:rsidR="000D78A3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ОМЕЛЯН</w:t>
      </w:r>
    </w:p>
    <w:p w:rsidR="00CF5C0A" w:rsidRPr="002E01D2" w:rsidRDefault="006779C8" w:rsidP="003C51F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0D78A3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</w:t>
      </w:r>
      <w:r w:rsidR="0059770D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78A3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44BA0" w:rsidRPr="002E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</w:p>
    <w:sectPr w:rsidR="00CF5C0A" w:rsidRPr="002E01D2" w:rsidSect="0084242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B" w:rsidRDefault="007F44FB">
      <w:r>
        <w:separator/>
      </w:r>
    </w:p>
  </w:endnote>
  <w:endnote w:type="continuationSeparator" w:id="0">
    <w:p w:rsidR="007F44FB" w:rsidRDefault="007F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66" w:rsidRDefault="00CD5E56" w:rsidP="00605A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05A66" w:rsidRDefault="00605A66" w:rsidP="00605A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66" w:rsidRPr="005B5C0F" w:rsidRDefault="00605A66" w:rsidP="00605A66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B" w:rsidRDefault="007F44FB">
      <w:r>
        <w:separator/>
      </w:r>
    </w:p>
  </w:footnote>
  <w:footnote w:type="continuationSeparator" w:id="0">
    <w:p w:rsidR="007F44FB" w:rsidRDefault="007F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66" w:rsidRDefault="00CD5E56" w:rsidP="00605A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05A66" w:rsidRDefault="00605A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862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5A66" w:rsidRPr="00842425" w:rsidRDefault="003B6D12" w:rsidP="00842425">
        <w:pPr>
          <w:pStyle w:val="a3"/>
          <w:jc w:val="center"/>
          <w:rPr>
            <w:rStyle w:val="a7"/>
            <w:sz w:val="24"/>
            <w:szCs w:val="24"/>
          </w:rPr>
        </w:pPr>
        <w:r w:rsidRPr="00842425">
          <w:rPr>
            <w:sz w:val="24"/>
            <w:szCs w:val="24"/>
          </w:rPr>
          <w:fldChar w:fldCharType="begin"/>
        </w:r>
        <w:r w:rsidRPr="00842425">
          <w:rPr>
            <w:sz w:val="24"/>
            <w:szCs w:val="24"/>
          </w:rPr>
          <w:instrText>PAGE   \* MERGEFORMAT</w:instrText>
        </w:r>
        <w:r w:rsidRPr="00842425">
          <w:rPr>
            <w:sz w:val="24"/>
            <w:szCs w:val="24"/>
          </w:rPr>
          <w:fldChar w:fldCharType="separate"/>
        </w:r>
        <w:r w:rsidR="003C51F7">
          <w:rPr>
            <w:noProof/>
            <w:sz w:val="24"/>
            <w:szCs w:val="24"/>
          </w:rPr>
          <w:t>5</w:t>
        </w:r>
        <w:r w:rsidRPr="0084242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E41"/>
    <w:multiLevelType w:val="hybridMultilevel"/>
    <w:tmpl w:val="5E30BA78"/>
    <w:lvl w:ilvl="0" w:tplc="187A7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3"/>
    <w:rsid w:val="000014FC"/>
    <w:rsid w:val="00003A94"/>
    <w:rsid w:val="00004581"/>
    <w:rsid w:val="000052B0"/>
    <w:rsid w:val="00024C9A"/>
    <w:rsid w:val="0002735D"/>
    <w:rsid w:val="000360D7"/>
    <w:rsid w:val="000378AD"/>
    <w:rsid w:val="00056961"/>
    <w:rsid w:val="000841FB"/>
    <w:rsid w:val="00086F0F"/>
    <w:rsid w:val="00091D5C"/>
    <w:rsid w:val="00092AC5"/>
    <w:rsid w:val="000A579C"/>
    <w:rsid w:val="000C069E"/>
    <w:rsid w:val="000C4078"/>
    <w:rsid w:val="000D6233"/>
    <w:rsid w:val="000D78A3"/>
    <w:rsid w:val="000E52B4"/>
    <w:rsid w:val="000E6457"/>
    <w:rsid w:val="000F51B7"/>
    <w:rsid w:val="001116CB"/>
    <w:rsid w:val="001141B0"/>
    <w:rsid w:val="00122B22"/>
    <w:rsid w:val="0014349A"/>
    <w:rsid w:val="001514BF"/>
    <w:rsid w:val="00152949"/>
    <w:rsid w:val="001629BA"/>
    <w:rsid w:val="001673C6"/>
    <w:rsid w:val="001763A4"/>
    <w:rsid w:val="00176C8A"/>
    <w:rsid w:val="00177BCE"/>
    <w:rsid w:val="00181C8B"/>
    <w:rsid w:val="001837A1"/>
    <w:rsid w:val="00183B2D"/>
    <w:rsid w:val="001906BA"/>
    <w:rsid w:val="001A1804"/>
    <w:rsid w:val="001B1BEE"/>
    <w:rsid w:val="001B3AD3"/>
    <w:rsid w:val="001C773E"/>
    <w:rsid w:val="001E50CA"/>
    <w:rsid w:val="001F2EEC"/>
    <w:rsid w:val="0020139A"/>
    <w:rsid w:val="00202AB0"/>
    <w:rsid w:val="002038C1"/>
    <w:rsid w:val="00205DCC"/>
    <w:rsid w:val="0022502D"/>
    <w:rsid w:val="00236E6D"/>
    <w:rsid w:val="002373B9"/>
    <w:rsid w:val="00244BA0"/>
    <w:rsid w:val="002466B9"/>
    <w:rsid w:val="002471A9"/>
    <w:rsid w:val="00251919"/>
    <w:rsid w:val="002558E3"/>
    <w:rsid w:val="00256D0D"/>
    <w:rsid w:val="00257174"/>
    <w:rsid w:val="00267649"/>
    <w:rsid w:val="002750DD"/>
    <w:rsid w:val="002758F1"/>
    <w:rsid w:val="002967F3"/>
    <w:rsid w:val="00296893"/>
    <w:rsid w:val="002B14B6"/>
    <w:rsid w:val="002B72B7"/>
    <w:rsid w:val="002D3D4F"/>
    <w:rsid w:val="002E01D2"/>
    <w:rsid w:val="002F1979"/>
    <w:rsid w:val="002F587A"/>
    <w:rsid w:val="002F64ED"/>
    <w:rsid w:val="003013F3"/>
    <w:rsid w:val="003030A0"/>
    <w:rsid w:val="003072EB"/>
    <w:rsid w:val="0031214B"/>
    <w:rsid w:val="00321556"/>
    <w:rsid w:val="00325F45"/>
    <w:rsid w:val="00336193"/>
    <w:rsid w:val="003439A7"/>
    <w:rsid w:val="003455D5"/>
    <w:rsid w:val="0036700B"/>
    <w:rsid w:val="00367A9E"/>
    <w:rsid w:val="00367D89"/>
    <w:rsid w:val="00370CB4"/>
    <w:rsid w:val="00391F0F"/>
    <w:rsid w:val="0039422E"/>
    <w:rsid w:val="0039605B"/>
    <w:rsid w:val="0039781A"/>
    <w:rsid w:val="003B6D12"/>
    <w:rsid w:val="003C51F7"/>
    <w:rsid w:val="003D529E"/>
    <w:rsid w:val="003D71AF"/>
    <w:rsid w:val="003D72AF"/>
    <w:rsid w:val="003E028C"/>
    <w:rsid w:val="003F3EA3"/>
    <w:rsid w:val="003F6F19"/>
    <w:rsid w:val="003F76EC"/>
    <w:rsid w:val="00415F67"/>
    <w:rsid w:val="0042290E"/>
    <w:rsid w:val="004360E9"/>
    <w:rsid w:val="00440142"/>
    <w:rsid w:val="00443D46"/>
    <w:rsid w:val="00446D09"/>
    <w:rsid w:val="00463C4C"/>
    <w:rsid w:val="00465644"/>
    <w:rsid w:val="004669DD"/>
    <w:rsid w:val="004713BB"/>
    <w:rsid w:val="00472548"/>
    <w:rsid w:val="00480200"/>
    <w:rsid w:val="0048645F"/>
    <w:rsid w:val="0049134C"/>
    <w:rsid w:val="00492483"/>
    <w:rsid w:val="004A47DE"/>
    <w:rsid w:val="004A5643"/>
    <w:rsid w:val="004B73E7"/>
    <w:rsid w:val="004F1037"/>
    <w:rsid w:val="00512EC0"/>
    <w:rsid w:val="00516CA2"/>
    <w:rsid w:val="00517DD9"/>
    <w:rsid w:val="0052088C"/>
    <w:rsid w:val="00522848"/>
    <w:rsid w:val="00530896"/>
    <w:rsid w:val="00530E1A"/>
    <w:rsid w:val="005369A9"/>
    <w:rsid w:val="00544837"/>
    <w:rsid w:val="005531F4"/>
    <w:rsid w:val="00557BC6"/>
    <w:rsid w:val="00560F8B"/>
    <w:rsid w:val="00562E2B"/>
    <w:rsid w:val="00587794"/>
    <w:rsid w:val="00593598"/>
    <w:rsid w:val="00596FDC"/>
    <w:rsid w:val="0059770D"/>
    <w:rsid w:val="005A6A26"/>
    <w:rsid w:val="005B38A8"/>
    <w:rsid w:val="005C1ABB"/>
    <w:rsid w:val="005C5469"/>
    <w:rsid w:val="005E3B7F"/>
    <w:rsid w:val="005F0833"/>
    <w:rsid w:val="005F2413"/>
    <w:rsid w:val="005F6A54"/>
    <w:rsid w:val="00601C69"/>
    <w:rsid w:val="00603EB4"/>
    <w:rsid w:val="00605A66"/>
    <w:rsid w:val="00607F90"/>
    <w:rsid w:val="00623B86"/>
    <w:rsid w:val="0064036F"/>
    <w:rsid w:val="006536BB"/>
    <w:rsid w:val="00663BA4"/>
    <w:rsid w:val="006779C8"/>
    <w:rsid w:val="00677C69"/>
    <w:rsid w:val="006854CF"/>
    <w:rsid w:val="006859CA"/>
    <w:rsid w:val="00694356"/>
    <w:rsid w:val="0069579E"/>
    <w:rsid w:val="006A3A17"/>
    <w:rsid w:val="006A6A16"/>
    <w:rsid w:val="006B4C35"/>
    <w:rsid w:val="006C1621"/>
    <w:rsid w:val="006C3C2C"/>
    <w:rsid w:val="006C4ECA"/>
    <w:rsid w:val="006E0034"/>
    <w:rsid w:val="006E61AF"/>
    <w:rsid w:val="006F2C27"/>
    <w:rsid w:val="006F4C5E"/>
    <w:rsid w:val="006F51FC"/>
    <w:rsid w:val="00701797"/>
    <w:rsid w:val="00702848"/>
    <w:rsid w:val="00705F9F"/>
    <w:rsid w:val="007066E3"/>
    <w:rsid w:val="00723416"/>
    <w:rsid w:val="007317A3"/>
    <w:rsid w:val="0073309E"/>
    <w:rsid w:val="00734F5E"/>
    <w:rsid w:val="00741CC4"/>
    <w:rsid w:val="00744650"/>
    <w:rsid w:val="00745BD9"/>
    <w:rsid w:val="00762840"/>
    <w:rsid w:val="00763636"/>
    <w:rsid w:val="00764A72"/>
    <w:rsid w:val="00770C32"/>
    <w:rsid w:val="007751E3"/>
    <w:rsid w:val="00786495"/>
    <w:rsid w:val="00786D8D"/>
    <w:rsid w:val="007A0C77"/>
    <w:rsid w:val="007A1553"/>
    <w:rsid w:val="007A2CC1"/>
    <w:rsid w:val="007B3B88"/>
    <w:rsid w:val="007B3CAF"/>
    <w:rsid w:val="007C722E"/>
    <w:rsid w:val="007C779E"/>
    <w:rsid w:val="007E3235"/>
    <w:rsid w:val="007F44FB"/>
    <w:rsid w:val="00816906"/>
    <w:rsid w:val="0082018C"/>
    <w:rsid w:val="0082037A"/>
    <w:rsid w:val="008258C5"/>
    <w:rsid w:val="008258FC"/>
    <w:rsid w:val="00826A59"/>
    <w:rsid w:val="00833E22"/>
    <w:rsid w:val="00842425"/>
    <w:rsid w:val="008430BD"/>
    <w:rsid w:val="00843A25"/>
    <w:rsid w:val="00847101"/>
    <w:rsid w:val="00851623"/>
    <w:rsid w:val="008517C0"/>
    <w:rsid w:val="00874583"/>
    <w:rsid w:val="008904C8"/>
    <w:rsid w:val="0089337A"/>
    <w:rsid w:val="0089624B"/>
    <w:rsid w:val="008A110E"/>
    <w:rsid w:val="008C0DC5"/>
    <w:rsid w:val="008D45A7"/>
    <w:rsid w:val="008D76E8"/>
    <w:rsid w:val="008D7C56"/>
    <w:rsid w:val="008E7B10"/>
    <w:rsid w:val="008F2BAE"/>
    <w:rsid w:val="008F405B"/>
    <w:rsid w:val="008F5AED"/>
    <w:rsid w:val="008F5CA5"/>
    <w:rsid w:val="00900092"/>
    <w:rsid w:val="00902017"/>
    <w:rsid w:val="00905862"/>
    <w:rsid w:val="00910FED"/>
    <w:rsid w:val="00917D52"/>
    <w:rsid w:val="00922F7F"/>
    <w:rsid w:val="009435A9"/>
    <w:rsid w:val="00944337"/>
    <w:rsid w:val="00947929"/>
    <w:rsid w:val="00947C01"/>
    <w:rsid w:val="009577DD"/>
    <w:rsid w:val="00964C7F"/>
    <w:rsid w:val="00977A2C"/>
    <w:rsid w:val="009836D8"/>
    <w:rsid w:val="00985C61"/>
    <w:rsid w:val="009937D1"/>
    <w:rsid w:val="009A6B4E"/>
    <w:rsid w:val="009B0DF2"/>
    <w:rsid w:val="009B1421"/>
    <w:rsid w:val="009B182C"/>
    <w:rsid w:val="009C1699"/>
    <w:rsid w:val="009C381F"/>
    <w:rsid w:val="009D5281"/>
    <w:rsid w:val="009D71C5"/>
    <w:rsid w:val="009E5296"/>
    <w:rsid w:val="009E672A"/>
    <w:rsid w:val="009E74AF"/>
    <w:rsid w:val="009F42EC"/>
    <w:rsid w:val="009F6B75"/>
    <w:rsid w:val="00A20EFD"/>
    <w:rsid w:val="00A23EF1"/>
    <w:rsid w:val="00A3264D"/>
    <w:rsid w:val="00A37EF7"/>
    <w:rsid w:val="00A5290C"/>
    <w:rsid w:val="00A54A4E"/>
    <w:rsid w:val="00A569D7"/>
    <w:rsid w:val="00A66664"/>
    <w:rsid w:val="00A808F3"/>
    <w:rsid w:val="00A904FD"/>
    <w:rsid w:val="00A90764"/>
    <w:rsid w:val="00A9132C"/>
    <w:rsid w:val="00AA12E0"/>
    <w:rsid w:val="00AA5F6C"/>
    <w:rsid w:val="00AB571A"/>
    <w:rsid w:val="00AC209A"/>
    <w:rsid w:val="00AD04B5"/>
    <w:rsid w:val="00AD6E04"/>
    <w:rsid w:val="00AE3EC3"/>
    <w:rsid w:val="00AE6F7E"/>
    <w:rsid w:val="00B0689C"/>
    <w:rsid w:val="00B15CF7"/>
    <w:rsid w:val="00B16878"/>
    <w:rsid w:val="00B27396"/>
    <w:rsid w:val="00B4534F"/>
    <w:rsid w:val="00B52102"/>
    <w:rsid w:val="00B57EAE"/>
    <w:rsid w:val="00B731E3"/>
    <w:rsid w:val="00B873E6"/>
    <w:rsid w:val="00B937F2"/>
    <w:rsid w:val="00B93895"/>
    <w:rsid w:val="00B972F7"/>
    <w:rsid w:val="00BD0407"/>
    <w:rsid w:val="00BD5B78"/>
    <w:rsid w:val="00BF7314"/>
    <w:rsid w:val="00C02032"/>
    <w:rsid w:val="00C07BA5"/>
    <w:rsid w:val="00C10A54"/>
    <w:rsid w:val="00C47739"/>
    <w:rsid w:val="00C51CB9"/>
    <w:rsid w:val="00C603EB"/>
    <w:rsid w:val="00C60C62"/>
    <w:rsid w:val="00C74E77"/>
    <w:rsid w:val="00C813C6"/>
    <w:rsid w:val="00C81499"/>
    <w:rsid w:val="00C85EAA"/>
    <w:rsid w:val="00C86611"/>
    <w:rsid w:val="00C87F5D"/>
    <w:rsid w:val="00CA09CB"/>
    <w:rsid w:val="00CA5AB6"/>
    <w:rsid w:val="00CB02FB"/>
    <w:rsid w:val="00CB0362"/>
    <w:rsid w:val="00CC3E64"/>
    <w:rsid w:val="00CC468B"/>
    <w:rsid w:val="00CC6312"/>
    <w:rsid w:val="00CD5E56"/>
    <w:rsid w:val="00CE2F08"/>
    <w:rsid w:val="00CE32A0"/>
    <w:rsid w:val="00CE492B"/>
    <w:rsid w:val="00CE7325"/>
    <w:rsid w:val="00CE75A5"/>
    <w:rsid w:val="00CF39CF"/>
    <w:rsid w:val="00CF3BCD"/>
    <w:rsid w:val="00CF419C"/>
    <w:rsid w:val="00CF5C0A"/>
    <w:rsid w:val="00CF6270"/>
    <w:rsid w:val="00D02878"/>
    <w:rsid w:val="00D0688F"/>
    <w:rsid w:val="00D10AB0"/>
    <w:rsid w:val="00D1439F"/>
    <w:rsid w:val="00D15DAF"/>
    <w:rsid w:val="00D307DC"/>
    <w:rsid w:val="00D33AAB"/>
    <w:rsid w:val="00D426AB"/>
    <w:rsid w:val="00D50B0F"/>
    <w:rsid w:val="00D615AC"/>
    <w:rsid w:val="00D61B85"/>
    <w:rsid w:val="00D75F22"/>
    <w:rsid w:val="00D87935"/>
    <w:rsid w:val="00D97CD0"/>
    <w:rsid w:val="00D97E65"/>
    <w:rsid w:val="00DA1A27"/>
    <w:rsid w:val="00DB6BC9"/>
    <w:rsid w:val="00DC128D"/>
    <w:rsid w:val="00DC7730"/>
    <w:rsid w:val="00DE207C"/>
    <w:rsid w:val="00DE5E82"/>
    <w:rsid w:val="00DF4AEA"/>
    <w:rsid w:val="00E02CEE"/>
    <w:rsid w:val="00E3742B"/>
    <w:rsid w:val="00E41897"/>
    <w:rsid w:val="00E441A7"/>
    <w:rsid w:val="00E563D5"/>
    <w:rsid w:val="00E57F36"/>
    <w:rsid w:val="00E762EF"/>
    <w:rsid w:val="00E7796E"/>
    <w:rsid w:val="00E816E7"/>
    <w:rsid w:val="00E8216A"/>
    <w:rsid w:val="00E86619"/>
    <w:rsid w:val="00E866AE"/>
    <w:rsid w:val="00E90BDD"/>
    <w:rsid w:val="00E91E5F"/>
    <w:rsid w:val="00E92CF7"/>
    <w:rsid w:val="00E94603"/>
    <w:rsid w:val="00E9514E"/>
    <w:rsid w:val="00E95443"/>
    <w:rsid w:val="00EA3237"/>
    <w:rsid w:val="00EA53A0"/>
    <w:rsid w:val="00EC058A"/>
    <w:rsid w:val="00ED194B"/>
    <w:rsid w:val="00EE7604"/>
    <w:rsid w:val="00EF1265"/>
    <w:rsid w:val="00EF4FD6"/>
    <w:rsid w:val="00EF593E"/>
    <w:rsid w:val="00F007D1"/>
    <w:rsid w:val="00F04DA5"/>
    <w:rsid w:val="00F05032"/>
    <w:rsid w:val="00F15BF7"/>
    <w:rsid w:val="00F245BB"/>
    <w:rsid w:val="00F24A13"/>
    <w:rsid w:val="00F25D1F"/>
    <w:rsid w:val="00F30FFA"/>
    <w:rsid w:val="00F427D3"/>
    <w:rsid w:val="00F43F78"/>
    <w:rsid w:val="00F4742C"/>
    <w:rsid w:val="00F5464B"/>
    <w:rsid w:val="00F60A5F"/>
    <w:rsid w:val="00F66FE1"/>
    <w:rsid w:val="00F80DEA"/>
    <w:rsid w:val="00F86F06"/>
    <w:rsid w:val="00F86F66"/>
    <w:rsid w:val="00FA0FCA"/>
    <w:rsid w:val="00FA35A3"/>
    <w:rsid w:val="00FA5DD5"/>
    <w:rsid w:val="00FC140C"/>
    <w:rsid w:val="00FC5A05"/>
    <w:rsid w:val="00FC652D"/>
    <w:rsid w:val="00FC7A2E"/>
    <w:rsid w:val="00FF41EC"/>
    <w:rsid w:val="00FF579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8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78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0D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D78A3"/>
  </w:style>
  <w:style w:type="paragraph" w:styleId="a8">
    <w:name w:val="Balloon Text"/>
    <w:basedOn w:val="a"/>
    <w:link w:val="a9"/>
    <w:uiPriority w:val="99"/>
    <w:semiHidden/>
    <w:unhideWhenUsed/>
    <w:rsid w:val="002F58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87A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18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8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78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0D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D78A3"/>
  </w:style>
  <w:style w:type="paragraph" w:styleId="a8">
    <w:name w:val="Balloon Text"/>
    <w:basedOn w:val="a"/>
    <w:link w:val="a9"/>
    <w:uiPriority w:val="99"/>
    <w:semiHidden/>
    <w:unhideWhenUsed/>
    <w:rsid w:val="002F58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87A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18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55;&#1088;&#1080;&#1082;&#1072;&#1079;&#1099;%20&#1052;&#1058;&#1059;+&#1052;&#1030;&#1059;\2018%20&#1074;&#1085;&#1077;&#1082;&#1083;&#1072;&#1089;&#1089;&#1085;&#1072;&#1103;\3%20&#1087;&#1088;&#1080;&#1082;&#1072;&#1079;&#1072;%20&#1052;&#1030;&#1059;\&#1087;&#1086;&#1088;&#1086;&#1078;&#1085;&#1103;&#1082;\&#1087;&#1086;&#1088;&#1086;&#1078;&#1085;&#1103;&#1082;%20500%20&#1082;&#1084;%20&#1085;&#1072;%2026.06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Середній тариф на перевезення 1-го вагона в порожньому стані на відстань 408 км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660794249890583E-2"/>
          <c:y val="0.12786017165476432"/>
          <c:w val="0.90388283034586547"/>
          <c:h val="0.78018461791492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 Сст'!$B$20</c:f>
              <c:strCache>
                <c:ptCount val="1"/>
                <c:pt idx="0">
                  <c:v>Тарифи на перевезення вагону у порожньому стані (відстань 408 км),
грн./вагон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99FF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 Сст'!$A$21:$A$25</c:f>
              <c:strCache>
                <c:ptCount val="5"/>
                <c:pt idx="0">
                  <c:v>собівартість</c:v>
                </c:pt>
                <c:pt idx="1">
                  <c:v>при єдиному коефіцієнті</c:v>
                </c:pt>
                <c:pt idx="2">
                  <c:v>з-під низьковартісних вантажів та 1-го класу</c:v>
                </c:pt>
                <c:pt idx="3">
                  <c:v>з-під вантажів 2-го класу</c:v>
                </c:pt>
                <c:pt idx="4">
                  <c:v>з-під вантажів 3-го класу</c:v>
                </c:pt>
              </c:strCache>
            </c:strRef>
          </c:cat>
          <c:val>
            <c:numRef>
              <c:f>'Т Сст'!$B$21:$B$25</c:f>
              <c:numCache>
                <c:formatCode>0.0</c:formatCode>
                <c:ptCount val="5"/>
                <c:pt idx="0">
                  <c:v>2762</c:v>
                </c:pt>
                <c:pt idx="1">
                  <c:v>2315.4</c:v>
                </c:pt>
                <c:pt idx="2">
                  <c:v>1189.4000000000001</c:v>
                </c:pt>
                <c:pt idx="3">
                  <c:v>1804.9</c:v>
                </c:pt>
                <c:pt idx="4">
                  <c:v>2893.7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50912"/>
        <c:axId val="64070784"/>
      </c:barChart>
      <c:catAx>
        <c:axId val="769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4070784"/>
        <c:crosses val="autoZero"/>
        <c:auto val="1"/>
        <c:lblAlgn val="ctr"/>
        <c:lblOffset val="100"/>
        <c:noMultiLvlLbl val="0"/>
      </c:catAx>
      <c:valAx>
        <c:axId val="64070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грн./вагон</a:t>
                </a:r>
              </a:p>
            </c:rich>
          </c:tx>
          <c:layout>
            <c:manualLayout>
              <c:xMode val="edge"/>
              <c:yMode val="edge"/>
              <c:x val="2.690302330179261E-2"/>
              <c:y val="0.322281187932266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crossAx val="76950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0.1578</cdr:x>
      <cdr:y>0.27392</cdr:y>
    </cdr:from>
    <cdr:to>
      <cdr:x>0.9152</cdr:x>
      <cdr:y>0.27393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965767" y="1094959"/>
          <a:ext cx="4635386" cy="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0.53986</cdr:x>
      <cdr:y>0.293</cdr:y>
    </cdr:from>
    <cdr:to>
      <cdr:x>0.54301</cdr:x>
      <cdr:y>0.60728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 flipV="1">
          <a:off x="5019004" y="1779137"/>
          <a:ext cx="29245" cy="190839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ysClr val="windowText" lastClr="00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0.71386</cdr:x>
      <cdr:y>0.29576</cdr:y>
    </cdr:from>
    <cdr:to>
      <cdr:x>0.71572</cdr:x>
      <cdr:y>0.4549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 flipH="1" flipV="1">
          <a:off x="6636612" y="1795894"/>
          <a:ext cx="17280" cy="9663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ysClr val="windowText" lastClr="00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0.53794</cdr:x>
      <cdr:y>0.38537</cdr:y>
    </cdr:from>
    <cdr:to>
      <cdr:x>0.60692</cdr:x>
      <cdr:y>0.44588</cdr:y>
    </cdr:to>
    <cdr:sp macro="" textlink="">
      <cdr:nvSpPr>
        <cdr:cNvPr id="15" name="TextBox 2"/>
        <cdr:cNvSpPr txBox="1"/>
      </cdr:nvSpPr>
      <cdr:spPr>
        <a:xfrm xmlns:a="http://schemas.openxmlformats.org/drawingml/2006/main">
          <a:off x="5004366" y="2343071"/>
          <a:ext cx="641703" cy="3679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+95%</a:t>
          </a:r>
        </a:p>
      </cdr:txBody>
    </cdr:sp>
  </cdr:relSizeAnchor>
  <cdr:relSizeAnchor xmlns:cdr="http://schemas.openxmlformats.org/drawingml/2006/chartDrawing">
    <cdr:from>
      <cdr:x>0.7455</cdr:x>
      <cdr:y>0.36333</cdr:y>
    </cdr:from>
    <cdr:to>
      <cdr:x>0.82553</cdr:x>
      <cdr:y>0.43766</cdr:y>
    </cdr:to>
    <cdr:sp macro="" textlink="">
      <cdr:nvSpPr>
        <cdr:cNvPr id="17" name="TextBox 2"/>
        <cdr:cNvSpPr txBox="1"/>
      </cdr:nvSpPr>
      <cdr:spPr>
        <a:xfrm xmlns:a="http://schemas.openxmlformats.org/drawingml/2006/main">
          <a:off x="6930802" y="2206215"/>
          <a:ext cx="744023" cy="4513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+28%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ED7C-9184-4FEB-BC31-E16B6208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6439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Живага Ірина Василівна</dc:creator>
  <cp:keywords/>
  <dc:description/>
  <cp:lastModifiedBy>Бєлінська Ольга Миколаївна</cp:lastModifiedBy>
  <cp:revision>279</cp:revision>
  <cp:lastPrinted>2018-07-12T12:14:00Z</cp:lastPrinted>
  <dcterms:created xsi:type="dcterms:W3CDTF">2018-06-27T04:16:00Z</dcterms:created>
  <dcterms:modified xsi:type="dcterms:W3CDTF">2018-07-13T12:47:00Z</dcterms:modified>
</cp:coreProperties>
</file>