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03" w:rsidRPr="00C61B4C" w:rsidRDefault="00386E03" w:rsidP="00837F44">
      <w:pPr>
        <w:spacing w:after="0" w:line="360" w:lineRule="auto"/>
        <w:jc w:val="center"/>
        <w:rPr>
          <w:rFonts w:ascii="Times New Roman" w:eastAsia="Times New Roman" w:hAnsi="Times New Roman" w:cs="Times New Roman"/>
          <w:noProof/>
          <w:sz w:val="28"/>
          <w:szCs w:val="28"/>
          <w:lang w:eastAsia="ru-RU"/>
        </w:rPr>
      </w:pPr>
    </w:p>
    <w:p w:rsidR="00386E03" w:rsidRPr="00C61B4C" w:rsidRDefault="00386E03" w:rsidP="00837F44">
      <w:pPr>
        <w:spacing w:after="0" w:line="360" w:lineRule="auto"/>
        <w:jc w:val="center"/>
        <w:rPr>
          <w:rFonts w:ascii="Times New Roman" w:eastAsia="Times New Roman" w:hAnsi="Times New Roman" w:cs="Times New Roman"/>
          <w:noProof/>
          <w:sz w:val="28"/>
          <w:szCs w:val="28"/>
          <w:lang w:eastAsia="ru-RU"/>
        </w:rPr>
      </w:pPr>
    </w:p>
    <w:p w:rsidR="00386E03" w:rsidRPr="00C61B4C" w:rsidRDefault="00386E03" w:rsidP="00837F44">
      <w:pPr>
        <w:spacing w:after="0" w:line="360" w:lineRule="auto"/>
        <w:jc w:val="center"/>
        <w:rPr>
          <w:rFonts w:ascii="Times New Roman" w:eastAsia="Times New Roman" w:hAnsi="Times New Roman" w:cs="Times New Roman"/>
          <w:noProof/>
          <w:sz w:val="28"/>
          <w:szCs w:val="28"/>
          <w:lang w:eastAsia="ru-RU"/>
        </w:rPr>
      </w:pPr>
    </w:p>
    <w:p w:rsidR="00386E03" w:rsidRPr="00C61B4C" w:rsidRDefault="00386E03" w:rsidP="00386E03"/>
    <w:p w:rsidR="00682846" w:rsidRPr="00C61B4C" w:rsidRDefault="00682846" w:rsidP="00682846"/>
    <w:p w:rsidR="00D40677" w:rsidRPr="00C61B4C" w:rsidRDefault="00D40677" w:rsidP="00D40677">
      <w:pPr>
        <w:spacing w:line="480" w:lineRule="auto"/>
        <w:jc w:val="center"/>
        <w:rPr>
          <w:rFonts w:ascii="Times New Roman" w:hAnsi="Times New Roman" w:cs="Times New Roman"/>
          <w:b/>
          <w:sz w:val="48"/>
          <w:szCs w:val="48"/>
        </w:rPr>
      </w:pPr>
      <w:r w:rsidRPr="00C61B4C">
        <w:rPr>
          <w:rFonts w:ascii="Times New Roman" w:hAnsi="Times New Roman" w:cs="Times New Roman"/>
          <w:b/>
          <w:sz w:val="48"/>
          <w:szCs w:val="48"/>
        </w:rPr>
        <w:t>ПОЯСНЮВАЛЬНА ЗАПИСКА</w:t>
      </w:r>
    </w:p>
    <w:p w:rsidR="00D40677" w:rsidRPr="00C61B4C" w:rsidRDefault="00D40677" w:rsidP="00D40677">
      <w:pPr>
        <w:spacing w:line="480" w:lineRule="auto"/>
        <w:jc w:val="center"/>
        <w:rPr>
          <w:rFonts w:ascii="Times New Roman" w:hAnsi="Times New Roman" w:cs="Times New Roman"/>
          <w:sz w:val="48"/>
          <w:szCs w:val="48"/>
        </w:rPr>
      </w:pPr>
      <w:r w:rsidRPr="00C61B4C">
        <w:rPr>
          <w:rFonts w:ascii="Times New Roman" w:hAnsi="Times New Roman" w:cs="Times New Roman"/>
          <w:sz w:val="48"/>
          <w:szCs w:val="48"/>
        </w:rPr>
        <w:t xml:space="preserve"> про фінансово-господарську діяльність </w:t>
      </w:r>
    </w:p>
    <w:p w:rsidR="00D40677" w:rsidRPr="00C61B4C" w:rsidRDefault="00D40677" w:rsidP="00D40677">
      <w:pPr>
        <w:spacing w:line="480" w:lineRule="auto"/>
        <w:jc w:val="center"/>
        <w:rPr>
          <w:rFonts w:ascii="Times New Roman" w:hAnsi="Times New Roman" w:cs="Times New Roman"/>
          <w:sz w:val="48"/>
          <w:szCs w:val="48"/>
        </w:rPr>
      </w:pPr>
      <w:r w:rsidRPr="00C61B4C">
        <w:rPr>
          <w:rFonts w:ascii="Times New Roman" w:hAnsi="Times New Roman" w:cs="Times New Roman"/>
          <w:sz w:val="48"/>
          <w:szCs w:val="48"/>
        </w:rPr>
        <w:t>ДЕРЖАВНОГО ПІДПРИЄМСТВА</w:t>
      </w:r>
    </w:p>
    <w:p w:rsidR="00D40677" w:rsidRPr="00C61B4C" w:rsidRDefault="00D40677" w:rsidP="00D40677">
      <w:pPr>
        <w:spacing w:line="480" w:lineRule="auto"/>
        <w:jc w:val="center"/>
        <w:rPr>
          <w:rFonts w:ascii="Times New Roman" w:hAnsi="Times New Roman" w:cs="Times New Roman"/>
          <w:sz w:val="48"/>
          <w:szCs w:val="48"/>
        </w:rPr>
      </w:pPr>
      <w:r w:rsidRPr="00C61B4C">
        <w:rPr>
          <w:rFonts w:ascii="Times New Roman" w:hAnsi="Times New Roman" w:cs="Times New Roman"/>
          <w:sz w:val="48"/>
          <w:szCs w:val="48"/>
        </w:rPr>
        <w:t xml:space="preserve">«АДМІНІСТРАЦІЯ МОРСЬКИХ </w:t>
      </w:r>
    </w:p>
    <w:p w:rsidR="00D40677" w:rsidRPr="00C61B4C" w:rsidRDefault="00D40677" w:rsidP="00D40677">
      <w:pPr>
        <w:spacing w:line="480" w:lineRule="auto"/>
        <w:jc w:val="center"/>
        <w:rPr>
          <w:rFonts w:ascii="Times New Roman" w:hAnsi="Times New Roman" w:cs="Times New Roman"/>
          <w:sz w:val="48"/>
          <w:szCs w:val="48"/>
        </w:rPr>
      </w:pPr>
      <w:r w:rsidRPr="00C61B4C">
        <w:rPr>
          <w:rFonts w:ascii="Times New Roman" w:hAnsi="Times New Roman" w:cs="Times New Roman"/>
          <w:sz w:val="48"/>
          <w:szCs w:val="48"/>
        </w:rPr>
        <w:t>ПОРТІВ УКРАЇНИ»</w:t>
      </w:r>
    </w:p>
    <w:p w:rsidR="00D40677" w:rsidRPr="00C61B4C" w:rsidRDefault="00D40677" w:rsidP="00D40677">
      <w:pPr>
        <w:spacing w:line="480" w:lineRule="auto"/>
        <w:jc w:val="center"/>
        <w:rPr>
          <w:rFonts w:ascii="Times New Roman" w:hAnsi="Times New Roman" w:cs="Times New Roman"/>
          <w:sz w:val="48"/>
          <w:szCs w:val="48"/>
        </w:rPr>
      </w:pPr>
      <w:r w:rsidRPr="00C61B4C">
        <w:rPr>
          <w:rFonts w:ascii="Times New Roman" w:hAnsi="Times New Roman" w:cs="Times New Roman"/>
          <w:sz w:val="48"/>
          <w:szCs w:val="48"/>
        </w:rPr>
        <w:t xml:space="preserve">за 2019 </w:t>
      </w:r>
      <w:r w:rsidR="00C61B4C" w:rsidRPr="00C61B4C">
        <w:rPr>
          <w:rFonts w:ascii="Times New Roman" w:hAnsi="Times New Roman" w:cs="Times New Roman"/>
          <w:sz w:val="48"/>
          <w:szCs w:val="48"/>
        </w:rPr>
        <w:t>рік</w:t>
      </w:r>
    </w:p>
    <w:p w:rsidR="00386E03" w:rsidRPr="00C61B4C" w:rsidRDefault="00386E03" w:rsidP="00386E03">
      <w:pPr>
        <w:spacing w:line="480" w:lineRule="auto"/>
        <w:jc w:val="center"/>
        <w:rPr>
          <w:rFonts w:ascii="Times New Roman" w:hAnsi="Times New Roman" w:cs="Times New Roman"/>
          <w:color w:val="FF0000"/>
          <w:sz w:val="48"/>
          <w:szCs w:val="48"/>
        </w:rPr>
      </w:pPr>
    </w:p>
    <w:p w:rsidR="00386E03" w:rsidRPr="00C61B4C" w:rsidRDefault="00386E03" w:rsidP="00837F44">
      <w:pPr>
        <w:spacing w:after="0" w:line="360" w:lineRule="auto"/>
        <w:jc w:val="center"/>
        <w:rPr>
          <w:rFonts w:ascii="Times New Roman" w:eastAsia="Times New Roman" w:hAnsi="Times New Roman" w:cs="Times New Roman"/>
          <w:noProof/>
          <w:color w:val="FF0000"/>
          <w:sz w:val="28"/>
          <w:szCs w:val="28"/>
          <w:lang w:eastAsia="ru-RU"/>
        </w:rPr>
      </w:pPr>
    </w:p>
    <w:p w:rsidR="00386E03" w:rsidRPr="00C61B4C" w:rsidRDefault="00386E03" w:rsidP="00837F44">
      <w:pPr>
        <w:spacing w:after="0" w:line="360" w:lineRule="auto"/>
        <w:jc w:val="center"/>
        <w:rPr>
          <w:rFonts w:ascii="Times New Roman" w:eastAsia="Times New Roman" w:hAnsi="Times New Roman" w:cs="Times New Roman"/>
          <w:noProof/>
          <w:color w:val="FF0000"/>
          <w:sz w:val="28"/>
          <w:szCs w:val="28"/>
          <w:lang w:eastAsia="ru-RU"/>
        </w:rPr>
      </w:pPr>
    </w:p>
    <w:p w:rsidR="006A7DB5" w:rsidRPr="00C61B4C" w:rsidRDefault="006A7DB5" w:rsidP="00837F44">
      <w:pPr>
        <w:spacing w:after="0" w:line="360" w:lineRule="auto"/>
        <w:jc w:val="center"/>
        <w:rPr>
          <w:rFonts w:ascii="Times New Roman" w:eastAsia="Times New Roman" w:hAnsi="Times New Roman" w:cs="Times New Roman"/>
          <w:noProof/>
          <w:color w:val="FF0000"/>
          <w:sz w:val="28"/>
          <w:szCs w:val="28"/>
          <w:lang w:eastAsia="ru-RU"/>
        </w:rPr>
      </w:pPr>
    </w:p>
    <w:p w:rsidR="006A7DB5" w:rsidRPr="00C61B4C" w:rsidRDefault="006A7DB5"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C61B4C" w:rsidRDefault="00E205E5"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C61B4C" w:rsidRDefault="00E205E5" w:rsidP="00837F44">
      <w:pPr>
        <w:spacing w:after="0" w:line="360" w:lineRule="auto"/>
        <w:jc w:val="center"/>
        <w:rPr>
          <w:rFonts w:ascii="Times New Roman" w:eastAsia="Times New Roman" w:hAnsi="Times New Roman" w:cs="Times New Roman"/>
          <w:noProof/>
          <w:color w:val="FF0000"/>
          <w:sz w:val="28"/>
          <w:szCs w:val="28"/>
          <w:lang w:eastAsia="ru-RU"/>
        </w:rPr>
      </w:pPr>
    </w:p>
    <w:p w:rsidR="00D163A1" w:rsidRPr="00C61B4C" w:rsidRDefault="00D163A1"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C61B4C" w:rsidRDefault="00E205E5" w:rsidP="00BA1438">
      <w:pPr>
        <w:spacing w:after="0" w:line="360" w:lineRule="auto"/>
        <w:rPr>
          <w:rFonts w:ascii="Times New Roman" w:eastAsia="Times New Roman" w:hAnsi="Times New Roman" w:cs="Times New Roman"/>
          <w:noProof/>
          <w:color w:val="FF0000"/>
          <w:sz w:val="28"/>
          <w:szCs w:val="28"/>
          <w:lang w:eastAsia="ru-RU"/>
        </w:rPr>
      </w:pPr>
    </w:p>
    <w:p w:rsidR="00386E03" w:rsidRPr="006A5D6D" w:rsidRDefault="00386E03" w:rsidP="00386E03">
      <w:pPr>
        <w:spacing w:after="0" w:line="360" w:lineRule="auto"/>
        <w:contextualSpacing/>
        <w:jc w:val="center"/>
        <w:rPr>
          <w:rFonts w:ascii="Times New Roman" w:eastAsia="Times New Roman" w:hAnsi="Times New Roman" w:cs="Times New Roman"/>
          <w:b/>
          <w:bCs/>
          <w:noProof/>
          <w:sz w:val="28"/>
          <w:szCs w:val="28"/>
          <w:lang w:eastAsia="ru-RU"/>
        </w:rPr>
      </w:pPr>
      <w:bookmarkStart w:id="0" w:name="_Toc417639832"/>
      <w:r w:rsidRPr="006A5D6D">
        <w:rPr>
          <w:rFonts w:ascii="Times New Roman" w:eastAsia="Times New Roman" w:hAnsi="Times New Roman" w:cs="Times New Roman"/>
          <w:b/>
          <w:bCs/>
          <w:noProof/>
          <w:sz w:val="28"/>
          <w:szCs w:val="28"/>
          <w:lang w:eastAsia="ru-RU"/>
        </w:rPr>
        <w:lastRenderedPageBreak/>
        <w:t>Розділ І Загальна інформація про діяльність підприємства</w:t>
      </w:r>
      <w:bookmarkEnd w:id="0"/>
    </w:p>
    <w:p w:rsidR="00BA1438" w:rsidRPr="006A5D6D" w:rsidRDefault="00BA1438" w:rsidP="00BA1438">
      <w:pPr>
        <w:pStyle w:val="a7"/>
        <w:tabs>
          <w:tab w:val="left" w:pos="567"/>
        </w:tabs>
        <w:kinsoku w:val="0"/>
        <w:overflowPunct w:val="0"/>
        <w:spacing w:before="0" w:beforeAutospacing="0" w:after="0" w:afterAutospacing="0"/>
        <w:ind w:firstLine="567"/>
        <w:contextualSpacing/>
        <w:jc w:val="both"/>
        <w:textAlignment w:val="baseline"/>
        <w:rPr>
          <w:sz w:val="28"/>
          <w:szCs w:val="28"/>
        </w:rPr>
      </w:pPr>
      <w:r w:rsidRPr="006A5D6D">
        <w:rPr>
          <w:kern w:val="24"/>
          <w:sz w:val="28"/>
          <w:szCs w:val="28"/>
        </w:rPr>
        <w:t>13 червня 2013 року набрав чинності Закон України «Про морські порти» від 17.05.2012 N 4709-VI (далі – Закон).</w:t>
      </w:r>
    </w:p>
    <w:p w:rsidR="00BA1438" w:rsidRPr="006A5D6D" w:rsidRDefault="00BA1438" w:rsidP="00BA1438">
      <w:pPr>
        <w:pStyle w:val="a7"/>
        <w:tabs>
          <w:tab w:val="left" w:pos="567"/>
        </w:tabs>
        <w:kinsoku w:val="0"/>
        <w:overflowPunct w:val="0"/>
        <w:spacing w:before="0" w:beforeAutospacing="0" w:after="0" w:afterAutospacing="0"/>
        <w:contextualSpacing/>
        <w:jc w:val="both"/>
        <w:textAlignment w:val="baseline"/>
        <w:rPr>
          <w:sz w:val="28"/>
          <w:szCs w:val="28"/>
        </w:rPr>
      </w:pPr>
      <w:r w:rsidRPr="006A5D6D">
        <w:rPr>
          <w:kern w:val="24"/>
          <w:sz w:val="28"/>
          <w:szCs w:val="28"/>
        </w:rPr>
        <w:tab/>
        <w:t>З метою реалізації Закону, розпорядження</w:t>
      </w:r>
      <w:r w:rsidR="006A5D6D" w:rsidRPr="006A5D6D">
        <w:rPr>
          <w:kern w:val="24"/>
          <w:sz w:val="28"/>
          <w:szCs w:val="28"/>
        </w:rPr>
        <w:t>м</w:t>
      </w:r>
      <w:r w:rsidRPr="006A5D6D">
        <w:rPr>
          <w:kern w:val="24"/>
          <w:sz w:val="28"/>
          <w:szCs w:val="28"/>
        </w:rPr>
        <w:t xml:space="preserve"> Кабінету Міністрів України</w:t>
      </w:r>
      <w:r w:rsidR="006A5D6D" w:rsidRPr="006A5D6D">
        <w:rPr>
          <w:kern w:val="24"/>
          <w:sz w:val="28"/>
          <w:szCs w:val="28"/>
        </w:rPr>
        <w:t xml:space="preserve"> від 04.03.2013 № 133-р, наказами</w:t>
      </w:r>
      <w:r w:rsidRPr="006A5D6D">
        <w:rPr>
          <w:kern w:val="24"/>
          <w:sz w:val="28"/>
          <w:szCs w:val="28"/>
        </w:rPr>
        <w:t xml:space="preserve"> Міністерства інфраструктури України від 19.03.2013 № 163 та від 10.06.2013 № 375 реорганізовано 20 державних підприємств морського транспорту (18 державних портів, ДП «Дельта-лоцман», ДСК «Керченська морська переправа») шляхом виділу стратегічних об’єктів портової інфраструктури, іншого майна, прав та обов’язків стосовно них відповідно до розподільчих балансів та утворено внаслідок виділу державне підприємство «Адміністрація морських портів України» (далі – ДП «АМПУ»).</w:t>
      </w:r>
    </w:p>
    <w:p w:rsidR="00BA1438" w:rsidRPr="006A5D6D" w:rsidRDefault="00BA1438" w:rsidP="00BA1438">
      <w:pPr>
        <w:pStyle w:val="a7"/>
        <w:tabs>
          <w:tab w:val="left" w:pos="567"/>
        </w:tabs>
        <w:kinsoku w:val="0"/>
        <w:overflowPunct w:val="0"/>
        <w:spacing w:before="0" w:beforeAutospacing="0" w:after="0" w:afterAutospacing="0"/>
        <w:contextualSpacing/>
        <w:jc w:val="both"/>
        <w:textAlignment w:val="baseline"/>
        <w:rPr>
          <w:kern w:val="24"/>
          <w:sz w:val="28"/>
          <w:szCs w:val="28"/>
        </w:rPr>
      </w:pPr>
      <w:r w:rsidRPr="006A5D6D">
        <w:rPr>
          <w:kern w:val="24"/>
          <w:sz w:val="28"/>
          <w:szCs w:val="28"/>
        </w:rPr>
        <w:tab/>
        <w:t>В подальшому на виконання наказів Міністерства інфраструктури України від 05.09.2013 № 665, від 08.08.2013 № 583 та від 11.07.2013 № 471 були реорганізовані шляхом приєднання до ДП «АМПУ» казенне підприємство «Морська пошуково-рятувальна служба», ДП «Укртехфлот» та ДП «Інформаційно-аналітичний центр морського і річкового транспорту».</w:t>
      </w:r>
    </w:p>
    <w:p w:rsidR="00BA1438" w:rsidRPr="006A5D6D" w:rsidRDefault="00BA1438" w:rsidP="00BA1438">
      <w:pPr>
        <w:spacing w:after="0" w:line="240" w:lineRule="auto"/>
        <w:ind w:firstLine="284"/>
        <w:jc w:val="both"/>
        <w:rPr>
          <w:rFonts w:ascii="Times New Roman" w:hAnsi="Times New Roman" w:cs="Times New Roman"/>
          <w:sz w:val="28"/>
          <w:szCs w:val="28"/>
        </w:rPr>
      </w:pPr>
      <w:r w:rsidRPr="006A5D6D">
        <w:rPr>
          <w:rFonts w:ascii="Times New Roman" w:hAnsi="Times New Roman" w:cs="Times New Roman"/>
          <w:sz w:val="28"/>
          <w:szCs w:val="28"/>
        </w:rPr>
        <w:t xml:space="preserve">    Філія «МПРС», яка здійснювала свою господарську діяльність у складі ДП «АМПУ» станом на 01.01.2017 року була реорганізована у зв’язку з прийняттям Постанови КМУ від 24.02.2016 № 158 «Про відновлення єдиної системи пошуку та рятування на морі».</w:t>
      </w:r>
    </w:p>
    <w:p w:rsidR="00A922D1" w:rsidRPr="006A5D6D" w:rsidRDefault="00A922D1" w:rsidP="00BA1438">
      <w:pPr>
        <w:spacing w:after="0" w:line="240" w:lineRule="auto"/>
        <w:ind w:firstLine="284"/>
        <w:jc w:val="both"/>
        <w:rPr>
          <w:rFonts w:ascii="Times New Roman" w:hAnsi="Times New Roman" w:cs="Times New Roman"/>
          <w:sz w:val="28"/>
          <w:szCs w:val="28"/>
        </w:rPr>
      </w:pPr>
      <w:r w:rsidRPr="006A5D6D">
        <w:rPr>
          <w:rFonts w:ascii="Times New Roman" w:hAnsi="Times New Roman" w:cs="Times New Roman"/>
          <w:sz w:val="28"/>
          <w:szCs w:val="28"/>
        </w:rPr>
        <w:t xml:space="preserve">   </w:t>
      </w:r>
      <w:r w:rsidR="001F3786" w:rsidRPr="006A5D6D">
        <w:rPr>
          <w:rFonts w:ascii="Times New Roman" w:hAnsi="Times New Roman" w:cs="Times New Roman"/>
          <w:sz w:val="28"/>
          <w:szCs w:val="28"/>
        </w:rPr>
        <w:t xml:space="preserve"> </w:t>
      </w:r>
      <w:r w:rsidRPr="006A5D6D">
        <w:rPr>
          <w:rFonts w:ascii="Times New Roman" w:hAnsi="Times New Roman" w:cs="Times New Roman"/>
          <w:sz w:val="28"/>
          <w:szCs w:val="28"/>
        </w:rPr>
        <w:t>Відповідно до статті 95 Цивільного кодексу України, статті 64 Господарського кодексу України, Кодексу торговельного мореплавства України, Закону України «Про морські порти України», статуту державного підприємства «Адміністрація морських портів України», затвердженого наказом Міністерства інфраструктури України від 25.03.2016 №119, в редакції наказу від 11.01.2017 №7 та з метою навігаційного забезпечення судноплавства на внутрішніх та водних шляхах з</w:t>
      </w:r>
      <w:r w:rsidR="001F3786" w:rsidRPr="006A5D6D">
        <w:rPr>
          <w:rFonts w:ascii="Times New Roman" w:hAnsi="Times New Roman" w:cs="Times New Roman"/>
          <w:sz w:val="28"/>
          <w:szCs w:val="28"/>
        </w:rPr>
        <w:t xml:space="preserve"> 01.02.2018 у складі ДП «АМПУ» </w:t>
      </w:r>
      <w:r w:rsidRPr="006A5D6D">
        <w:rPr>
          <w:rFonts w:ascii="Times New Roman" w:hAnsi="Times New Roman" w:cs="Times New Roman"/>
          <w:sz w:val="28"/>
          <w:szCs w:val="28"/>
        </w:rPr>
        <w:t>було створено філію «Днопоглиблювальний флот».</w:t>
      </w:r>
    </w:p>
    <w:p w:rsidR="00BA1438" w:rsidRPr="006A5D6D" w:rsidRDefault="00BA1438" w:rsidP="00BA1438">
      <w:pPr>
        <w:pStyle w:val="a7"/>
        <w:kinsoku w:val="0"/>
        <w:overflowPunct w:val="0"/>
        <w:spacing w:before="0" w:beforeAutospacing="0" w:after="0" w:afterAutospacing="0"/>
        <w:contextualSpacing/>
        <w:jc w:val="both"/>
        <w:textAlignment w:val="baseline"/>
        <w:rPr>
          <w:kern w:val="24"/>
          <w:sz w:val="28"/>
          <w:szCs w:val="28"/>
        </w:rPr>
      </w:pPr>
      <w:r w:rsidRPr="006A5D6D">
        <w:rPr>
          <w:kern w:val="24"/>
          <w:sz w:val="28"/>
          <w:szCs w:val="28"/>
        </w:rPr>
        <w:t xml:space="preserve">       Основна мета діяльності ДП «АМПУ» – забезпечення функціонування та розвитку морських портів шляхом ефективного використання державного майна, реконструкції та будівництва об’єктів портової інфраструктури, забезпечення безпеки мореплавства в морських портах.</w:t>
      </w:r>
    </w:p>
    <w:p w:rsidR="00BA1438" w:rsidRPr="00C61B4C" w:rsidRDefault="00BA1438" w:rsidP="00BA1438">
      <w:pPr>
        <w:pStyle w:val="a7"/>
        <w:kinsoku w:val="0"/>
        <w:overflowPunct w:val="0"/>
        <w:spacing w:before="64" w:beforeAutospacing="0" w:after="0" w:afterAutospacing="0"/>
        <w:ind w:firstLine="708"/>
        <w:contextualSpacing/>
        <w:jc w:val="both"/>
        <w:textAlignment w:val="baseline"/>
        <w:rPr>
          <w:color w:val="FF0000"/>
          <w:kern w:val="24"/>
          <w:sz w:val="28"/>
          <w:szCs w:val="28"/>
        </w:rPr>
      </w:pPr>
    </w:p>
    <w:p w:rsidR="004C4E3D" w:rsidRPr="006A5D6D" w:rsidRDefault="004C4E3D" w:rsidP="00C07FBE">
      <w:pPr>
        <w:pStyle w:val="a7"/>
        <w:kinsoku w:val="0"/>
        <w:overflowPunct w:val="0"/>
        <w:spacing w:before="64" w:beforeAutospacing="0" w:after="0" w:afterAutospacing="0"/>
        <w:ind w:left="1068"/>
        <w:jc w:val="center"/>
        <w:textAlignment w:val="baseline"/>
        <w:rPr>
          <w:b/>
          <w:sz w:val="28"/>
          <w:szCs w:val="28"/>
        </w:rPr>
      </w:pPr>
      <w:r w:rsidRPr="006A5D6D">
        <w:rPr>
          <w:b/>
          <w:sz w:val="28"/>
          <w:szCs w:val="28"/>
        </w:rPr>
        <w:t>ДП «АМПУ» виконує наступні функції:</w:t>
      </w:r>
    </w:p>
    <w:p w:rsidR="00AA32D6" w:rsidRPr="006A5D6D" w:rsidRDefault="00AA32D6" w:rsidP="00AA32D6">
      <w:pPr>
        <w:pStyle w:val="a7"/>
        <w:kinsoku w:val="0"/>
        <w:overflowPunct w:val="0"/>
        <w:spacing w:before="64" w:beforeAutospacing="0" w:after="0" w:afterAutospacing="0"/>
        <w:ind w:left="1068"/>
        <w:jc w:val="both"/>
        <w:textAlignment w:val="baseline"/>
        <w:rPr>
          <w:b/>
          <w:sz w:val="28"/>
          <w:szCs w:val="28"/>
        </w:rPr>
      </w:pP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утримання та забезпечення ефективного використання державного майна, переданого їй в господарське відання, у тому числі модернізації, ремонту, реконструкції та будівництва гідротехнічних споруд, інших об’єктів портової інфраструктури, розташованих у межах території та акваторії морських портів;</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надання послуг суднам на підходах і безпосередньо в акваторії морських портів для їх безпечного судноплавства, маневрування та стоянки;</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організація та забезпечення безпечної експлуатації об’єктів портової інфраструктури державної власності, у тому числі гідротехнічних споруд, систем забезпечення безпеки мореплавства, розташованих у межах території та акваторії морських портів;</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організація та забезпечення безпеки мореплавства;</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lastRenderedPageBreak/>
        <w:t>збір та облік даних, що вносяться до Реєстру морських портів України;</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організація розроблення та виконання плану розвитку морських портів, підготовки пропозицій щодо його вдосконалення;</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організація та координація аварійно-рятувальних робіт;</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організації робіт з підйому затонулого майна в акваторіях  морських портів;</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забезпечення дотримання законодавства про охорону навколишнього природного середовища;</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забезпечення проведення робіт з ліквідації наслідків забруднення  території та акваторій морських портів;</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надання допомоги потерпілим;</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визначення районів обов’язкового використання буксирів;</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справляння та цільового використання портових зборів;</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координація своєї діяльності та діяльності капітана морського порту, лоцманської служби, власників морських терміналів, портових операторів, інших суб’єктів господарювання, що провадять діяльність у морському порту, у разі виникнення стихійного лиха, аварій, катастроф, інших надзвичайних ситуацій, що потребують взаємодії;</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забезпечення створення рівних і конкурентних умов ведення господарської діяльності та отримання послуг у морських портах;</w:t>
      </w:r>
    </w:p>
    <w:p w:rsidR="004C4E3D" w:rsidRPr="006A5D6D" w:rsidRDefault="004C4E3D" w:rsidP="00751AC0">
      <w:pPr>
        <w:pStyle w:val="a7"/>
        <w:numPr>
          <w:ilvl w:val="0"/>
          <w:numId w:val="25"/>
        </w:numPr>
        <w:kinsoku w:val="0"/>
        <w:overflowPunct w:val="0"/>
        <w:ind w:left="0" w:firstLine="284"/>
        <w:contextualSpacing/>
        <w:jc w:val="both"/>
        <w:textAlignment w:val="baseline"/>
        <w:rPr>
          <w:sz w:val="28"/>
          <w:szCs w:val="28"/>
        </w:rPr>
      </w:pPr>
      <w:r w:rsidRPr="006A5D6D">
        <w:rPr>
          <w:sz w:val="28"/>
          <w:szCs w:val="28"/>
        </w:rPr>
        <w:t>контроль і підтримання оголошених глибин.</w:t>
      </w:r>
    </w:p>
    <w:p w:rsidR="004C4E3D" w:rsidRPr="006A5D6D" w:rsidRDefault="004C4E3D" w:rsidP="00751AC0">
      <w:pPr>
        <w:pStyle w:val="a7"/>
        <w:kinsoku w:val="0"/>
        <w:overflowPunct w:val="0"/>
        <w:ind w:firstLine="567"/>
        <w:contextualSpacing/>
        <w:jc w:val="both"/>
        <w:textAlignment w:val="baseline"/>
        <w:rPr>
          <w:sz w:val="28"/>
          <w:szCs w:val="28"/>
        </w:rPr>
      </w:pPr>
    </w:p>
    <w:p w:rsidR="00E920C2" w:rsidRPr="006A5D6D" w:rsidRDefault="00E920C2" w:rsidP="00E920C2">
      <w:pPr>
        <w:pStyle w:val="a7"/>
        <w:kinsoku w:val="0"/>
        <w:overflowPunct w:val="0"/>
        <w:contextualSpacing/>
        <w:jc w:val="both"/>
        <w:textAlignment w:val="baseline"/>
        <w:rPr>
          <w:b/>
          <w:sz w:val="28"/>
          <w:szCs w:val="28"/>
        </w:rPr>
      </w:pPr>
      <w:r w:rsidRPr="006A5D6D">
        <w:rPr>
          <w:b/>
          <w:sz w:val="28"/>
          <w:szCs w:val="28"/>
        </w:rPr>
        <w:t>До складу ДП «АМПУ» входять:</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Білгород-Дністровська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Бердянська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Ізмаїльська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Чорноморська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Маріупольська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Миколаївська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Одеська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Філія «Ольвія»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Ренійська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Скадовська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Філія «Усть-Дунайськ»</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Херсонська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Південна філія</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lang w:eastAsia="uk-UA"/>
        </w:rPr>
        <w:t>Філія «Дельта-лоцман»</w:t>
      </w:r>
    </w:p>
    <w:p w:rsidR="00E920C2" w:rsidRPr="006A5D6D" w:rsidRDefault="00E920C2" w:rsidP="00E920C2">
      <w:pPr>
        <w:spacing w:after="0"/>
        <w:rPr>
          <w:rFonts w:ascii="Times New Roman" w:hAnsi="Times New Roman" w:cs="Times New Roman"/>
          <w:sz w:val="28"/>
          <w:szCs w:val="28"/>
        </w:rPr>
      </w:pPr>
      <w:r w:rsidRPr="006A5D6D">
        <w:rPr>
          <w:rFonts w:ascii="Times New Roman" w:hAnsi="Times New Roman" w:cs="Times New Roman"/>
          <w:sz w:val="28"/>
          <w:szCs w:val="28"/>
        </w:rPr>
        <w:t>Філія «Днопоглиблювальний флот»</w:t>
      </w:r>
    </w:p>
    <w:p w:rsidR="00E920C2" w:rsidRPr="006A5D6D" w:rsidRDefault="00E920C2" w:rsidP="00E920C2">
      <w:pPr>
        <w:spacing w:after="0"/>
        <w:rPr>
          <w:rFonts w:ascii="Times New Roman" w:hAnsi="Times New Roman" w:cs="Times New Roman"/>
          <w:sz w:val="28"/>
          <w:szCs w:val="28"/>
          <w:lang w:eastAsia="uk-UA"/>
        </w:rPr>
      </w:pPr>
      <w:r w:rsidRPr="006A5D6D">
        <w:rPr>
          <w:rFonts w:ascii="Times New Roman" w:hAnsi="Times New Roman" w:cs="Times New Roman"/>
          <w:sz w:val="28"/>
          <w:szCs w:val="28"/>
        </w:rPr>
        <w:t xml:space="preserve">Головне представництво </w:t>
      </w:r>
    </w:p>
    <w:p w:rsidR="00E920C2" w:rsidRDefault="00E920C2" w:rsidP="00E920C2">
      <w:pPr>
        <w:spacing w:after="0"/>
        <w:rPr>
          <w:rFonts w:ascii="Times New Roman" w:hAnsi="Times New Roman" w:cs="Times New Roman"/>
          <w:b/>
          <w:bCs/>
          <w:sz w:val="28"/>
          <w:szCs w:val="28"/>
        </w:rPr>
      </w:pPr>
    </w:p>
    <w:p w:rsidR="0060147C" w:rsidRDefault="0060147C" w:rsidP="00E920C2">
      <w:pPr>
        <w:spacing w:after="0"/>
        <w:rPr>
          <w:rFonts w:ascii="Times New Roman" w:hAnsi="Times New Roman" w:cs="Times New Roman"/>
          <w:b/>
          <w:bCs/>
          <w:sz w:val="28"/>
          <w:szCs w:val="28"/>
        </w:rPr>
      </w:pPr>
    </w:p>
    <w:p w:rsidR="0060147C" w:rsidRDefault="0060147C" w:rsidP="00E920C2">
      <w:pPr>
        <w:spacing w:after="0"/>
        <w:rPr>
          <w:rFonts w:ascii="Times New Roman" w:hAnsi="Times New Roman" w:cs="Times New Roman"/>
          <w:b/>
          <w:bCs/>
          <w:sz w:val="28"/>
          <w:szCs w:val="28"/>
        </w:rPr>
      </w:pPr>
    </w:p>
    <w:p w:rsidR="0060147C" w:rsidRDefault="0060147C" w:rsidP="00E920C2">
      <w:pPr>
        <w:spacing w:after="0"/>
        <w:rPr>
          <w:rFonts w:ascii="Times New Roman" w:hAnsi="Times New Roman" w:cs="Times New Roman"/>
          <w:b/>
          <w:bCs/>
          <w:sz w:val="28"/>
          <w:szCs w:val="28"/>
        </w:rPr>
      </w:pPr>
    </w:p>
    <w:p w:rsidR="0060147C" w:rsidRDefault="0060147C" w:rsidP="00E920C2">
      <w:pPr>
        <w:spacing w:after="0"/>
        <w:rPr>
          <w:rFonts w:ascii="Times New Roman" w:hAnsi="Times New Roman" w:cs="Times New Roman"/>
          <w:b/>
          <w:bCs/>
          <w:sz w:val="28"/>
          <w:szCs w:val="28"/>
        </w:rPr>
      </w:pPr>
    </w:p>
    <w:p w:rsidR="0060147C" w:rsidRPr="006A5D6D" w:rsidRDefault="0060147C" w:rsidP="00E920C2">
      <w:pPr>
        <w:spacing w:after="0"/>
        <w:rPr>
          <w:rFonts w:ascii="Times New Roman" w:hAnsi="Times New Roman" w:cs="Times New Roman"/>
          <w:b/>
          <w:bCs/>
          <w:sz w:val="28"/>
          <w:szCs w:val="28"/>
        </w:rPr>
      </w:pPr>
    </w:p>
    <w:p w:rsidR="00E920C2" w:rsidRPr="006A5D6D" w:rsidRDefault="00910664" w:rsidP="00910664">
      <w:pPr>
        <w:pStyle w:val="a9"/>
        <w:spacing w:after="0" w:line="240" w:lineRule="auto"/>
        <w:ind w:left="142"/>
        <w:rPr>
          <w:rFonts w:ascii="Times New Roman" w:eastAsia="Times New Roman" w:hAnsi="Times New Roman" w:cs="Times New Roman"/>
          <w:b/>
          <w:noProof/>
          <w:sz w:val="28"/>
          <w:szCs w:val="28"/>
          <w:lang w:eastAsia="uk-UA"/>
        </w:rPr>
      </w:pPr>
      <w:r w:rsidRPr="006A5D6D">
        <w:rPr>
          <w:rFonts w:ascii="Times New Roman" w:eastAsia="Times New Roman" w:hAnsi="Times New Roman" w:cs="Times New Roman"/>
          <w:b/>
          <w:noProof/>
          <w:sz w:val="28"/>
          <w:szCs w:val="28"/>
          <w:lang w:val="ru-RU" w:eastAsia="uk-UA"/>
        </w:rPr>
        <w:lastRenderedPageBreak/>
        <w:t xml:space="preserve">                           </w:t>
      </w:r>
      <w:r w:rsidR="00E920C2" w:rsidRPr="006A5D6D">
        <w:rPr>
          <w:rFonts w:ascii="Times New Roman" w:eastAsia="Times New Roman" w:hAnsi="Times New Roman" w:cs="Times New Roman"/>
          <w:b/>
          <w:noProof/>
          <w:sz w:val="28"/>
          <w:szCs w:val="28"/>
          <w:lang w:eastAsia="uk-UA"/>
        </w:rPr>
        <w:t>Інформація щодо фінансового плану ДП «АМПУ»</w:t>
      </w:r>
    </w:p>
    <w:p w:rsidR="00E920C2" w:rsidRPr="006A5D6D" w:rsidRDefault="00E920C2" w:rsidP="00E920C2">
      <w:pPr>
        <w:pStyle w:val="a9"/>
        <w:spacing w:after="0" w:line="240" w:lineRule="auto"/>
        <w:ind w:left="142"/>
        <w:jc w:val="center"/>
        <w:rPr>
          <w:rFonts w:ascii="Times New Roman" w:eastAsia="Times New Roman" w:hAnsi="Times New Roman" w:cs="Times New Roman"/>
          <w:b/>
          <w:noProof/>
          <w:sz w:val="28"/>
          <w:szCs w:val="28"/>
          <w:lang w:eastAsia="uk-UA"/>
        </w:rPr>
      </w:pPr>
      <w:r w:rsidRPr="006A5D6D">
        <w:rPr>
          <w:rFonts w:ascii="Times New Roman" w:eastAsia="Times New Roman" w:hAnsi="Times New Roman" w:cs="Times New Roman"/>
          <w:b/>
          <w:noProof/>
          <w:sz w:val="28"/>
          <w:szCs w:val="28"/>
          <w:lang w:eastAsia="uk-UA"/>
        </w:rPr>
        <w:t>на 2019 рік</w:t>
      </w:r>
    </w:p>
    <w:p w:rsidR="00E920C2" w:rsidRPr="006A5D6D" w:rsidRDefault="00E920C2" w:rsidP="00E920C2">
      <w:pPr>
        <w:pStyle w:val="a9"/>
        <w:spacing w:after="0" w:line="240" w:lineRule="auto"/>
        <w:ind w:left="142"/>
        <w:jc w:val="center"/>
        <w:rPr>
          <w:rFonts w:ascii="Times New Roman" w:eastAsia="Times New Roman" w:hAnsi="Times New Roman" w:cs="Times New Roman"/>
          <w:b/>
          <w:noProof/>
          <w:sz w:val="28"/>
          <w:szCs w:val="28"/>
          <w:lang w:eastAsia="uk-UA"/>
        </w:rPr>
      </w:pPr>
    </w:p>
    <w:p w:rsidR="006A5D6D" w:rsidRDefault="006A5D6D" w:rsidP="006A5D6D">
      <w:pPr>
        <w:spacing w:after="0" w:line="240" w:lineRule="atLeast"/>
        <w:ind w:left="-426"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Фінансовий план ДП «АМПУ» на 2019 рік затверджено у грудні 2019 року розпорядженням Кабінету Міністрів України від 11.12.2019 року № 1271-р. </w:t>
      </w:r>
      <w:r w:rsidRPr="006F3D32">
        <w:rPr>
          <w:rFonts w:ascii="Times New Roman" w:hAnsi="Times New Roman" w:cs="Times New Roman"/>
          <w:sz w:val="28"/>
          <w:szCs w:val="28"/>
        </w:rPr>
        <w:t>Планові показники</w:t>
      </w:r>
      <w:r>
        <w:rPr>
          <w:rFonts w:ascii="Times New Roman" w:hAnsi="Times New Roman" w:cs="Times New Roman"/>
          <w:sz w:val="28"/>
          <w:szCs w:val="28"/>
        </w:rPr>
        <w:t xml:space="preserve"> фінансового плану ДП «АМПУ» </w:t>
      </w:r>
      <w:r w:rsidRPr="006F3D32">
        <w:rPr>
          <w:rFonts w:ascii="Times New Roman" w:hAnsi="Times New Roman" w:cs="Times New Roman"/>
          <w:sz w:val="28"/>
          <w:szCs w:val="28"/>
          <w:lang w:val="en-US"/>
        </w:rPr>
        <w:t>I</w:t>
      </w:r>
      <w:r w:rsidRPr="006F3D32">
        <w:rPr>
          <w:rFonts w:ascii="Times New Roman" w:hAnsi="Times New Roman" w:cs="Times New Roman"/>
          <w:sz w:val="28"/>
          <w:szCs w:val="28"/>
        </w:rPr>
        <w:t>-</w:t>
      </w:r>
      <w:r w:rsidRPr="006F3D32">
        <w:rPr>
          <w:rFonts w:ascii="Times New Roman" w:hAnsi="Times New Roman" w:cs="Times New Roman"/>
          <w:sz w:val="28"/>
          <w:szCs w:val="28"/>
          <w:lang w:val="en-US"/>
        </w:rPr>
        <w:t>III</w:t>
      </w:r>
      <w:r w:rsidRPr="006F3D32">
        <w:rPr>
          <w:rFonts w:ascii="Times New Roman" w:hAnsi="Times New Roman" w:cs="Times New Roman"/>
          <w:sz w:val="28"/>
          <w:szCs w:val="28"/>
        </w:rPr>
        <w:t xml:space="preserve"> кварталів 2019 року встановлені відповідно до фактично досягнутих. </w:t>
      </w:r>
      <w:r>
        <w:rPr>
          <w:rFonts w:ascii="Times New Roman" w:hAnsi="Times New Roman" w:cs="Times New Roman"/>
          <w:sz w:val="28"/>
          <w:szCs w:val="28"/>
        </w:rPr>
        <w:t xml:space="preserve"> Планові показники</w:t>
      </w:r>
      <w:r w:rsidRPr="006F3D32">
        <w:rPr>
          <w:rFonts w:ascii="Times New Roman" w:hAnsi="Times New Roman" w:cs="Times New Roman"/>
          <w:sz w:val="28"/>
          <w:szCs w:val="28"/>
        </w:rPr>
        <w:t xml:space="preserve"> </w:t>
      </w: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xml:space="preserve"> кварталу 2019 року </w:t>
      </w:r>
      <w:r>
        <w:rPr>
          <w:rFonts w:ascii="Times New Roman" w:eastAsia="Times New Roman" w:hAnsi="Times New Roman" w:cs="Times New Roman"/>
          <w:bCs/>
          <w:iCs/>
          <w:sz w:val="28"/>
          <w:szCs w:val="28"/>
        </w:rPr>
        <w:t>доопрацьовано із врахуванням зауважень Міністерс</w:t>
      </w:r>
      <w:r w:rsidR="00D04D51">
        <w:rPr>
          <w:rFonts w:ascii="Times New Roman" w:eastAsia="Times New Roman" w:hAnsi="Times New Roman" w:cs="Times New Roman"/>
          <w:bCs/>
          <w:iCs/>
          <w:sz w:val="28"/>
          <w:szCs w:val="28"/>
        </w:rPr>
        <w:t>тва фінансів України та згідно п</w:t>
      </w:r>
      <w:r>
        <w:rPr>
          <w:rFonts w:ascii="Times New Roman" w:eastAsia="Times New Roman" w:hAnsi="Times New Roman" w:cs="Times New Roman"/>
          <w:bCs/>
          <w:iCs/>
          <w:sz w:val="28"/>
          <w:szCs w:val="28"/>
        </w:rPr>
        <w:t>ротоколу наради під головуванням Державного секретаря Міністерства інфраструктури України з обговорення пропозицій та зауважень до проекту фінансового плану ДП «АМПУ » на 2019 рік від 22.11.2019 року</w:t>
      </w:r>
      <w:r>
        <w:rPr>
          <w:rFonts w:ascii="Times New Roman" w:hAnsi="Times New Roman" w:cs="Times New Roman"/>
          <w:sz w:val="28"/>
          <w:szCs w:val="28"/>
        </w:rPr>
        <w:t xml:space="preserve"> </w:t>
      </w:r>
      <w:r>
        <w:rPr>
          <w:rFonts w:ascii="Times New Roman" w:eastAsia="Times New Roman" w:hAnsi="Times New Roman" w:cs="Times New Roman"/>
          <w:bCs/>
          <w:iCs/>
          <w:sz w:val="28"/>
          <w:szCs w:val="28"/>
        </w:rPr>
        <w:t>при погодженні проекту фінансового плану ДП «АМПУ» у листопаді 2019 року.</w:t>
      </w:r>
    </w:p>
    <w:p w:rsidR="006A5D6D" w:rsidRPr="00E6160A" w:rsidRDefault="006A5D6D" w:rsidP="006A5D6D">
      <w:pPr>
        <w:spacing w:after="0" w:line="240" w:lineRule="atLeast"/>
        <w:ind w:left="-426" w:firstLine="720"/>
        <w:jc w:val="both"/>
        <w:rPr>
          <w:rFonts w:ascii="Times New Roman" w:hAnsi="Times New Roman"/>
          <w:sz w:val="28"/>
          <w:szCs w:val="28"/>
        </w:rPr>
      </w:pPr>
      <w:r w:rsidRPr="00E6160A">
        <w:rPr>
          <w:rFonts w:ascii="Times New Roman" w:hAnsi="Times New Roman" w:cs="Times New Roman"/>
          <w:sz w:val="28"/>
          <w:szCs w:val="28"/>
        </w:rPr>
        <w:t xml:space="preserve">Відповідно вимог Закону України «Про внесення змін до Закону України «Про бухгалтерський облік та фінансову звітність в Україні» ДП «АМПУ» відноситься до підприємств, що становлять суспільний інтерес та повинне складати фінансову звітність за міжнародними стандартами. Таким чином, </w:t>
      </w:r>
      <w:r w:rsidRPr="00E6160A">
        <w:rPr>
          <w:rFonts w:ascii="Times New Roman" w:eastAsia="Calibri" w:hAnsi="Times New Roman" w:cs="Times New Roman"/>
          <w:sz w:val="28"/>
          <w:szCs w:val="28"/>
        </w:rPr>
        <w:t xml:space="preserve">ДП «АМПУ» починаючи з 2019 року складає першу звітність за Міжнародними стандартами фінансової звітності (далі – МСФЗ). Для порівняльного аналізу </w:t>
      </w:r>
      <w:r w:rsidRPr="00E6160A">
        <w:rPr>
          <w:rFonts w:ascii="Times New Roman" w:eastAsia="Times New Roman" w:hAnsi="Times New Roman" w:cs="Times New Roman"/>
          <w:noProof/>
          <w:sz w:val="28"/>
          <w:szCs w:val="28"/>
          <w:lang w:eastAsia="uk-UA"/>
        </w:rPr>
        <w:t xml:space="preserve">здіснюється </w:t>
      </w:r>
      <w:r w:rsidRPr="00E6160A">
        <w:rPr>
          <w:rFonts w:ascii="Times New Roman" w:hAnsi="Times New Roman"/>
          <w:sz w:val="28"/>
          <w:szCs w:val="28"/>
        </w:rPr>
        <w:t xml:space="preserve">трансформація відповідно до вимог МСФЗ  проміжної та річної фінансової звітності ДП «АМПУ» за 2018 рік, складеної відповідно до вимог НП(С)БО. </w:t>
      </w:r>
    </w:p>
    <w:p w:rsidR="006A5D6D" w:rsidRPr="00C25644" w:rsidRDefault="006A5D6D" w:rsidP="006A5D6D">
      <w:pPr>
        <w:spacing w:after="0" w:line="240" w:lineRule="auto"/>
        <w:ind w:firstLine="567"/>
        <w:jc w:val="both"/>
        <w:rPr>
          <w:rFonts w:ascii="Times New Roman" w:eastAsia="Times New Roman" w:hAnsi="Times New Roman" w:cs="Times New Roman"/>
          <w:noProof/>
          <w:color w:val="FF0000"/>
          <w:sz w:val="28"/>
          <w:szCs w:val="28"/>
          <w:lang w:eastAsia="uk-UA"/>
        </w:rPr>
      </w:pPr>
    </w:p>
    <w:p w:rsidR="006A5D6D" w:rsidRPr="00C66319" w:rsidRDefault="006A5D6D" w:rsidP="006A5D6D">
      <w:pPr>
        <w:spacing w:after="0" w:line="240" w:lineRule="auto"/>
        <w:contextualSpacing/>
        <w:jc w:val="center"/>
        <w:rPr>
          <w:rFonts w:ascii="Times New Roman" w:eastAsia="Times New Roman" w:hAnsi="Times New Roman" w:cs="Times New Roman"/>
          <w:b/>
          <w:bCs/>
          <w:noProof/>
          <w:sz w:val="28"/>
          <w:szCs w:val="28"/>
          <w:lang w:eastAsia="ru-RU"/>
        </w:rPr>
      </w:pPr>
      <w:r w:rsidRPr="00C66319">
        <w:rPr>
          <w:rFonts w:ascii="Times New Roman" w:eastAsia="Times New Roman" w:hAnsi="Times New Roman" w:cs="Times New Roman"/>
          <w:b/>
          <w:bCs/>
          <w:noProof/>
          <w:sz w:val="28"/>
          <w:szCs w:val="28"/>
          <w:lang w:eastAsia="ru-RU"/>
        </w:rPr>
        <w:t>Розділ І</w:t>
      </w:r>
      <w:r w:rsidRPr="00C66319">
        <w:rPr>
          <w:rFonts w:ascii="Times New Roman" w:eastAsia="Times New Roman" w:hAnsi="Times New Roman" w:cs="Times New Roman"/>
          <w:b/>
          <w:bCs/>
          <w:noProof/>
          <w:sz w:val="28"/>
          <w:szCs w:val="28"/>
          <w:lang w:val="en-US" w:eastAsia="ru-RU"/>
        </w:rPr>
        <w:t>I</w:t>
      </w:r>
      <w:r w:rsidRPr="00C66319">
        <w:rPr>
          <w:rFonts w:ascii="Times New Roman" w:eastAsia="Times New Roman" w:hAnsi="Times New Roman" w:cs="Times New Roman"/>
          <w:b/>
          <w:bCs/>
          <w:noProof/>
          <w:sz w:val="28"/>
          <w:szCs w:val="28"/>
          <w:lang w:eastAsia="ru-RU"/>
        </w:rPr>
        <w:t xml:space="preserve"> Аналіз фінансово-економічних показників діяльності ДП</w:t>
      </w:r>
      <w:r>
        <w:rPr>
          <w:rFonts w:ascii="Times New Roman" w:eastAsia="Times New Roman" w:hAnsi="Times New Roman" w:cs="Times New Roman"/>
          <w:b/>
          <w:bCs/>
          <w:noProof/>
          <w:sz w:val="28"/>
          <w:szCs w:val="28"/>
          <w:lang w:eastAsia="ru-RU"/>
        </w:rPr>
        <w:t>«АМПУ»</w:t>
      </w:r>
    </w:p>
    <w:p w:rsidR="006A5D6D" w:rsidRDefault="006A5D6D" w:rsidP="006A5D6D">
      <w:pPr>
        <w:spacing w:after="0" w:line="240" w:lineRule="auto"/>
        <w:contextualSpacing/>
        <w:jc w:val="center"/>
        <w:rPr>
          <w:rFonts w:ascii="Times New Roman" w:eastAsia="Times New Roman" w:hAnsi="Times New Roman" w:cs="Times New Roman"/>
          <w:b/>
          <w:bCs/>
          <w:noProof/>
          <w:color w:val="FF0000"/>
          <w:sz w:val="28"/>
          <w:szCs w:val="28"/>
          <w:lang w:eastAsia="ru-RU"/>
        </w:rPr>
      </w:pPr>
    </w:p>
    <w:p w:rsidR="006A5D6D" w:rsidRPr="00706F84" w:rsidRDefault="006A5D6D" w:rsidP="006A5D6D">
      <w:pPr>
        <w:pStyle w:val="a3"/>
        <w:spacing w:line="240" w:lineRule="auto"/>
        <w:ind w:firstLine="851"/>
        <w:contextualSpacing/>
        <w:jc w:val="center"/>
        <w:outlineLvl w:val="2"/>
        <w:rPr>
          <w:szCs w:val="28"/>
        </w:rPr>
      </w:pPr>
      <w:r w:rsidRPr="00706F84">
        <w:rPr>
          <w:bCs/>
          <w:iCs/>
          <w:szCs w:val="28"/>
        </w:rPr>
        <w:t>І</w:t>
      </w:r>
      <w:r w:rsidRPr="00706F84">
        <w:rPr>
          <w:szCs w:val="28"/>
        </w:rPr>
        <w:t xml:space="preserve">нформація по основним </w:t>
      </w:r>
      <w:r w:rsidRPr="00706F84">
        <w:rPr>
          <w:b/>
          <w:szCs w:val="28"/>
        </w:rPr>
        <w:t>виробничо</w:t>
      </w:r>
      <w:r w:rsidRPr="00706F84">
        <w:rPr>
          <w:szCs w:val="28"/>
        </w:rPr>
        <w:t>-</w:t>
      </w:r>
      <w:r w:rsidRPr="00706F84">
        <w:rPr>
          <w:b/>
          <w:szCs w:val="28"/>
        </w:rPr>
        <w:t>економічним</w:t>
      </w:r>
      <w:r w:rsidRPr="00706F84">
        <w:rPr>
          <w:szCs w:val="28"/>
        </w:rPr>
        <w:t xml:space="preserve"> показникам</w:t>
      </w:r>
    </w:p>
    <w:p w:rsidR="006A5D6D" w:rsidRPr="00706F84" w:rsidRDefault="006A5D6D" w:rsidP="006A5D6D">
      <w:pPr>
        <w:pStyle w:val="a3"/>
        <w:spacing w:line="240" w:lineRule="auto"/>
        <w:ind w:firstLine="851"/>
        <w:contextualSpacing/>
        <w:jc w:val="right"/>
        <w:rPr>
          <w:b/>
          <w:sz w:val="24"/>
          <w:lang w:val="ru-RU" w:eastAsia="ru-RU"/>
        </w:rPr>
      </w:pPr>
      <w:r w:rsidRPr="00706F84">
        <w:rPr>
          <w:sz w:val="22"/>
          <w:szCs w:val="22"/>
        </w:rPr>
        <w:t>Таблиця 1</w:t>
      </w:r>
      <w:r w:rsidRPr="00706F84">
        <w:rPr>
          <w:szCs w:val="28"/>
        </w:rPr>
        <w:t xml:space="preserve"> ( </w:t>
      </w:r>
      <w:r w:rsidRPr="00706F84">
        <w:rPr>
          <w:sz w:val="24"/>
        </w:rPr>
        <w:t>тис. грн.)</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23"/>
        <w:gridCol w:w="1559"/>
        <w:gridCol w:w="1559"/>
        <w:gridCol w:w="1559"/>
        <w:gridCol w:w="1559"/>
      </w:tblGrid>
      <w:tr w:rsidR="006A5D6D" w:rsidRPr="00C25644" w:rsidTr="00E33D93">
        <w:trPr>
          <w:cantSplit/>
          <w:trHeight w:val="959"/>
          <w:jc w:val="center"/>
        </w:trPr>
        <w:tc>
          <w:tcPr>
            <w:tcW w:w="2405" w:type="dxa"/>
            <w:vAlign w:val="center"/>
          </w:tcPr>
          <w:p w:rsidR="006A5D6D" w:rsidRPr="002B383C" w:rsidRDefault="006A5D6D" w:rsidP="00E33D93">
            <w:pPr>
              <w:spacing w:after="0"/>
              <w:jc w:val="center"/>
              <w:rPr>
                <w:rFonts w:ascii="Times New Roman" w:hAnsi="Times New Roman" w:cs="Times New Roman"/>
                <w:iCs/>
                <w:sz w:val="20"/>
                <w:szCs w:val="20"/>
              </w:rPr>
            </w:pPr>
            <w:r w:rsidRPr="002B383C">
              <w:rPr>
                <w:rFonts w:ascii="Times New Roman" w:hAnsi="Times New Roman" w:cs="Times New Roman"/>
                <w:iCs/>
                <w:sz w:val="20"/>
                <w:szCs w:val="20"/>
              </w:rPr>
              <w:t>Показники</w:t>
            </w:r>
          </w:p>
        </w:tc>
        <w:tc>
          <w:tcPr>
            <w:tcW w:w="1423" w:type="dxa"/>
            <w:vAlign w:val="center"/>
          </w:tcPr>
          <w:p w:rsidR="006A5D6D" w:rsidRPr="0047639A" w:rsidRDefault="006A5D6D" w:rsidP="00E33D93">
            <w:pPr>
              <w:spacing w:line="240" w:lineRule="auto"/>
              <w:jc w:val="center"/>
              <w:rPr>
                <w:rFonts w:ascii="Times New Roman" w:hAnsi="Times New Roman" w:cs="Times New Roman"/>
                <w:b/>
                <w:iCs/>
                <w:sz w:val="20"/>
                <w:szCs w:val="20"/>
              </w:rPr>
            </w:pPr>
            <w:r w:rsidRPr="0047639A">
              <w:rPr>
                <w:rFonts w:ascii="Times New Roman" w:hAnsi="Times New Roman" w:cs="Times New Roman"/>
                <w:b/>
                <w:iCs/>
                <w:sz w:val="20"/>
                <w:szCs w:val="20"/>
              </w:rPr>
              <w:t>факт</w:t>
            </w:r>
          </w:p>
          <w:p w:rsidR="006A5D6D" w:rsidRPr="0047639A" w:rsidRDefault="006A5D6D" w:rsidP="00E33D93">
            <w:pPr>
              <w:spacing w:line="240" w:lineRule="auto"/>
              <w:jc w:val="center"/>
              <w:rPr>
                <w:rFonts w:ascii="Times New Roman" w:hAnsi="Times New Roman" w:cs="Times New Roman"/>
                <w:b/>
                <w:iCs/>
                <w:sz w:val="20"/>
                <w:szCs w:val="20"/>
              </w:rPr>
            </w:pPr>
            <w:r w:rsidRPr="0047639A">
              <w:rPr>
                <w:rFonts w:ascii="Times New Roman" w:hAnsi="Times New Roman" w:cs="Times New Roman"/>
                <w:b/>
                <w:iCs/>
                <w:sz w:val="20"/>
                <w:szCs w:val="20"/>
              </w:rPr>
              <w:t>201</w:t>
            </w:r>
            <w:r>
              <w:rPr>
                <w:rFonts w:ascii="Times New Roman" w:hAnsi="Times New Roman" w:cs="Times New Roman"/>
                <w:b/>
                <w:iCs/>
                <w:sz w:val="20"/>
                <w:szCs w:val="20"/>
              </w:rPr>
              <w:t>8</w:t>
            </w:r>
            <w:r w:rsidRPr="0047639A">
              <w:rPr>
                <w:rFonts w:ascii="Times New Roman" w:hAnsi="Times New Roman" w:cs="Times New Roman"/>
                <w:b/>
                <w:iCs/>
                <w:sz w:val="20"/>
                <w:szCs w:val="20"/>
              </w:rPr>
              <w:t xml:space="preserve"> року</w:t>
            </w:r>
          </w:p>
        </w:tc>
        <w:tc>
          <w:tcPr>
            <w:tcW w:w="1559" w:type="dxa"/>
            <w:vAlign w:val="center"/>
          </w:tcPr>
          <w:p w:rsidR="006A5D6D" w:rsidRPr="0047639A" w:rsidRDefault="006A5D6D" w:rsidP="00E33D93">
            <w:pPr>
              <w:spacing w:line="240" w:lineRule="auto"/>
              <w:jc w:val="center"/>
              <w:rPr>
                <w:rFonts w:ascii="Times New Roman" w:hAnsi="Times New Roman" w:cs="Times New Roman"/>
                <w:b/>
                <w:iCs/>
                <w:sz w:val="20"/>
                <w:szCs w:val="20"/>
              </w:rPr>
            </w:pPr>
            <w:r w:rsidRPr="0047639A">
              <w:rPr>
                <w:rFonts w:ascii="Times New Roman" w:hAnsi="Times New Roman" w:cs="Times New Roman"/>
                <w:b/>
                <w:iCs/>
                <w:sz w:val="20"/>
                <w:szCs w:val="20"/>
              </w:rPr>
              <w:t>план</w:t>
            </w:r>
          </w:p>
          <w:p w:rsidR="006A5D6D" w:rsidRPr="0047639A" w:rsidRDefault="006A5D6D" w:rsidP="00E33D93">
            <w:pPr>
              <w:spacing w:line="240" w:lineRule="auto"/>
              <w:jc w:val="center"/>
              <w:rPr>
                <w:rFonts w:ascii="Times New Roman" w:hAnsi="Times New Roman" w:cs="Times New Roman"/>
                <w:b/>
                <w:iCs/>
                <w:sz w:val="20"/>
                <w:szCs w:val="20"/>
              </w:rPr>
            </w:pPr>
            <w:r>
              <w:rPr>
                <w:rFonts w:ascii="Times New Roman" w:hAnsi="Times New Roman" w:cs="Times New Roman"/>
                <w:b/>
                <w:iCs/>
                <w:sz w:val="20"/>
                <w:szCs w:val="20"/>
              </w:rPr>
              <w:t>2019</w:t>
            </w:r>
            <w:r w:rsidRPr="0047639A">
              <w:rPr>
                <w:rFonts w:ascii="Times New Roman" w:hAnsi="Times New Roman" w:cs="Times New Roman"/>
                <w:b/>
                <w:iCs/>
                <w:sz w:val="20"/>
                <w:szCs w:val="20"/>
              </w:rPr>
              <w:t xml:space="preserve">    року</w:t>
            </w:r>
          </w:p>
        </w:tc>
        <w:tc>
          <w:tcPr>
            <w:tcW w:w="1559" w:type="dxa"/>
            <w:vAlign w:val="center"/>
          </w:tcPr>
          <w:p w:rsidR="006A5D6D" w:rsidRPr="0047639A" w:rsidRDefault="006A5D6D" w:rsidP="00E33D93">
            <w:pPr>
              <w:spacing w:line="240" w:lineRule="auto"/>
              <w:jc w:val="center"/>
              <w:rPr>
                <w:rFonts w:ascii="Times New Roman" w:hAnsi="Times New Roman" w:cs="Times New Roman"/>
                <w:b/>
                <w:iCs/>
                <w:sz w:val="20"/>
                <w:szCs w:val="20"/>
              </w:rPr>
            </w:pPr>
            <w:r w:rsidRPr="0047639A">
              <w:rPr>
                <w:rFonts w:ascii="Times New Roman" w:hAnsi="Times New Roman" w:cs="Times New Roman"/>
                <w:b/>
                <w:iCs/>
                <w:sz w:val="20"/>
                <w:szCs w:val="20"/>
              </w:rPr>
              <w:t>факт</w:t>
            </w:r>
          </w:p>
          <w:p w:rsidR="006A5D6D" w:rsidRPr="0047639A" w:rsidRDefault="006A5D6D" w:rsidP="00E33D93">
            <w:pPr>
              <w:spacing w:line="240" w:lineRule="auto"/>
              <w:jc w:val="center"/>
              <w:rPr>
                <w:rFonts w:ascii="Times New Roman" w:hAnsi="Times New Roman" w:cs="Times New Roman"/>
                <w:b/>
                <w:iCs/>
                <w:sz w:val="20"/>
                <w:szCs w:val="20"/>
              </w:rPr>
            </w:pPr>
            <w:r>
              <w:rPr>
                <w:rFonts w:ascii="Times New Roman" w:hAnsi="Times New Roman" w:cs="Times New Roman"/>
                <w:b/>
                <w:iCs/>
                <w:sz w:val="20"/>
                <w:szCs w:val="20"/>
              </w:rPr>
              <w:t>2019</w:t>
            </w:r>
            <w:r w:rsidRPr="0047639A">
              <w:rPr>
                <w:rFonts w:ascii="Times New Roman" w:hAnsi="Times New Roman" w:cs="Times New Roman"/>
                <w:b/>
                <w:iCs/>
                <w:sz w:val="20"/>
                <w:szCs w:val="20"/>
              </w:rPr>
              <w:t xml:space="preserve">  року</w:t>
            </w:r>
          </w:p>
        </w:tc>
        <w:tc>
          <w:tcPr>
            <w:tcW w:w="1559" w:type="dxa"/>
            <w:vAlign w:val="center"/>
          </w:tcPr>
          <w:p w:rsidR="006A5D6D" w:rsidRPr="0047639A" w:rsidRDefault="006A5D6D" w:rsidP="00E33D93">
            <w:pPr>
              <w:spacing w:line="240" w:lineRule="auto"/>
              <w:contextualSpacing/>
              <w:jc w:val="center"/>
              <w:rPr>
                <w:rFonts w:ascii="Times New Roman" w:hAnsi="Times New Roman" w:cs="Times New Roman"/>
                <w:b/>
                <w:iCs/>
                <w:sz w:val="20"/>
                <w:szCs w:val="20"/>
              </w:rPr>
            </w:pPr>
            <w:r w:rsidRPr="0047639A">
              <w:rPr>
                <w:rFonts w:ascii="Times New Roman" w:hAnsi="Times New Roman" w:cs="Times New Roman"/>
                <w:b/>
                <w:iCs/>
                <w:sz w:val="20"/>
                <w:szCs w:val="20"/>
              </w:rPr>
              <w:t>%,</w:t>
            </w:r>
          </w:p>
          <w:p w:rsidR="006A5D6D" w:rsidRPr="0047639A" w:rsidRDefault="006A5D6D" w:rsidP="00E33D93">
            <w:pPr>
              <w:spacing w:line="240" w:lineRule="auto"/>
              <w:contextualSpacing/>
              <w:jc w:val="center"/>
              <w:rPr>
                <w:rFonts w:ascii="Times New Roman" w:hAnsi="Times New Roman" w:cs="Times New Roman"/>
                <w:b/>
                <w:iCs/>
                <w:sz w:val="20"/>
                <w:szCs w:val="20"/>
              </w:rPr>
            </w:pPr>
            <w:r>
              <w:rPr>
                <w:rFonts w:ascii="Times New Roman" w:hAnsi="Times New Roman" w:cs="Times New Roman"/>
                <w:b/>
                <w:iCs/>
                <w:sz w:val="20"/>
                <w:szCs w:val="20"/>
              </w:rPr>
              <w:t>факт 2019</w:t>
            </w:r>
            <w:r w:rsidRPr="0047639A">
              <w:rPr>
                <w:rFonts w:ascii="Times New Roman" w:hAnsi="Times New Roman" w:cs="Times New Roman"/>
                <w:b/>
                <w:iCs/>
                <w:sz w:val="20"/>
                <w:szCs w:val="20"/>
              </w:rPr>
              <w:t>/план</w:t>
            </w:r>
            <w:r w:rsidRPr="0047639A">
              <w:rPr>
                <w:rFonts w:ascii="Times New Roman" w:hAnsi="Times New Roman" w:cs="Times New Roman"/>
                <w:b/>
                <w:sz w:val="20"/>
                <w:szCs w:val="20"/>
                <w:lang w:val="ru-RU" w:eastAsia="ru-RU"/>
              </w:rPr>
              <w:t xml:space="preserve"> </w:t>
            </w:r>
            <w:r>
              <w:rPr>
                <w:rFonts w:ascii="Times New Roman" w:hAnsi="Times New Roman" w:cs="Times New Roman"/>
                <w:b/>
                <w:iCs/>
                <w:sz w:val="20"/>
                <w:szCs w:val="20"/>
              </w:rPr>
              <w:t>2019</w:t>
            </w:r>
          </w:p>
        </w:tc>
        <w:tc>
          <w:tcPr>
            <w:tcW w:w="1559" w:type="dxa"/>
            <w:vAlign w:val="center"/>
          </w:tcPr>
          <w:p w:rsidR="006A5D6D" w:rsidRPr="0047639A" w:rsidRDefault="006A5D6D" w:rsidP="00E33D93">
            <w:pPr>
              <w:spacing w:line="240" w:lineRule="auto"/>
              <w:contextualSpacing/>
              <w:jc w:val="center"/>
              <w:rPr>
                <w:rFonts w:ascii="Times New Roman" w:hAnsi="Times New Roman" w:cs="Times New Roman"/>
                <w:b/>
                <w:iCs/>
                <w:sz w:val="20"/>
                <w:szCs w:val="20"/>
              </w:rPr>
            </w:pPr>
            <w:r w:rsidRPr="0047639A">
              <w:rPr>
                <w:rFonts w:ascii="Times New Roman" w:hAnsi="Times New Roman" w:cs="Times New Roman"/>
                <w:b/>
                <w:iCs/>
                <w:sz w:val="20"/>
                <w:szCs w:val="20"/>
              </w:rPr>
              <w:t>%,</w:t>
            </w:r>
          </w:p>
          <w:p w:rsidR="006A5D6D" w:rsidRPr="0047639A" w:rsidRDefault="006A5D6D" w:rsidP="00E33D93">
            <w:pP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факт 2019</w:t>
            </w:r>
            <w:r w:rsidRPr="0047639A">
              <w:rPr>
                <w:rFonts w:ascii="Times New Roman" w:hAnsi="Times New Roman" w:cs="Times New Roman"/>
                <w:b/>
                <w:iCs/>
                <w:sz w:val="20"/>
                <w:szCs w:val="20"/>
              </w:rPr>
              <w:t>/факт</w:t>
            </w:r>
            <w:r w:rsidRPr="0047639A">
              <w:rPr>
                <w:rFonts w:ascii="Times New Roman" w:hAnsi="Times New Roman" w:cs="Times New Roman"/>
                <w:b/>
                <w:sz w:val="20"/>
                <w:szCs w:val="20"/>
                <w:lang w:val="ru-RU" w:eastAsia="ru-RU"/>
              </w:rPr>
              <w:t xml:space="preserve"> </w:t>
            </w:r>
            <w:r>
              <w:rPr>
                <w:rFonts w:ascii="Times New Roman" w:hAnsi="Times New Roman" w:cs="Times New Roman"/>
                <w:b/>
                <w:iCs/>
                <w:sz w:val="20"/>
                <w:szCs w:val="20"/>
              </w:rPr>
              <w:t>2018</w:t>
            </w:r>
          </w:p>
        </w:tc>
      </w:tr>
      <w:tr w:rsidR="006A5D6D" w:rsidRPr="00D62705" w:rsidTr="00E33D93">
        <w:trPr>
          <w:trHeight w:val="284"/>
          <w:jc w:val="center"/>
        </w:trPr>
        <w:tc>
          <w:tcPr>
            <w:tcW w:w="2405" w:type="dxa"/>
            <w:vAlign w:val="center"/>
          </w:tcPr>
          <w:p w:rsidR="006A5D6D" w:rsidRPr="00D62705" w:rsidRDefault="006A5D6D" w:rsidP="00E33D93">
            <w:pPr>
              <w:spacing w:after="0" w:line="240" w:lineRule="auto"/>
              <w:rPr>
                <w:rFonts w:ascii="Times New Roman" w:hAnsi="Times New Roman" w:cs="Times New Roman"/>
                <w:bCs/>
                <w:iCs/>
              </w:rPr>
            </w:pPr>
            <w:r w:rsidRPr="00D62705">
              <w:rPr>
                <w:rFonts w:ascii="Times New Roman" w:hAnsi="Times New Roman" w:cs="Times New Roman"/>
                <w:bCs/>
                <w:iCs/>
              </w:rPr>
              <w:t>Доходи всього</w:t>
            </w:r>
          </w:p>
        </w:tc>
        <w:tc>
          <w:tcPr>
            <w:tcW w:w="1423"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6 955 158</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7 035 904</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7 283 935</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104</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105</w:t>
            </w:r>
          </w:p>
        </w:tc>
      </w:tr>
      <w:tr w:rsidR="006A5D6D" w:rsidRPr="00D62705" w:rsidTr="00E33D93">
        <w:trPr>
          <w:trHeight w:val="284"/>
          <w:jc w:val="center"/>
        </w:trPr>
        <w:tc>
          <w:tcPr>
            <w:tcW w:w="2405" w:type="dxa"/>
            <w:vAlign w:val="center"/>
          </w:tcPr>
          <w:p w:rsidR="006A5D6D" w:rsidRPr="00D62705" w:rsidRDefault="006A5D6D" w:rsidP="00E33D93">
            <w:pPr>
              <w:spacing w:line="240" w:lineRule="auto"/>
              <w:rPr>
                <w:rFonts w:ascii="Times New Roman" w:hAnsi="Times New Roman" w:cs="Times New Roman"/>
                <w:bCs/>
                <w:iCs/>
              </w:rPr>
            </w:pPr>
            <w:r w:rsidRPr="00D62705">
              <w:rPr>
                <w:rFonts w:ascii="Times New Roman" w:hAnsi="Times New Roman" w:cs="Times New Roman"/>
                <w:bCs/>
                <w:iCs/>
              </w:rPr>
              <w:t>Витрати  всього</w:t>
            </w:r>
          </w:p>
        </w:tc>
        <w:tc>
          <w:tcPr>
            <w:tcW w:w="1423"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4 120 797</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5 035 890</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5 269 432</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105</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128</w:t>
            </w:r>
          </w:p>
        </w:tc>
      </w:tr>
      <w:tr w:rsidR="006A5D6D" w:rsidRPr="00D62705" w:rsidTr="00E33D93">
        <w:trPr>
          <w:trHeight w:val="284"/>
          <w:jc w:val="center"/>
        </w:trPr>
        <w:tc>
          <w:tcPr>
            <w:tcW w:w="2405" w:type="dxa"/>
            <w:vAlign w:val="center"/>
          </w:tcPr>
          <w:p w:rsidR="006A5D6D" w:rsidRPr="00D62705" w:rsidRDefault="006A5D6D" w:rsidP="00E33D93">
            <w:pPr>
              <w:spacing w:line="240" w:lineRule="auto"/>
              <w:rPr>
                <w:rFonts w:ascii="Times New Roman" w:hAnsi="Times New Roman" w:cs="Times New Roman"/>
                <w:bCs/>
                <w:iCs/>
              </w:rPr>
            </w:pPr>
            <w:r w:rsidRPr="00D62705">
              <w:rPr>
                <w:rFonts w:ascii="Times New Roman" w:hAnsi="Times New Roman" w:cs="Times New Roman"/>
                <w:bCs/>
                <w:iCs/>
              </w:rPr>
              <w:t>Фінансовий результат до оподаткування</w:t>
            </w:r>
          </w:p>
        </w:tc>
        <w:tc>
          <w:tcPr>
            <w:tcW w:w="1423"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2 834 361</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2 000 014</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2 014 503</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101</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71</w:t>
            </w:r>
          </w:p>
        </w:tc>
      </w:tr>
      <w:tr w:rsidR="006A5D6D" w:rsidRPr="00D62705" w:rsidTr="00E33D93">
        <w:trPr>
          <w:trHeight w:val="284"/>
          <w:jc w:val="center"/>
        </w:trPr>
        <w:tc>
          <w:tcPr>
            <w:tcW w:w="2405" w:type="dxa"/>
            <w:vAlign w:val="center"/>
          </w:tcPr>
          <w:p w:rsidR="006A5D6D" w:rsidRPr="00D62705" w:rsidRDefault="006A5D6D" w:rsidP="00E33D93">
            <w:pPr>
              <w:spacing w:line="240" w:lineRule="auto"/>
              <w:rPr>
                <w:rFonts w:ascii="Times New Roman" w:hAnsi="Times New Roman" w:cs="Times New Roman"/>
                <w:bCs/>
                <w:iCs/>
              </w:rPr>
            </w:pPr>
            <w:r w:rsidRPr="00D62705">
              <w:rPr>
                <w:rFonts w:ascii="Times New Roman" w:hAnsi="Times New Roman" w:cs="Times New Roman"/>
                <w:bCs/>
                <w:iCs/>
              </w:rPr>
              <w:t>Податок на прибуток</w:t>
            </w:r>
          </w:p>
        </w:tc>
        <w:tc>
          <w:tcPr>
            <w:tcW w:w="1423"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571 408</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390 526</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383 445</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98</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67</w:t>
            </w:r>
          </w:p>
        </w:tc>
      </w:tr>
      <w:tr w:rsidR="006A5D6D" w:rsidRPr="00D62705" w:rsidTr="00E33D93">
        <w:trPr>
          <w:trHeight w:val="284"/>
          <w:jc w:val="center"/>
        </w:trPr>
        <w:tc>
          <w:tcPr>
            <w:tcW w:w="2405" w:type="dxa"/>
            <w:vAlign w:val="center"/>
          </w:tcPr>
          <w:p w:rsidR="006A5D6D" w:rsidRPr="00D62705" w:rsidRDefault="006A5D6D" w:rsidP="00E33D93">
            <w:pPr>
              <w:spacing w:line="240" w:lineRule="auto"/>
              <w:rPr>
                <w:rFonts w:ascii="Times New Roman" w:hAnsi="Times New Roman" w:cs="Times New Roman"/>
                <w:bCs/>
                <w:iCs/>
              </w:rPr>
            </w:pPr>
            <w:r w:rsidRPr="00D62705">
              <w:rPr>
                <w:rFonts w:ascii="Times New Roman" w:hAnsi="Times New Roman" w:cs="Times New Roman"/>
                <w:bCs/>
                <w:iCs/>
              </w:rPr>
              <w:t>Чистий прибуток</w:t>
            </w:r>
          </w:p>
        </w:tc>
        <w:tc>
          <w:tcPr>
            <w:tcW w:w="1423"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2 262 953</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1 609 488</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1 631 058</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101</w:t>
            </w:r>
          </w:p>
        </w:tc>
        <w:tc>
          <w:tcPr>
            <w:tcW w:w="1559" w:type="dxa"/>
            <w:vAlign w:val="center"/>
          </w:tcPr>
          <w:p w:rsidR="006A5D6D" w:rsidRPr="00D62705" w:rsidRDefault="006A5D6D" w:rsidP="00E33D93">
            <w:pPr>
              <w:spacing w:line="240" w:lineRule="auto"/>
              <w:jc w:val="center"/>
              <w:rPr>
                <w:rFonts w:ascii="Times New Roman" w:hAnsi="Times New Roman" w:cs="Times New Roman"/>
              </w:rPr>
            </w:pPr>
            <w:r w:rsidRPr="00D62705">
              <w:rPr>
                <w:rFonts w:ascii="Times New Roman" w:hAnsi="Times New Roman" w:cs="Times New Roman"/>
              </w:rPr>
              <w:t>72</w:t>
            </w:r>
          </w:p>
        </w:tc>
      </w:tr>
    </w:tbl>
    <w:p w:rsidR="006A5D6D" w:rsidRPr="00D62705" w:rsidRDefault="006A5D6D" w:rsidP="006A5D6D">
      <w:pPr>
        <w:pStyle w:val="a3"/>
        <w:spacing w:line="240" w:lineRule="auto"/>
        <w:ind w:firstLine="851"/>
        <w:contextualSpacing/>
        <w:jc w:val="center"/>
        <w:outlineLvl w:val="2"/>
        <w:rPr>
          <w:bCs/>
          <w:iCs/>
          <w:szCs w:val="28"/>
        </w:rPr>
      </w:pPr>
    </w:p>
    <w:p w:rsidR="006A5D6D" w:rsidRPr="002D42BE" w:rsidRDefault="006A5D6D" w:rsidP="006A5D6D">
      <w:pPr>
        <w:pStyle w:val="a3"/>
        <w:spacing w:line="240" w:lineRule="auto"/>
        <w:ind w:firstLine="567"/>
        <w:contextualSpacing/>
        <w:outlineLvl w:val="2"/>
        <w:rPr>
          <w:bCs/>
          <w:iCs/>
          <w:color w:val="00B050"/>
          <w:szCs w:val="28"/>
        </w:rPr>
      </w:pPr>
      <w:r>
        <w:rPr>
          <w:bCs/>
          <w:iCs/>
          <w:szCs w:val="28"/>
        </w:rPr>
        <w:t>За</w:t>
      </w:r>
      <w:r w:rsidRPr="003179BE">
        <w:rPr>
          <w:bCs/>
          <w:iCs/>
          <w:szCs w:val="28"/>
          <w:lang w:val="ru-RU"/>
        </w:rPr>
        <w:t xml:space="preserve"> </w:t>
      </w:r>
      <w:r w:rsidRPr="003179BE">
        <w:rPr>
          <w:bCs/>
          <w:iCs/>
          <w:szCs w:val="28"/>
        </w:rPr>
        <w:t xml:space="preserve">результатами діяльності ДП «АМПУ» </w:t>
      </w:r>
      <w:r w:rsidRPr="003179BE">
        <w:rPr>
          <w:szCs w:val="28"/>
          <w:lang w:eastAsia="ru-RU"/>
        </w:rPr>
        <w:t xml:space="preserve">фінансовий результат до оподаткування </w:t>
      </w:r>
      <w:r w:rsidRPr="003179BE">
        <w:rPr>
          <w:bCs/>
          <w:iCs/>
          <w:szCs w:val="28"/>
        </w:rPr>
        <w:t xml:space="preserve">за </w:t>
      </w:r>
      <w:r w:rsidRPr="003179BE">
        <w:rPr>
          <w:szCs w:val="28"/>
          <w:lang w:eastAsia="ru-RU"/>
        </w:rPr>
        <w:t xml:space="preserve">2019 рік склав  </w:t>
      </w:r>
      <w:r w:rsidRPr="003179BE">
        <w:rPr>
          <w:szCs w:val="28"/>
          <w:lang w:val="ru-RU" w:eastAsia="ru-RU"/>
        </w:rPr>
        <w:t>2</w:t>
      </w:r>
      <w:r w:rsidRPr="003179BE">
        <w:rPr>
          <w:szCs w:val="28"/>
          <w:lang w:val="en-US" w:eastAsia="ru-RU"/>
        </w:rPr>
        <w:t> </w:t>
      </w:r>
      <w:r w:rsidRPr="003179BE">
        <w:rPr>
          <w:szCs w:val="28"/>
          <w:lang w:val="ru-RU" w:eastAsia="ru-RU"/>
        </w:rPr>
        <w:t>014</w:t>
      </w:r>
      <w:r w:rsidRPr="003179BE">
        <w:rPr>
          <w:szCs w:val="28"/>
          <w:lang w:val="en-US" w:eastAsia="ru-RU"/>
        </w:rPr>
        <w:t> </w:t>
      </w:r>
      <w:r w:rsidRPr="003179BE">
        <w:rPr>
          <w:szCs w:val="28"/>
          <w:lang w:val="ru-RU" w:eastAsia="ru-RU"/>
        </w:rPr>
        <w:t>503</w:t>
      </w:r>
      <w:r w:rsidRPr="003179BE">
        <w:rPr>
          <w:b/>
          <w:szCs w:val="28"/>
          <w:lang w:val="ru-RU" w:eastAsia="ru-RU"/>
        </w:rPr>
        <w:t xml:space="preserve"> </w:t>
      </w:r>
      <w:r w:rsidRPr="003179BE">
        <w:rPr>
          <w:b/>
          <w:szCs w:val="28"/>
          <w:lang w:eastAsia="ru-RU"/>
        </w:rPr>
        <w:t xml:space="preserve"> </w:t>
      </w:r>
      <w:r w:rsidRPr="003179BE">
        <w:rPr>
          <w:szCs w:val="28"/>
          <w:lang w:eastAsia="ru-RU"/>
        </w:rPr>
        <w:t xml:space="preserve">тис. грн., що на </w:t>
      </w:r>
      <w:r w:rsidRPr="003179BE">
        <w:rPr>
          <w:szCs w:val="28"/>
          <w:lang w:val="ru-RU" w:eastAsia="ru-RU"/>
        </w:rPr>
        <w:t>14 489</w:t>
      </w:r>
      <w:r w:rsidRPr="003179BE">
        <w:rPr>
          <w:szCs w:val="28"/>
          <w:lang w:eastAsia="ru-RU"/>
        </w:rPr>
        <w:t xml:space="preserve"> тис. грн. (або на 1%) більше планового показника  2019 року та</w:t>
      </w:r>
      <w:r w:rsidRPr="002D42BE">
        <w:rPr>
          <w:color w:val="00B050"/>
          <w:szCs w:val="28"/>
          <w:lang w:eastAsia="ru-RU"/>
        </w:rPr>
        <w:t xml:space="preserve"> </w:t>
      </w:r>
      <w:r w:rsidRPr="003179BE">
        <w:rPr>
          <w:szCs w:val="28"/>
          <w:lang w:eastAsia="ru-RU"/>
        </w:rPr>
        <w:t xml:space="preserve">на </w:t>
      </w:r>
      <w:r w:rsidRPr="003179BE">
        <w:rPr>
          <w:szCs w:val="28"/>
          <w:lang w:val="ru-RU" w:eastAsia="ru-RU"/>
        </w:rPr>
        <w:t>819 858</w:t>
      </w:r>
      <w:r w:rsidRPr="003179BE">
        <w:rPr>
          <w:szCs w:val="28"/>
          <w:lang w:eastAsia="ru-RU"/>
        </w:rPr>
        <w:t xml:space="preserve"> тис. грн.  (або на 29%)  менше фактичного показника 2018 року.</w:t>
      </w:r>
      <w:r w:rsidRPr="003179BE">
        <w:rPr>
          <w:bCs/>
          <w:iCs/>
          <w:szCs w:val="28"/>
        </w:rPr>
        <w:t xml:space="preserve"> </w:t>
      </w:r>
    </w:p>
    <w:p w:rsidR="006A5D6D" w:rsidRDefault="006A5D6D" w:rsidP="006A5D6D">
      <w:pPr>
        <w:pStyle w:val="a3"/>
        <w:spacing w:line="240" w:lineRule="auto"/>
        <w:ind w:firstLine="567"/>
        <w:contextualSpacing/>
        <w:outlineLvl w:val="2"/>
        <w:rPr>
          <w:bCs/>
          <w:iCs/>
          <w:szCs w:val="28"/>
        </w:rPr>
      </w:pPr>
      <w:r w:rsidRPr="003179BE">
        <w:rPr>
          <w:bCs/>
          <w:iCs/>
          <w:szCs w:val="28"/>
        </w:rPr>
        <w:t xml:space="preserve">Податок на прибуток нараховано у розмірі </w:t>
      </w:r>
      <w:r w:rsidRPr="003179BE">
        <w:rPr>
          <w:b/>
          <w:bCs/>
          <w:iCs/>
          <w:szCs w:val="28"/>
          <w:lang w:val="ru-RU"/>
        </w:rPr>
        <w:t>383 445</w:t>
      </w:r>
      <w:r w:rsidRPr="003179BE">
        <w:rPr>
          <w:bCs/>
          <w:iCs/>
          <w:szCs w:val="28"/>
        </w:rPr>
        <w:t xml:space="preserve"> тис. грн., чистий прибуток </w:t>
      </w:r>
      <w:r>
        <w:rPr>
          <w:bCs/>
          <w:iCs/>
          <w:szCs w:val="28"/>
        </w:rPr>
        <w:t xml:space="preserve">становить </w:t>
      </w:r>
      <w:r w:rsidRPr="003179BE">
        <w:rPr>
          <w:b/>
          <w:bCs/>
          <w:iCs/>
          <w:szCs w:val="28"/>
          <w:lang w:val="ru-RU"/>
        </w:rPr>
        <w:t>1 631 058</w:t>
      </w:r>
      <w:r w:rsidRPr="003179BE">
        <w:rPr>
          <w:bCs/>
          <w:iCs/>
          <w:szCs w:val="28"/>
        </w:rPr>
        <w:t xml:space="preserve"> тис. грн., що на </w:t>
      </w:r>
      <w:r w:rsidRPr="003179BE">
        <w:rPr>
          <w:bCs/>
          <w:iCs/>
          <w:szCs w:val="28"/>
          <w:lang w:val="ru-RU"/>
        </w:rPr>
        <w:t>21 570</w:t>
      </w:r>
      <w:r w:rsidRPr="003179BE">
        <w:rPr>
          <w:bCs/>
          <w:iCs/>
          <w:szCs w:val="28"/>
        </w:rPr>
        <w:t xml:space="preserve"> тис. грн. </w:t>
      </w:r>
      <w:r w:rsidRPr="003179BE">
        <w:rPr>
          <w:szCs w:val="28"/>
          <w:lang w:eastAsia="ru-RU"/>
        </w:rPr>
        <w:t xml:space="preserve">(або на 1%) </w:t>
      </w:r>
      <w:r w:rsidRPr="003179BE">
        <w:rPr>
          <w:bCs/>
          <w:iCs/>
          <w:szCs w:val="28"/>
        </w:rPr>
        <w:t xml:space="preserve"> більше планового показника </w:t>
      </w:r>
      <w:r w:rsidRPr="003179BE">
        <w:rPr>
          <w:szCs w:val="28"/>
          <w:lang w:eastAsia="ru-RU"/>
        </w:rPr>
        <w:t>2019 року та  на 631 895 тис. грн.  (або на 28%)  менше фактичного п</w:t>
      </w:r>
      <w:r w:rsidRPr="00E33D93">
        <w:rPr>
          <w:szCs w:val="28"/>
          <w:lang w:eastAsia="ru-RU"/>
        </w:rPr>
        <w:t>оказника 2018 року.</w:t>
      </w:r>
      <w:r w:rsidRPr="00E33D93">
        <w:rPr>
          <w:bCs/>
          <w:iCs/>
          <w:szCs w:val="28"/>
        </w:rPr>
        <w:t xml:space="preserve"> </w:t>
      </w:r>
    </w:p>
    <w:p w:rsidR="0060147C" w:rsidRPr="00E33D93" w:rsidRDefault="0060147C" w:rsidP="006A5D6D">
      <w:pPr>
        <w:pStyle w:val="a3"/>
        <w:spacing w:line="240" w:lineRule="auto"/>
        <w:ind w:firstLine="567"/>
        <w:contextualSpacing/>
        <w:outlineLvl w:val="2"/>
        <w:rPr>
          <w:bCs/>
          <w:iCs/>
          <w:szCs w:val="28"/>
        </w:rPr>
      </w:pPr>
    </w:p>
    <w:p w:rsidR="00E920C2" w:rsidRPr="00E33D93" w:rsidRDefault="00E920C2" w:rsidP="00751AC0">
      <w:pPr>
        <w:spacing w:after="0" w:line="240" w:lineRule="auto"/>
        <w:ind w:firstLine="567"/>
        <w:jc w:val="both"/>
        <w:rPr>
          <w:rFonts w:ascii="Times New Roman" w:eastAsia="Times New Roman" w:hAnsi="Times New Roman" w:cs="Times New Roman"/>
          <w:noProof/>
          <w:sz w:val="28"/>
          <w:szCs w:val="28"/>
          <w:lang w:eastAsia="uk-UA"/>
        </w:rPr>
      </w:pPr>
    </w:p>
    <w:p w:rsidR="00E920C2" w:rsidRPr="00E33D93" w:rsidRDefault="00E920C2" w:rsidP="00E920C2">
      <w:pPr>
        <w:spacing w:after="120" w:line="240" w:lineRule="atLeast"/>
        <w:ind w:firstLine="708"/>
        <w:jc w:val="center"/>
        <w:rPr>
          <w:rFonts w:ascii="Times New Roman" w:eastAsia="Calibri" w:hAnsi="Times New Roman" w:cs="Times New Roman"/>
          <w:b/>
          <w:sz w:val="28"/>
          <w:szCs w:val="28"/>
        </w:rPr>
      </w:pPr>
      <w:r w:rsidRPr="00E33D93">
        <w:rPr>
          <w:rFonts w:ascii="Times New Roman" w:eastAsia="Calibri" w:hAnsi="Times New Roman" w:cs="Times New Roman"/>
          <w:b/>
          <w:sz w:val="28"/>
          <w:szCs w:val="28"/>
        </w:rPr>
        <w:lastRenderedPageBreak/>
        <w:t>Вантажообіг у морських портах України</w:t>
      </w:r>
    </w:p>
    <w:p w:rsidR="00E920C2" w:rsidRPr="005C0B93" w:rsidRDefault="004008FD" w:rsidP="00E33D93">
      <w:pPr>
        <w:spacing w:after="0" w:line="240" w:lineRule="atLeast"/>
        <w:ind w:firstLine="567"/>
        <w:jc w:val="both"/>
        <w:rPr>
          <w:rFonts w:ascii="Times New Roman" w:eastAsia="Calibri" w:hAnsi="Times New Roman" w:cs="Times New Roman"/>
          <w:sz w:val="28"/>
          <w:szCs w:val="28"/>
        </w:rPr>
      </w:pPr>
      <w:r w:rsidRPr="00E33D93">
        <w:rPr>
          <w:rFonts w:ascii="Times New Roman" w:eastAsia="Calibri" w:hAnsi="Times New Roman" w:cs="Times New Roman"/>
          <w:sz w:val="28"/>
          <w:szCs w:val="28"/>
        </w:rPr>
        <w:t xml:space="preserve">За підсумками </w:t>
      </w:r>
      <w:r w:rsidRPr="005C0B93">
        <w:rPr>
          <w:rFonts w:ascii="Times New Roman" w:eastAsia="Calibri" w:hAnsi="Times New Roman" w:cs="Times New Roman"/>
          <w:sz w:val="28"/>
          <w:szCs w:val="28"/>
        </w:rPr>
        <w:t xml:space="preserve">2019 року вантажообіг морських портів України </w:t>
      </w:r>
      <w:r w:rsidR="00B56EB5" w:rsidRPr="005C0B93">
        <w:rPr>
          <w:rFonts w:ascii="Times New Roman" w:eastAsia="Calibri" w:hAnsi="Times New Roman" w:cs="Times New Roman"/>
          <w:sz w:val="28"/>
          <w:szCs w:val="28"/>
        </w:rPr>
        <w:t xml:space="preserve">становить </w:t>
      </w:r>
      <w:r w:rsidR="005C0B93" w:rsidRPr="005C0B93">
        <w:rPr>
          <w:rFonts w:ascii="Times New Roman" w:eastAsia="Calibri" w:hAnsi="Times New Roman" w:cs="Times New Roman"/>
          <w:sz w:val="28"/>
          <w:szCs w:val="28"/>
        </w:rPr>
        <w:t xml:space="preserve">   </w:t>
      </w:r>
      <w:r w:rsidR="00E33D93" w:rsidRPr="005C0B93">
        <w:rPr>
          <w:rFonts w:ascii="Times New Roman" w:eastAsia="Calibri" w:hAnsi="Times New Roman" w:cs="Times New Roman"/>
          <w:sz w:val="28"/>
          <w:szCs w:val="28"/>
        </w:rPr>
        <w:t>160 001</w:t>
      </w:r>
      <w:r w:rsidR="00B56EB5" w:rsidRPr="005C0B93">
        <w:rPr>
          <w:rFonts w:ascii="Times New Roman" w:eastAsia="Calibri" w:hAnsi="Times New Roman" w:cs="Times New Roman"/>
          <w:sz w:val="28"/>
          <w:szCs w:val="28"/>
        </w:rPr>
        <w:t xml:space="preserve"> тис. тн. </w:t>
      </w:r>
      <w:r w:rsidR="00E33D93" w:rsidRPr="005C0B93">
        <w:rPr>
          <w:rFonts w:ascii="Times New Roman" w:eastAsia="Calibri" w:hAnsi="Times New Roman" w:cs="Times New Roman"/>
          <w:sz w:val="28"/>
          <w:szCs w:val="28"/>
        </w:rPr>
        <w:t>в</w:t>
      </w:r>
      <w:r w:rsidR="00B56EB5" w:rsidRPr="005C0B93">
        <w:rPr>
          <w:rFonts w:ascii="Times New Roman" w:eastAsia="Calibri" w:hAnsi="Times New Roman" w:cs="Times New Roman"/>
          <w:sz w:val="28"/>
          <w:szCs w:val="28"/>
        </w:rPr>
        <w:t>антажів</w:t>
      </w:r>
      <w:r w:rsidR="00E33D93" w:rsidRPr="005C0B93">
        <w:rPr>
          <w:rFonts w:ascii="Times New Roman" w:eastAsia="Calibri" w:hAnsi="Times New Roman" w:cs="Times New Roman"/>
          <w:sz w:val="28"/>
          <w:szCs w:val="28"/>
        </w:rPr>
        <w:t xml:space="preserve">, </w:t>
      </w:r>
      <w:r w:rsidR="00E920C2" w:rsidRPr="005C0B93">
        <w:rPr>
          <w:rStyle w:val="af3"/>
          <w:rFonts w:ascii="Times New Roman" w:hAnsi="Times New Roman" w:cs="Times New Roman"/>
          <w:b w:val="0"/>
          <w:sz w:val="28"/>
          <w:szCs w:val="28"/>
          <w:bdr w:val="none" w:sz="0" w:space="0" w:color="auto" w:frame="1"/>
          <w:shd w:val="clear" w:color="auto" w:fill="FFFFFF"/>
        </w:rPr>
        <w:t xml:space="preserve">що складає </w:t>
      </w:r>
      <w:r w:rsidR="005C0B93" w:rsidRPr="005C0B93">
        <w:rPr>
          <w:rStyle w:val="af3"/>
          <w:rFonts w:ascii="Times New Roman" w:hAnsi="Times New Roman" w:cs="Times New Roman"/>
          <w:b w:val="0"/>
          <w:sz w:val="28"/>
          <w:szCs w:val="28"/>
          <w:bdr w:val="none" w:sz="0" w:space="0" w:color="auto" w:frame="1"/>
          <w:shd w:val="clear" w:color="auto" w:fill="FFFFFF"/>
        </w:rPr>
        <w:t>118</w:t>
      </w:r>
      <w:r w:rsidR="005C0B93">
        <w:rPr>
          <w:rStyle w:val="af3"/>
          <w:rFonts w:ascii="Times New Roman" w:hAnsi="Times New Roman" w:cs="Times New Roman"/>
          <w:b w:val="0"/>
          <w:sz w:val="28"/>
          <w:szCs w:val="28"/>
          <w:bdr w:val="none" w:sz="0" w:space="0" w:color="auto" w:frame="1"/>
          <w:shd w:val="clear" w:color="auto" w:fill="FFFFFF"/>
        </w:rPr>
        <w:t xml:space="preserve">% </w:t>
      </w:r>
      <w:r w:rsidR="00E920C2" w:rsidRPr="005C0B93">
        <w:rPr>
          <w:rStyle w:val="af3"/>
          <w:rFonts w:ascii="Times New Roman" w:hAnsi="Times New Roman" w:cs="Times New Roman"/>
          <w:b w:val="0"/>
          <w:sz w:val="28"/>
          <w:szCs w:val="28"/>
          <w:bdr w:val="none" w:sz="0" w:space="0" w:color="auto" w:frame="1"/>
          <w:shd w:val="clear" w:color="auto" w:fill="FFFFFF"/>
        </w:rPr>
        <w:t>до аналогічного </w:t>
      </w:r>
      <w:r w:rsidR="005C0B93">
        <w:rPr>
          <w:rStyle w:val="af3"/>
          <w:rFonts w:ascii="Times New Roman" w:hAnsi="Times New Roman" w:cs="Times New Roman"/>
          <w:b w:val="0"/>
          <w:sz w:val="28"/>
          <w:szCs w:val="28"/>
          <w:bdr w:val="none" w:sz="0" w:space="0" w:color="auto" w:frame="1"/>
          <w:shd w:val="clear" w:color="auto" w:fill="FFFFFF"/>
        </w:rPr>
        <w:t xml:space="preserve"> </w:t>
      </w:r>
      <w:r w:rsidR="00E920C2" w:rsidRPr="005C0B93">
        <w:rPr>
          <w:rStyle w:val="af3"/>
          <w:rFonts w:ascii="Times New Roman" w:hAnsi="Times New Roman" w:cs="Times New Roman"/>
          <w:b w:val="0"/>
          <w:sz w:val="28"/>
          <w:szCs w:val="28"/>
          <w:bdr w:val="none" w:sz="0" w:space="0" w:color="auto" w:frame="1"/>
          <w:shd w:val="clear" w:color="auto" w:fill="FFFFFF"/>
        </w:rPr>
        <w:t>періоду минулого року</w:t>
      </w:r>
      <w:r w:rsidR="005C0B93">
        <w:rPr>
          <w:rStyle w:val="af3"/>
          <w:rFonts w:ascii="Times New Roman" w:hAnsi="Times New Roman" w:cs="Times New Roman"/>
          <w:b w:val="0"/>
          <w:sz w:val="28"/>
          <w:szCs w:val="28"/>
          <w:bdr w:val="none" w:sz="0" w:space="0" w:color="auto" w:frame="1"/>
          <w:shd w:val="clear" w:color="auto" w:fill="FFFFFF"/>
        </w:rPr>
        <w:t xml:space="preserve"> </w:t>
      </w:r>
      <w:r w:rsidR="00E920C2" w:rsidRPr="005C0B93">
        <w:rPr>
          <w:rStyle w:val="af3"/>
          <w:rFonts w:ascii="Times New Roman" w:hAnsi="Times New Roman" w:cs="Times New Roman"/>
          <w:b w:val="0"/>
          <w:sz w:val="28"/>
          <w:szCs w:val="28"/>
          <w:bdr w:val="none" w:sz="0" w:space="0" w:color="auto" w:frame="1"/>
          <w:shd w:val="clear" w:color="auto" w:fill="FFFFFF"/>
        </w:rPr>
        <w:t> (2018 р</w:t>
      </w:r>
      <w:r w:rsidR="005C0B93" w:rsidRPr="005C0B93">
        <w:rPr>
          <w:rStyle w:val="af3"/>
          <w:rFonts w:ascii="Times New Roman" w:hAnsi="Times New Roman" w:cs="Times New Roman"/>
          <w:b w:val="0"/>
          <w:sz w:val="28"/>
          <w:szCs w:val="28"/>
          <w:bdr w:val="none" w:sz="0" w:space="0" w:color="auto" w:frame="1"/>
          <w:shd w:val="clear" w:color="auto" w:fill="FFFFFF"/>
        </w:rPr>
        <w:t>і</w:t>
      </w:r>
      <w:r w:rsidR="00E920C2" w:rsidRPr="005C0B93">
        <w:rPr>
          <w:rStyle w:val="af3"/>
          <w:rFonts w:ascii="Times New Roman" w:hAnsi="Times New Roman" w:cs="Times New Roman"/>
          <w:b w:val="0"/>
          <w:sz w:val="28"/>
          <w:szCs w:val="28"/>
          <w:bdr w:val="none" w:sz="0" w:space="0" w:color="auto" w:frame="1"/>
          <w:shd w:val="clear" w:color="auto" w:fill="FFFFFF"/>
        </w:rPr>
        <w:t>к –</w:t>
      </w:r>
      <w:r w:rsidR="005C0B93" w:rsidRPr="005C0B93">
        <w:rPr>
          <w:rStyle w:val="af3"/>
          <w:rFonts w:ascii="Times New Roman" w:hAnsi="Times New Roman" w:cs="Times New Roman"/>
          <w:b w:val="0"/>
          <w:sz w:val="28"/>
          <w:szCs w:val="28"/>
          <w:bdr w:val="none" w:sz="0" w:space="0" w:color="auto" w:frame="1"/>
          <w:shd w:val="clear" w:color="auto" w:fill="FFFFFF"/>
        </w:rPr>
        <w:t xml:space="preserve"> 135 171</w:t>
      </w:r>
      <w:r w:rsidR="00A72E54" w:rsidRPr="005C0B93">
        <w:rPr>
          <w:rStyle w:val="af3"/>
          <w:rFonts w:ascii="Times New Roman" w:hAnsi="Times New Roman" w:cs="Times New Roman"/>
          <w:b w:val="0"/>
          <w:sz w:val="28"/>
          <w:szCs w:val="28"/>
          <w:bdr w:val="none" w:sz="0" w:space="0" w:color="auto" w:frame="1"/>
          <w:shd w:val="clear" w:color="auto" w:fill="FFFFFF"/>
        </w:rPr>
        <w:t xml:space="preserve"> </w:t>
      </w:r>
      <w:r w:rsidR="00E920C2" w:rsidRPr="005C0B93">
        <w:rPr>
          <w:rStyle w:val="af3"/>
          <w:rFonts w:ascii="Times New Roman" w:hAnsi="Times New Roman" w:cs="Times New Roman"/>
          <w:b w:val="0"/>
          <w:sz w:val="28"/>
          <w:szCs w:val="28"/>
          <w:bdr w:val="none" w:sz="0" w:space="0" w:color="auto" w:frame="1"/>
          <w:shd w:val="clear" w:color="auto" w:fill="FFFFFF"/>
        </w:rPr>
        <w:t>тис. тн.).</w:t>
      </w:r>
    </w:p>
    <w:p w:rsidR="00E920C2" w:rsidRPr="005C0B93" w:rsidRDefault="00E920C2" w:rsidP="00B56EB5">
      <w:pPr>
        <w:pStyle w:val="a3"/>
        <w:spacing w:line="240" w:lineRule="auto"/>
        <w:ind w:firstLine="567"/>
        <w:contextualSpacing/>
        <w:outlineLvl w:val="2"/>
        <w:rPr>
          <w:szCs w:val="28"/>
          <w:lang w:eastAsia="ru-RU"/>
        </w:rPr>
      </w:pPr>
    </w:p>
    <w:p w:rsidR="00E920C2" w:rsidRPr="005C0B93" w:rsidRDefault="00E920C2" w:rsidP="00E920C2">
      <w:pPr>
        <w:pStyle w:val="a3"/>
        <w:numPr>
          <w:ilvl w:val="0"/>
          <w:numId w:val="20"/>
        </w:numPr>
        <w:spacing w:line="240" w:lineRule="auto"/>
        <w:contextualSpacing/>
        <w:jc w:val="center"/>
        <w:outlineLvl w:val="2"/>
        <w:rPr>
          <w:b/>
          <w:sz w:val="20"/>
          <w:szCs w:val="20"/>
          <w:lang w:eastAsia="ru-RU"/>
        </w:rPr>
      </w:pPr>
      <w:r w:rsidRPr="005C0B93">
        <w:rPr>
          <w:b/>
          <w:szCs w:val="28"/>
          <w:lang w:eastAsia="ru-RU"/>
        </w:rPr>
        <w:t>Показники виконання доходної частини показників фінансового плану за 2019 р</w:t>
      </w:r>
      <w:r w:rsidR="005C0B93" w:rsidRPr="005C0B93">
        <w:rPr>
          <w:b/>
          <w:szCs w:val="28"/>
          <w:lang w:eastAsia="ru-RU"/>
        </w:rPr>
        <w:t>і</w:t>
      </w:r>
      <w:r w:rsidRPr="005C0B93">
        <w:rPr>
          <w:b/>
          <w:szCs w:val="28"/>
          <w:lang w:eastAsia="ru-RU"/>
        </w:rPr>
        <w:t>к</w:t>
      </w:r>
    </w:p>
    <w:p w:rsidR="00E920C2" w:rsidRPr="005C0B93" w:rsidRDefault="00E920C2" w:rsidP="00E920C2">
      <w:pPr>
        <w:pStyle w:val="a3"/>
        <w:spacing w:line="240" w:lineRule="auto"/>
        <w:contextualSpacing/>
        <w:jc w:val="center"/>
        <w:outlineLvl w:val="2"/>
        <w:rPr>
          <w:b/>
          <w:sz w:val="20"/>
          <w:szCs w:val="20"/>
          <w:lang w:eastAsia="ru-RU"/>
        </w:rPr>
      </w:pPr>
    </w:p>
    <w:p w:rsidR="00E920C2" w:rsidRPr="005C0B93" w:rsidRDefault="00E920C2" w:rsidP="00E920C2">
      <w:pPr>
        <w:spacing w:after="0" w:line="240" w:lineRule="auto"/>
        <w:jc w:val="center"/>
        <w:rPr>
          <w:rFonts w:ascii="Times New Roman" w:eastAsia="Times New Roman" w:hAnsi="Times New Roman" w:cs="Times New Roman"/>
          <w:b/>
          <w:sz w:val="20"/>
          <w:szCs w:val="20"/>
          <w:lang w:eastAsia="ru-RU"/>
        </w:rPr>
      </w:pPr>
    </w:p>
    <w:p w:rsidR="00941BC0" w:rsidRDefault="00E920C2" w:rsidP="00941BC0">
      <w:pPr>
        <w:spacing w:line="276" w:lineRule="auto"/>
        <w:ind w:firstLine="708"/>
        <w:jc w:val="both"/>
        <w:rPr>
          <w:rFonts w:ascii="Times New Roman" w:hAnsi="Times New Roman" w:cs="Times New Roman"/>
          <w:bCs/>
          <w:iCs/>
          <w:sz w:val="28"/>
          <w:szCs w:val="28"/>
        </w:rPr>
      </w:pPr>
      <w:r w:rsidRPr="00941BC0">
        <w:rPr>
          <w:rFonts w:ascii="Times New Roman" w:hAnsi="Times New Roman" w:cs="Times New Roman"/>
          <w:bCs/>
          <w:iCs/>
          <w:sz w:val="28"/>
          <w:szCs w:val="28"/>
        </w:rPr>
        <w:t xml:space="preserve">Доходи всього за </w:t>
      </w:r>
      <w:r w:rsidR="005C0B93" w:rsidRPr="00941BC0">
        <w:rPr>
          <w:rFonts w:ascii="Times New Roman" w:hAnsi="Times New Roman" w:cs="Times New Roman"/>
          <w:sz w:val="28"/>
          <w:szCs w:val="28"/>
          <w:lang w:eastAsia="ru-RU"/>
        </w:rPr>
        <w:t>2019 рі</w:t>
      </w:r>
      <w:r w:rsidRPr="00941BC0">
        <w:rPr>
          <w:rFonts w:ascii="Times New Roman" w:hAnsi="Times New Roman" w:cs="Times New Roman"/>
          <w:sz w:val="28"/>
          <w:szCs w:val="28"/>
          <w:lang w:eastAsia="ru-RU"/>
        </w:rPr>
        <w:t>к</w:t>
      </w:r>
      <w:r w:rsidRPr="00941BC0">
        <w:rPr>
          <w:rFonts w:ascii="Times New Roman" w:hAnsi="Times New Roman" w:cs="Times New Roman"/>
          <w:bCs/>
          <w:iCs/>
          <w:sz w:val="28"/>
          <w:szCs w:val="28"/>
        </w:rPr>
        <w:t xml:space="preserve"> склали </w:t>
      </w:r>
      <w:r w:rsidR="00941BC0" w:rsidRPr="00941BC0">
        <w:rPr>
          <w:rFonts w:ascii="Times New Roman" w:hAnsi="Times New Roman" w:cs="Times New Roman"/>
          <w:b/>
          <w:bCs/>
          <w:iCs/>
          <w:sz w:val="28"/>
          <w:szCs w:val="28"/>
        </w:rPr>
        <w:t>7 283 935</w:t>
      </w:r>
      <w:r w:rsidRPr="00941BC0">
        <w:rPr>
          <w:rFonts w:ascii="Times New Roman" w:hAnsi="Times New Roman" w:cs="Times New Roman"/>
          <w:b/>
          <w:bCs/>
          <w:iCs/>
          <w:sz w:val="28"/>
          <w:szCs w:val="28"/>
        </w:rPr>
        <w:t xml:space="preserve"> </w:t>
      </w:r>
      <w:r w:rsidRPr="00941BC0">
        <w:rPr>
          <w:rFonts w:ascii="Times New Roman" w:hAnsi="Times New Roman" w:cs="Times New Roman"/>
          <w:bCs/>
          <w:iCs/>
          <w:sz w:val="28"/>
          <w:szCs w:val="28"/>
        </w:rPr>
        <w:t xml:space="preserve">тис. грн., що </w:t>
      </w:r>
      <w:r w:rsidRPr="00941BC0">
        <w:rPr>
          <w:rFonts w:ascii="Times New Roman" w:hAnsi="Times New Roman" w:cs="Times New Roman"/>
          <w:bCs/>
          <w:iCs/>
          <w:sz w:val="28"/>
          <w:szCs w:val="28"/>
          <w:lang w:eastAsia="x-none"/>
        </w:rPr>
        <w:t xml:space="preserve">на </w:t>
      </w:r>
      <w:r w:rsidR="00941BC0" w:rsidRPr="00941BC0">
        <w:rPr>
          <w:rFonts w:ascii="Times New Roman" w:hAnsi="Times New Roman" w:cs="Times New Roman"/>
          <w:bCs/>
          <w:iCs/>
          <w:sz w:val="28"/>
          <w:szCs w:val="28"/>
          <w:lang w:eastAsia="x-none"/>
        </w:rPr>
        <w:t>248 031</w:t>
      </w:r>
      <w:r w:rsidRPr="00941BC0">
        <w:rPr>
          <w:rFonts w:ascii="Times New Roman" w:hAnsi="Times New Roman" w:cs="Times New Roman"/>
          <w:b/>
          <w:bCs/>
          <w:iCs/>
          <w:sz w:val="28"/>
          <w:szCs w:val="28"/>
          <w:lang w:eastAsia="x-none"/>
        </w:rPr>
        <w:t xml:space="preserve"> </w:t>
      </w:r>
      <w:r w:rsidR="004A44B4" w:rsidRPr="00941BC0">
        <w:rPr>
          <w:rFonts w:ascii="Times New Roman" w:hAnsi="Times New Roman" w:cs="Times New Roman"/>
          <w:bCs/>
          <w:iCs/>
          <w:sz w:val="28"/>
          <w:szCs w:val="28"/>
          <w:lang w:eastAsia="x-none"/>
        </w:rPr>
        <w:t xml:space="preserve">тис. грн. ( або на </w:t>
      </w:r>
      <w:r w:rsidR="00941BC0" w:rsidRPr="00941BC0">
        <w:rPr>
          <w:rFonts w:ascii="Times New Roman" w:hAnsi="Times New Roman" w:cs="Times New Roman"/>
          <w:bCs/>
          <w:iCs/>
          <w:sz w:val="28"/>
          <w:szCs w:val="28"/>
          <w:lang w:eastAsia="x-none"/>
        </w:rPr>
        <w:t>4</w:t>
      </w:r>
      <w:r w:rsidRPr="00941BC0">
        <w:rPr>
          <w:rFonts w:ascii="Times New Roman" w:hAnsi="Times New Roman" w:cs="Times New Roman"/>
          <w:bCs/>
          <w:iCs/>
          <w:sz w:val="28"/>
          <w:szCs w:val="28"/>
          <w:lang w:eastAsia="x-none"/>
        </w:rPr>
        <w:t xml:space="preserve"> %) </w:t>
      </w:r>
      <w:r w:rsidR="00941BC0" w:rsidRPr="00941BC0">
        <w:rPr>
          <w:rFonts w:ascii="Times New Roman" w:eastAsia="Times New Roman" w:hAnsi="Times New Roman" w:cs="Times New Roman"/>
          <w:bCs/>
          <w:iCs/>
          <w:sz w:val="28"/>
          <w:szCs w:val="28"/>
          <w:lang w:eastAsia="ru-RU"/>
        </w:rPr>
        <w:t>більше</w:t>
      </w:r>
      <w:r w:rsidR="00941BC0">
        <w:rPr>
          <w:rFonts w:ascii="Times New Roman" w:eastAsia="Times New Roman" w:hAnsi="Times New Roman" w:cs="Times New Roman"/>
          <w:bCs/>
          <w:iCs/>
          <w:sz w:val="28"/>
          <w:szCs w:val="28"/>
          <w:lang w:eastAsia="ru-RU"/>
        </w:rPr>
        <w:t xml:space="preserve"> планового показника 2019 року, та на 328 777 тис. грн. (або </w:t>
      </w:r>
      <w:r w:rsidR="00B325DB">
        <w:rPr>
          <w:rFonts w:ascii="Times New Roman" w:eastAsia="Times New Roman" w:hAnsi="Times New Roman" w:cs="Times New Roman"/>
          <w:bCs/>
          <w:iCs/>
          <w:sz w:val="28"/>
          <w:szCs w:val="28"/>
          <w:lang w:eastAsia="ru-RU"/>
        </w:rPr>
        <w:t>5</w:t>
      </w:r>
      <w:r w:rsidR="00941BC0">
        <w:rPr>
          <w:rFonts w:ascii="Times New Roman" w:eastAsia="Times New Roman" w:hAnsi="Times New Roman" w:cs="Times New Roman"/>
          <w:bCs/>
          <w:iCs/>
          <w:sz w:val="28"/>
          <w:szCs w:val="28"/>
          <w:lang w:eastAsia="ru-RU"/>
        </w:rPr>
        <w:t xml:space="preserve">%) більше фактичного показника </w:t>
      </w:r>
      <w:r w:rsidR="00941BC0" w:rsidRPr="0051764B">
        <w:rPr>
          <w:rFonts w:ascii="Times New Roman" w:eastAsia="Times New Roman" w:hAnsi="Times New Roman" w:cs="Times New Roman"/>
          <w:bCs/>
          <w:iCs/>
          <w:sz w:val="28"/>
          <w:szCs w:val="28"/>
          <w:lang w:eastAsia="ru-RU"/>
        </w:rPr>
        <w:t>за 2018 р</w:t>
      </w:r>
      <w:r w:rsidR="00941BC0">
        <w:rPr>
          <w:rFonts w:ascii="Times New Roman" w:eastAsia="Times New Roman" w:hAnsi="Times New Roman" w:cs="Times New Roman"/>
          <w:bCs/>
          <w:iCs/>
          <w:sz w:val="28"/>
          <w:szCs w:val="28"/>
          <w:lang w:eastAsia="ru-RU"/>
        </w:rPr>
        <w:t>і</w:t>
      </w:r>
      <w:r w:rsidR="00941BC0" w:rsidRPr="0051764B">
        <w:rPr>
          <w:rFonts w:ascii="Times New Roman" w:eastAsia="Times New Roman" w:hAnsi="Times New Roman" w:cs="Times New Roman"/>
          <w:bCs/>
          <w:iCs/>
          <w:sz w:val="28"/>
          <w:szCs w:val="28"/>
          <w:lang w:eastAsia="ru-RU"/>
        </w:rPr>
        <w:t xml:space="preserve">к. </w:t>
      </w:r>
    </w:p>
    <w:p w:rsidR="00751AC0" w:rsidRPr="005C0B93" w:rsidRDefault="005E6D82" w:rsidP="00941BC0">
      <w:pPr>
        <w:pStyle w:val="a3"/>
        <w:spacing w:line="240" w:lineRule="auto"/>
        <w:ind w:firstLine="851"/>
        <w:contextualSpacing/>
        <w:outlineLvl w:val="2"/>
        <w:rPr>
          <w:b/>
          <w:sz w:val="24"/>
          <w:lang w:val="ru-RU" w:eastAsia="ru-RU"/>
        </w:rPr>
      </w:pPr>
      <w:r>
        <w:rPr>
          <w:sz w:val="22"/>
          <w:szCs w:val="22"/>
        </w:rPr>
        <w:t xml:space="preserve">                                                                                                                     </w:t>
      </w:r>
      <w:r w:rsidR="00751AC0" w:rsidRPr="005C0B93">
        <w:rPr>
          <w:sz w:val="22"/>
          <w:szCs w:val="22"/>
        </w:rPr>
        <w:t>Таблиця 2</w:t>
      </w:r>
      <w:r w:rsidR="00751AC0" w:rsidRPr="005C0B93">
        <w:rPr>
          <w:szCs w:val="28"/>
        </w:rPr>
        <w:t xml:space="preserve"> ( </w:t>
      </w:r>
      <w:r w:rsidR="00751AC0" w:rsidRPr="005C0B93">
        <w:rPr>
          <w:sz w:val="24"/>
        </w:rPr>
        <w:t>тис. грн.)</w:t>
      </w:r>
    </w:p>
    <w:tbl>
      <w:tblPr>
        <w:tblW w:w="10020" w:type="dxa"/>
        <w:jc w:val="center"/>
        <w:tblLook w:val="04A0" w:firstRow="1" w:lastRow="0" w:firstColumn="1" w:lastColumn="0" w:noHBand="0" w:noVBand="1"/>
      </w:tblPr>
      <w:tblGrid>
        <w:gridCol w:w="3177"/>
        <w:gridCol w:w="1273"/>
        <w:gridCol w:w="1432"/>
        <w:gridCol w:w="1273"/>
        <w:gridCol w:w="1432"/>
        <w:gridCol w:w="1433"/>
      </w:tblGrid>
      <w:tr w:rsidR="005C0B93" w:rsidRPr="00C61B4C" w:rsidTr="00151BD5">
        <w:trPr>
          <w:trHeight w:val="539"/>
          <w:jc w:val="center"/>
        </w:trPr>
        <w:tc>
          <w:tcPr>
            <w:tcW w:w="3177" w:type="dxa"/>
            <w:vMerge w:val="restart"/>
            <w:tcBorders>
              <w:top w:val="single" w:sz="4" w:space="0" w:color="auto"/>
              <w:left w:val="single" w:sz="4" w:space="0" w:color="auto"/>
              <w:right w:val="single" w:sz="4" w:space="0" w:color="auto"/>
            </w:tcBorders>
            <w:shd w:val="clear" w:color="auto" w:fill="auto"/>
            <w:vAlign w:val="center"/>
            <w:hideMark/>
          </w:tcPr>
          <w:p w:rsidR="005C0B93" w:rsidRPr="005C0B93" w:rsidRDefault="005C0B93" w:rsidP="00A21E9A">
            <w:pPr>
              <w:jc w:val="center"/>
              <w:rPr>
                <w:rFonts w:ascii="Times New Roman" w:hAnsi="Times New Roman" w:cs="Times New Roman"/>
                <w:bCs/>
                <w:sz w:val="24"/>
                <w:szCs w:val="24"/>
                <w:lang w:eastAsia="uk-UA"/>
              </w:rPr>
            </w:pPr>
            <w:r w:rsidRPr="005C0B93">
              <w:rPr>
                <w:rFonts w:ascii="Times New Roman" w:hAnsi="Times New Roman" w:cs="Times New Roman"/>
                <w:bCs/>
                <w:sz w:val="24"/>
                <w:szCs w:val="24"/>
                <w:lang w:eastAsia="uk-UA"/>
              </w:rPr>
              <w:t>Найменування показника</w:t>
            </w:r>
          </w:p>
        </w:tc>
        <w:tc>
          <w:tcPr>
            <w:tcW w:w="1273" w:type="dxa"/>
            <w:vMerge w:val="restart"/>
            <w:tcBorders>
              <w:top w:val="single" w:sz="4" w:space="0" w:color="auto"/>
              <w:right w:val="single" w:sz="4" w:space="0" w:color="auto"/>
            </w:tcBorders>
            <w:vAlign w:val="center"/>
          </w:tcPr>
          <w:p w:rsidR="005C0B93" w:rsidRPr="005C0B93" w:rsidRDefault="005C0B93" w:rsidP="00A21E9A">
            <w:pPr>
              <w:spacing w:after="0" w:line="240" w:lineRule="auto"/>
              <w:jc w:val="center"/>
              <w:rPr>
                <w:rFonts w:ascii="Times New Roman" w:hAnsi="Times New Roman" w:cs="Times New Roman"/>
                <w:iCs/>
                <w:sz w:val="20"/>
                <w:szCs w:val="20"/>
              </w:rPr>
            </w:pPr>
            <w:r w:rsidRPr="005C0B93">
              <w:rPr>
                <w:rFonts w:ascii="Times New Roman" w:hAnsi="Times New Roman" w:cs="Times New Roman"/>
                <w:iCs/>
                <w:sz w:val="20"/>
                <w:szCs w:val="20"/>
              </w:rPr>
              <w:t>факт</w:t>
            </w:r>
          </w:p>
          <w:p w:rsidR="005C0B93" w:rsidRPr="005C0B93" w:rsidRDefault="005C0B93" w:rsidP="00A21E9A">
            <w:pPr>
              <w:spacing w:after="0" w:line="240" w:lineRule="auto"/>
              <w:jc w:val="center"/>
              <w:rPr>
                <w:rFonts w:ascii="Times New Roman" w:hAnsi="Times New Roman" w:cs="Times New Roman"/>
                <w:iCs/>
                <w:sz w:val="20"/>
                <w:szCs w:val="20"/>
              </w:rPr>
            </w:pPr>
            <w:r w:rsidRPr="005C0B93">
              <w:rPr>
                <w:rFonts w:ascii="Times New Roman" w:hAnsi="Times New Roman" w:cs="Times New Roman"/>
                <w:iCs/>
                <w:sz w:val="20"/>
                <w:szCs w:val="20"/>
              </w:rPr>
              <w:t>2018 року</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5C0B93" w:rsidRPr="005C0B93" w:rsidRDefault="005C0B93" w:rsidP="00A21E9A">
            <w:pPr>
              <w:spacing w:after="0" w:line="240" w:lineRule="auto"/>
              <w:jc w:val="center"/>
              <w:rPr>
                <w:rFonts w:ascii="Times New Roman" w:hAnsi="Times New Roman" w:cs="Times New Roman"/>
                <w:iCs/>
                <w:sz w:val="20"/>
                <w:szCs w:val="20"/>
              </w:rPr>
            </w:pPr>
            <w:r w:rsidRPr="005C0B93">
              <w:rPr>
                <w:rFonts w:ascii="Times New Roman" w:hAnsi="Times New Roman" w:cs="Times New Roman"/>
                <w:iCs/>
                <w:sz w:val="18"/>
                <w:szCs w:val="18"/>
              </w:rPr>
              <w:t>2019 рік</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5C0B93" w:rsidRPr="005C0B93" w:rsidRDefault="005C0B93" w:rsidP="005C0B93">
            <w:pPr>
              <w:spacing w:after="0" w:line="240" w:lineRule="auto"/>
              <w:jc w:val="center"/>
              <w:rPr>
                <w:rFonts w:ascii="Times New Roman" w:hAnsi="Times New Roman" w:cs="Times New Roman"/>
                <w:iCs/>
                <w:sz w:val="20"/>
                <w:szCs w:val="20"/>
              </w:rPr>
            </w:pPr>
            <w:r w:rsidRPr="005C0B93">
              <w:rPr>
                <w:rFonts w:ascii="Times New Roman" w:hAnsi="Times New Roman" w:cs="Times New Roman"/>
                <w:iCs/>
                <w:sz w:val="18"/>
                <w:szCs w:val="18"/>
              </w:rPr>
              <w:t>відхилення факту за</w:t>
            </w:r>
            <w:r w:rsidRPr="005C0B93">
              <w:rPr>
                <w:rFonts w:ascii="Times New Roman" w:hAnsi="Times New Roman" w:cs="Times New Roman"/>
                <w:sz w:val="18"/>
                <w:szCs w:val="18"/>
                <w:lang w:eastAsia="ru-RU"/>
              </w:rPr>
              <w:t xml:space="preserve"> 2019 рік</w:t>
            </w:r>
          </w:p>
        </w:tc>
      </w:tr>
      <w:tr w:rsidR="005C0B93" w:rsidRPr="00C61B4C" w:rsidTr="00151BD5">
        <w:trPr>
          <w:trHeight w:val="450"/>
          <w:jc w:val="center"/>
        </w:trPr>
        <w:tc>
          <w:tcPr>
            <w:tcW w:w="3177" w:type="dxa"/>
            <w:vMerge/>
            <w:tcBorders>
              <w:left w:val="single" w:sz="4" w:space="0" w:color="auto"/>
              <w:bottom w:val="single" w:sz="4" w:space="0" w:color="auto"/>
              <w:right w:val="single" w:sz="4" w:space="0" w:color="auto"/>
            </w:tcBorders>
            <w:shd w:val="clear" w:color="auto" w:fill="auto"/>
            <w:vAlign w:val="center"/>
          </w:tcPr>
          <w:p w:rsidR="005C0B93" w:rsidRPr="005C0B93" w:rsidRDefault="005C0B93" w:rsidP="00A21E9A">
            <w:pPr>
              <w:jc w:val="center"/>
              <w:rPr>
                <w:rFonts w:ascii="Times New Roman" w:hAnsi="Times New Roman" w:cs="Times New Roman"/>
                <w:bCs/>
                <w:sz w:val="24"/>
                <w:szCs w:val="24"/>
                <w:lang w:eastAsia="uk-UA"/>
              </w:rPr>
            </w:pPr>
          </w:p>
        </w:tc>
        <w:tc>
          <w:tcPr>
            <w:tcW w:w="1273" w:type="dxa"/>
            <w:vMerge/>
            <w:tcBorders>
              <w:bottom w:val="single" w:sz="4" w:space="0" w:color="auto"/>
              <w:right w:val="single" w:sz="4" w:space="0" w:color="auto"/>
            </w:tcBorders>
            <w:vAlign w:val="center"/>
          </w:tcPr>
          <w:p w:rsidR="005C0B93" w:rsidRPr="005C0B93" w:rsidRDefault="005C0B93" w:rsidP="00A21E9A">
            <w:pPr>
              <w:spacing w:after="0" w:line="240" w:lineRule="auto"/>
              <w:jc w:val="center"/>
              <w:rPr>
                <w:rFonts w:ascii="Times New Roman" w:hAnsi="Times New Roman" w:cs="Times New Roman"/>
                <w:i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5C0B93" w:rsidRPr="005C0B93" w:rsidRDefault="005C0B93" w:rsidP="00A21E9A">
            <w:pPr>
              <w:contextualSpacing/>
              <w:jc w:val="center"/>
              <w:rPr>
                <w:rFonts w:ascii="Times New Roman" w:hAnsi="Times New Roman" w:cs="Times New Roman"/>
                <w:iCs/>
                <w:sz w:val="20"/>
                <w:szCs w:val="20"/>
              </w:rPr>
            </w:pPr>
            <w:r w:rsidRPr="005C0B93">
              <w:rPr>
                <w:rFonts w:ascii="Times New Roman" w:hAnsi="Times New Roman" w:cs="Times New Roman"/>
                <w:iCs/>
                <w:sz w:val="20"/>
                <w:szCs w:val="20"/>
              </w:rPr>
              <w:t>план</w:t>
            </w:r>
          </w:p>
        </w:tc>
        <w:tc>
          <w:tcPr>
            <w:tcW w:w="1273" w:type="dxa"/>
            <w:tcBorders>
              <w:top w:val="single" w:sz="4" w:space="0" w:color="auto"/>
              <w:left w:val="single" w:sz="4" w:space="0" w:color="auto"/>
              <w:bottom w:val="single" w:sz="4" w:space="0" w:color="auto"/>
              <w:right w:val="single" w:sz="4" w:space="0" w:color="auto"/>
            </w:tcBorders>
            <w:vAlign w:val="center"/>
          </w:tcPr>
          <w:p w:rsidR="005C0B93" w:rsidRPr="005C0B93" w:rsidRDefault="005C0B93" w:rsidP="00A21E9A">
            <w:pPr>
              <w:spacing w:after="0" w:line="240" w:lineRule="auto"/>
              <w:jc w:val="center"/>
              <w:rPr>
                <w:rFonts w:ascii="Times New Roman" w:hAnsi="Times New Roman" w:cs="Times New Roman"/>
                <w:iCs/>
                <w:sz w:val="20"/>
                <w:szCs w:val="20"/>
              </w:rPr>
            </w:pPr>
            <w:r w:rsidRPr="005C0B93">
              <w:rPr>
                <w:rFonts w:ascii="Times New Roman" w:hAnsi="Times New Roman" w:cs="Times New Roman"/>
                <w:iCs/>
                <w:sz w:val="20"/>
                <w:szCs w:val="20"/>
              </w:rPr>
              <w:t>факт</w:t>
            </w:r>
          </w:p>
        </w:tc>
        <w:tc>
          <w:tcPr>
            <w:tcW w:w="1432" w:type="dxa"/>
            <w:tcBorders>
              <w:top w:val="single" w:sz="4" w:space="0" w:color="auto"/>
              <w:left w:val="single" w:sz="4" w:space="0" w:color="auto"/>
              <w:bottom w:val="single" w:sz="4" w:space="0" w:color="auto"/>
              <w:right w:val="single" w:sz="4" w:space="0" w:color="auto"/>
            </w:tcBorders>
            <w:vAlign w:val="center"/>
          </w:tcPr>
          <w:p w:rsidR="005C0B93" w:rsidRPr="005C0B93" w:rsidRDefault="005C0B93" w:rsidP="005C0B93">
            <w:pPr>
              <w:spacing w:after="0" w:line="240" w:lineRule="auto"/>
              <w:rPr>
                <w:rFonts w:ascii="Times New Roman" w:hAnsi="Times New Roman" w:cs="Times New Roman"/>
                <w:iCs/>
                <w:sz w:val="18"/>
                <w:szCs w:val="18"/>
              </w:rPr>
            </w:pPr>
            <w:r>
              <w:rPr>
                <w:rFonts w:ascii="Times New Roman" w:hAnsi="Times New Roman" w:cs="Times New Roman"/>
                <w:iCs/>
                <w:sz w:val="18"/>
                <w:szCs w:val="18"/>
              </w:rPr>
              <w:t xml:space="preserve"> </w:t>
            </w:r>
            <w:r w:rsidR="00CE18BB">
              <w:rPr>
                <w:rFonts w:ascii="Times New Roman" w:hAnsi="Times New Roman" w:cs="Times New Roman"/>
                <w:iCs/>
                <w:sz w:val="18"/>
                <w:szCs w:val="18"/>
              </w:rPr>
              <w:t xml:space="preserve">   </w:t>
            </w:r>
            <w:r w:rsidRPr="005C0B93">
              <w:rPr>
                <w:rFonts w:ascii="Times New Roman" w:hAnsi="Times New Roman" w:cs="Times New Roman"/>
                <w:iCs/>
                <w:sz w:val="18"/>
                <w:szCs w:val="18"/>
              </w:rPr>
              <w:t xml:space="preserve">до плану </w:t>
            </w:r>
          </w:p>
          <w:p w:rsidR="005C0B93" w:rsidRPr="005C0B93" w:rsidRDefault="005C0B93" w:rsidP="005C0B93">
            <w:pPr>
              <w:spacing w:after="0" w:line="240" w:lineRule="auto"/>
              <w:jc w:val="center"/>
              <w:rPr>
                <w:rFonts w:ascii="Times New Roman" w:hAnsi="Times New Roman" w:cs="Times New Roman"/>
                <w:iCs/>
                <w:sz w:val="20"/>
                <w:szCs w:val="20"/>
              </w:rPr>
            </w:pPr>
            <w:r w:rsidRPr="005C0B93">
              <w:rPr>
                <w:rFonts w:ascii="Times New Roman" w:hAnsi="Times New Roman" w:cs="Times New Roman"/>
                <w:sz w:val="18"/>
                <w:szCs w:val="18"/>
                <w:lang w:eastAsia="ru-RU"/>
              </w:rPr>
              <w:t>2019 року, %</w:t>
            </w:r>
          </w:p>
        </w:tc>
        <w:tc>
          <w:tcPr>
            <w:tcW w:w="1432" w:type="dxa"/>
            <w:tcBorders>
              <w:top w:val="single" w:sz="4" w:space="0" w:color="auto"/>
              <w:left w:val="single" w:sz="4" w:space="0" w:color="auto"/>
              <w:bottom w:val="single" w:sz="4" w:space="0" w:color="auto"/>
              <w:right w:val="single" w:sz="4" w:space="0" w:color="auto"/>
            </w:tcBorders>
          </w:tcPr>
          <w:p w:rsidR="005C0B93" w:rsidRPr="005C0B93" w:rsidRDefault="005C0B93" w:rsidP="005C0B93">
            <w:pPr>
              <w:contextualSpacing/>
              <w:rPr>
                <w:rFonts w:ascii="Times New Roman" w:hAnsi="Times New Roman" w:cs="Times New Roman"/>
                <w:iCs/>
                <w:sz w:val="18"/>
                <w:szCs w:val="18"/>
              </w:rPr>
            </w:pPr>
            <w:r>
              <w:rPr>
                <w:rFonts w:ascii="Times New Roman" w:hAnsi="Times New Roman" w:cs="Times New Roman"/>
                <w:iCs/>
                <w:sz w:val="18"/>
                <w:szCs w:val="18"/>
              </w:rPr>
              <w:t xml:space="preserve"> </w:t>
            </w:r>
            <w:r w:rsidR="00CE18BB">
              <w:rPr>
                <w:rFonts w:ascii="Times New Roman" w:hAnsi="Times New Roman" w:cs="Times New Roman"/>
                <w:iCs/>
                <w:sz w:val="18"/>
                <w:szCs w:val="18"/>
              </w:rPr>
              <w:t xml:space="preserve">   </w:t>
            </w:r>
            <w:r w:rsidRPr="005C0B93">
              <w:rPr>
                <w:rFonts w:ascii="Times New Roman" w:hAnsi="Times New Roman" w:cs="Times New Roman"/>
                <w:iCs/>
                <w:sz w:val="18"/>
                <w:szCs w:val="18"/>
              </w:rPr>
              <w:t xml:space="preserve">до факту </w:t>
            </w:r>
          </w:p>
          <w:p w:rsidR="005C0B93" w:rsidRPr="005C0B93" w:rsidRDefault="005C0B93" w:rsidP="005C0B93">
            <w:pPr>
              <w:contextualSpacing/>
              <w:jc w:val="center"/>
              <w:rPr>
                <w:rFonts w:ascii="Times New Roman" w:hAnsi="Times New Roman" w:cs="Times New Roman"/>
                <w:iCs/>
                <w:sz w:val="20"/>
                <w:szCs w:val="20"/>
              </w:rPr>
            </w:pPr>
            <w:r w:rsidRPr="005C0B93">
              <w:rPr>
                <w:rFonts w:ascii="Times New Roman" w:hAnsi="Times New Roman" w:cs="Times New Roman"/>
                <w:sz w:val="18"/>
                <w:szCs w:val="18"/>
                <w:lang w:eastAsia="ru-RU"/>
              </w:rPr>
              <w:t>201</w:t>
            </w:r>
            <w:r w:rsidRPr="005C0B93">
              <w:rPr>
                <w:rFonts w:ascii="Times New Roman" w:hAnsi="Times New Roman" w:cs="Times New Roman"/>
                <w:sz w:val="18"/>
                <w:szCs w:val="18"/>
                <w:lang w:val="en-US" w:eastAsia="ru-RU"/>
              </w:rPr>
              <w:t>8</w:t>
            </w:r>
            <w:r w:rsidRPr="005C0B93">
              <w:rPr>
                <w:rFonts w:ascii="Times New Roman" w:hAnsi="Times New Roman" w:cs="Times New Roman"/>
                <w:sz w:val="18"/>
                <w:szCs w:val="18"/>
                <w:lang w:eastAsia="ru-RU"/>
              </w:rPr>
              <w:t xml:space="preserve"> року, %</w:t>
            </w:r>
          </w:p>
        </w:tc>
      </w:tr>
      <w:tr w:rsidR="005C0B93" w:rsidRPr="00C61B4C" w:rsidTr="00151BD5">
        <w:trPr>
          <w:trHeight w:val="307"/>
          <w:jc w:val="center"/>
        </w:trPr>
        <w:tc>
          <w:tcPr>
            <w:tcW w:w="3177" w:type="dxa"/>
            <w:tcBorders>
              <w:top w:val="nil"/>
              <w:left w:val="single" w:sz="4" w:space="0" w:color="auto"/>
              <w:bottom w:val="single" w:sz="4" w:space="0" w:color="auto"/>
              <w:right w:val="single" w:sz="4" w:space="0" w:color="auto"/>
            </w:tcBorders>
            <w:shd w:val="clear" w:color="auto" w:fill="auto"/>
            <w:vAlign w:val="center"/>
            <w:hideMark/>
          </w:tcPr>
          <w:p w:rsidR="005C0B93" w:rsidRPr="005C0B93" w:rsidRDefault="005C0B93" w:rsidP="004A44B4">
            <w:pPr>
              <w:rPr>
                <w:rFonts w:ascii="Times New Roman" w:hAnsi="Times New Roman" w:cs="Times New Roman"/>
                <w:b/>
                <w:bCs/>
                <w:lang w:eastAsia="uk-UA"/>
              </w:rPr>
            </w:pPr>
            <w:r w:rsidRPr="005C0B93">
              <w:rPr>
                <w:rFonts w:ascii="Times New Roman" w:hAnsi="Times New Roman" w:cs="Times New Roman"/>
                <w:b/>
                <w:bCs/>
                <w:lang w:eastAsia="uk-UA"/>
              </w:rPr>
              <w:t xml:space="preserve">Доходи всього, у т.ч. </w:t>
            </w:r>
          </w:p>
        </w:tc>
        <w:tc>
          <w:tcPr>
            <w:tcW w:w="1273" w:type="dxa"/>
            <w:tcBorders>
              <w:top w:val="single" w:sz="4" w:space="0" w:color="auto"/>
              <w:left w:val="nil"/>
              <w:bottom w:val="single" w:sz="4" w:space="0" w:color="auto"/>
              <w:right w:val="single" w:sz="4" w:space="0" w:color="auto"/>
            </w:tcBorders>
            <w:shd w:val="clear" w:color="auto" w:fill="auto"/>
            <w:vAlign w:val="center"/>
          </w:tcPr>
          <w:p w:rsidR="005C0B93" w:rsidRPr="005C0B93" w:rsidRDefault="005C0B93" w:rsidP="004A44B4">
            <w:pPr>
              <w:jc w:val="center"/>
              <w:rPr>
                <w:rFonts w:ascii="Times New Roman" w:hAnsi="Times New Roman" w:cs="Times New Roman"/>
                <w:b/>
              </w:rPr>
            </w:pPr>
            <w:r w:rsidRPr="005C0B93">
              <w:rPr>
                <w:rFonts w:ascii="Times New Roman" w:hAnsi="Times New Roman" w:cs="Times New Roman"/>
                <w:b/>
              </w:rPr>
              <w:t>6 955 158</w:t>
            </w:r>
          </w:p>
        </w:tc>
        <w:tc>
          <w:tcPr>
            <w:tcW w:w="1432" w:type="dxa"/>
            <w:tcBorders>
              <w:top w:val="single" w:sz="4" w:space="0" w:color="auto"/>
              <w:left w:val="nil"/>
              <w:bottom w:val="single" w:sz="4" w:space="0" w:color="auto"/>
              <w:right w:val="single" w:sz="4" w:space="0" w:color="auto"/>
            </w:tcBorders>
            <w:shd w:val="clear" w:color="auto" w:fill="auto"/>
            <w:vAlign w:val="center"/>
          </w:tcPr>
          <w:p w:rsidR="005C0B93" w:rsidRPr="00CE18BB" w:rsidRDefault="00CE18BB" w:rsidP="00CE18BB">
            <w:pPr>
              <w:jc w:val="center"/>
              <w:rPr>
                <w:rFonts w:ascii="Times New Roman" w:hAnsi="Times New Roman" w:cs="Times New Roman"/>
                <w:b/>
              </w:rPr>
            </w:pPr>
            <w:r w:rsidRPr="00CE18BB">
              <w:rPr>
                <w:rFonts w:ascii="Times New Roman" w:hAnsi="Times New Roman" w:cs="Times New Roman"/>
                <w:b/>
              </w:rPr>
              <w:t>7 035 904</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5C0B93" w:rsidRPr="00CE18BB" w:rsidRDefault="005C0B93" w:rsidP="004A44B4">
            <w:pPr>
              <w:jc w:val="center"/>
              <w:rPr>
                <w:rFonts w:ascii="Times New Roman" w:hAnsi="Times New Roman" w:cs="Times New Roman"/>
                <w:b/>
              </w:rPr>
            </w:pPr>
            <w:r w:rsidRPr="00CE18BB">
              <w:rPr>
                <w:rFonts w:ascii="Times New Roman" w:hAnsi="Times New Roman" w:cs="Times New Roman"/>
                <w:b/>
              </w:rPr>
              <w:t>7 283 935</w:t>
            </w:r>
          </w:p>
        </w:tc>
        <w:tc>
          <w:tcPr>
            <w:tcW w:w="1432" w:type="dxa"/>
            <w:tcBorders>
              <w:top w:val="single" w:sz="4" w:space="0" w:color="auto"/>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b/>
              </w:rPr>
            </w:pPr>
            <w:r w:rsidRPr="00941BC0">
              <w:rPr>
                <w:rFonts w:ascii="Times New Roman" w:hAnsi="Times New Roman" w:cs="Times New Roman"/>
                <w:b/>
              </w:rPr>
              <w:t>104</w:t>
            </w:r>
          </w:p>
        </w:tc>
        <w:tc>
          <w:tcPr>
            <w:tcW w:w="1432" w:type="dxa"/>
            <w:tcBorders>
              <w:top w:val="single" w:sz="4" w:space="0" w:color="auto"/>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b/>
              </w:rPr>
            </w:pPr>
            <w:r w:rsidRPr="00941BC0">
              <w:rPr>
                <w:rFonts w:ascii="Times New Roman" w:hAnsi="Times New Roman" w:cs="Times New Roman"/>
                <w:b/>
              </w:rPr>
              <w:t>105</w:t>
            </w:r>
          </w:p>
        </w:tc>
      </w:tr>
      <w:tr w:rsidR="005C0B93" w:rsidRPr="00C61B4C" w:rsidTr="00151BD5">
        <w:trPr>
          <w:trHeight w:val="307"/>
          <w:jc w:val="center"/>
        </w:trPr>
        <w:tc>
          <w:tcPr>
            <w:tcW w:w="3177" w:type="dxa"/>
            <w:tcBorders>
              <w:top w:val="nil"/>
              <w:left w:val="single" w:sz="4" w:space="0" w:color="auto"/>
              <w:bottom w:val="single" w:sz="4" w:space="0" w:color="auto"/>
              <w:right w:val="single" w:sz="4" w:space="0" w:color="auto"/>
            </w:tcBorders>
            <w:shd w:val="clear" w:color="auto" w:fill="auto"/>
            <w:vAlign w:val="center"/>
            <w:hideMark/>
          </w:tcPr>
          <w:p w:rsidR="005C0B93" w:rsidRPr="005C0B93" w:rsidRDefault="005C0B93" w:rsidP="004A44B4">
            <w:pPr>
              <w:rPr>
                <w:rFonts w:ascii="Times New Roman" w:hAnsi="Times New Roman" w:cs="Times New Roman"/>
                <w:lang w:eastAsia="uk-UA"/>
              </w:rPr>
            </w:pPr>
            <w:r w:rsidRPr="005C0B93">
              <w:rPr>
                <w:rFonts w:ascii="Times New Roman" w:hAnsi="Times New Roman" w:cs="Times New Roman"/>
                <w:lang w:eastAsia="uk-UA"/>
              </w:rPr>
              <w:t>чистий дохід</w:t>
            </w:r>
          </w:p>
        </w:tc>
        <w:tc>
          <w:tcPr>
            <w:tcW w:w="1273" w:type="dxa"/>
            <w:tcBorders>
              <w:top w:val="nil"/>
              <w:left w:val="nil"/>
              <w:bottom w:val="single" w:sz="4" w:space="0" w:color="auto"/>
              <w:right w:val="single" w:sz="4" w:space="0" w:color="auto"/>
            </w:tcBorders>
            <w:shd w:val="clear" w:color="auto" w:fill="auto"/>
            <w:vAlign w:val="center"/>
          </w:tcPr>
          <w:p w:rsidR="005C0B93" w:rsidRPr="005C0B93" w:rsidRDefault="005C0B93" w:rsidP="004A44B4">
            <w:pPr>
              <w:jc w:val="center"/>
              <w:rPr>
                <w:rFonts w:ascii="Times New Roman" w:hAnsi="Times New Roman" w:cs="Times New Roman"/>
              </w:rPr>
            </w:pPr>
            <w:r w:rsidRPr="005C0B93">
              <w:rPr>
                <w:rFonts w:ascii="Times New Roman" w:hAnsi="Times New Roman" w:cs="Times New Roman"/>
              </w:rPr>
              <w:t>6 525 818</w:t>
            </w:r>
          </w:p>
        </w:tc>
        <w:tc>
          <w:tcPr>
            <w:tcW w:w="1432" w:type="dxa"/>
            <w:tcBorders>
              <w:top w:val="nil"/>
              <w:left w:val="nil"/>
              <w:bottom w:val="single" w:sz="4" w:space="0" w:color="auto"/>
              <w:right w:val="single" w:sz="4" w:space="0" w:color="auto"/>
            </w:tcBorders>
            <w:shd w:val="clear" w:color="auto" w:fill="auto"/>
            <w:vAlign w:val="center"/>
          </w:tcPr>
          <w:p w:rsidR="005C0B93" w:rsidRPr="00CE18BB" w:rsidRDefault="00CE18BB" w:rsidP="004A44B4">
            <w:pPr>
              <w:jc w:val="center"/>
              <w:rPr>
                <w:rFonts w:ascii="Times New Roman" w:hAnsi="Times New Roman" w:cs="Times New Roman"/>
              </w:rPr>
            </w:pPr>
            <w:r w:rsidRPr="00CE18BB">
              <w:rPr>
                <w:rFonts w:ascii="Times New Roman" w:hAnsi="Times New Roman" w:cs="Times New Roman"/>
              </w:rPr>
              <w:t>6 782 903</w:t>
            </w:r>
          </w:p>
        </w:tc>
        <w:tc>
          <w:tcPr>
            <w:tcW w:w="1273" w:type="dxa"/>
            <w:tcBorders>
              <w:top w:val="nil"/>
              <w:left w:val="nil"/>
              <w:bottom w:val="single" w:sz="4" w:space="0" w:color="auto"/>
              <w:right w:val="single" w:sz="4" w:space="0" w:color="auto"/>
            </w:tcBorders>
            <w:shd w:val="clear" w:color="000000" w:fill="FFFFFF"/>
            <w:vAlign w:val="center"/>
          </w:tcPr>
          <w:p w:rsidR="005C0B93" w:rsidRPr="00CE18BB" w:rsidRDefault="005C0B93" w:rsidP="004A44B4">
            <w:pPr>
              <w:jc w:val="center"/>
              <w:rPr>
                <w:rFonts w:ascii="Times New Roman" w:hAnsi="Times New Roman" w:cs="Times New Roman"/>
              </w:rPr>
            </w:pPr>
            <w:r w:rsidRPr="00CE18BB">
              <w:rPr>
                <w:rFonts w:ascii="Times New Roman" w:hAnsi="Times New Roman" w:cs="Times New Roman"/>
              </w:rPr>
              <w:t>7 020 799</w:t>
            </w:r>
          </w:p>
        </w:tc>
        <w:tc>
          <w:tcPr>
            <w:tcW w:w="1432" w:type="dxa"/>
            <w:tcBorders>
              <w:top w:val="nil"/>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rPr>
            </w:pPr>
            <w:r w:rsidRPr="00941BC0">
              <w:rPr>
                <w:rFonts w:ascii="Times New Roman" w:hAnsi="Times New Roman" w:cs="Times New Roman"/>
              </w:rPr>
              <w:t>104</w:t>
            </w:r>
          </w:p>
        </w:tc>
        <w:tc>
          <w:tcPr>
            <w:tcW w:w="1432" w:type="dxa"/>
            <w:tcBorders>
              <w:top w:val="nil"/>
              <w:left w:val="nil"/>
              <w:bottom w:val="single" w:sz="4" w:space="0" w:color="auto"/>
              <w:right w:val="single" w:sz="4" w:space="0" w:color="auto"/>
            </w:tcBorders>
            <w:shd w:val="clear" w:color="000000" w:fill="FFFFFF"/>
            <w:vAlign w:val="center"/>
          </w:tcPr>
          <w:p w:rsidR="005C0B93" w:rsidRPr="00941BC0" w:rsidRDefault="00941BC0" w:rsidP="00CE18BB">
            <w:pPr>
              <w:jc w:val="center"/>
              <w:rPr>
                <w:rFonts w:ascii="Times New Roman" w:hAnsi="Times New Roman" w:cs="Times New Roman"/>
              </w:rPr>
            </w:pPr>
            <w:r w:rsidRPr="00941BC0">
              <w:rPr>
                <w:rFonts w:ascii="Times New Roman" w:hAnsi="Times New Roman" w:cs="Times New Roman"/>
              </w:rPr>
              <w:t>108</w:t>
            </w:r>
          </w:p>
        </w:tc>
      </w:tr>
      <w:tr w:rsidR="005C0B93" w:rsidRPr="00C61B4C" w:rsidTr="00151BD5">
        <w:trPr>
          <w:trHeight w:val="307"/>
          <w:jc w:val="center"/>
        </w:trPr>
        <w:tc>
          <w:tcPr>
            <w:tcW w:w="3177" w:type="dxa"/>
            <w:tcBorders>
              <w:top w:val="nil"/>
              <w:left w:val="single" w:sz="4" w:space="0" w:color="auto"/>
              <w:bottom w:val="single" w:sz="4" w:space="0" w:color="auto"/>
              <w:right w:val="single" w:sz="4" w:space="0" w:color="auto"/>
            </w:tcBorders>
            <w:shd w:val="clear" w:color="auto" w:fill="auto"/>
            <w:vAlign w:val="center"/>
            <w:hideMark/>
          </w:tcPr>
          <w:p w:rsidR="005C0B93" w:rsidRPr="005C0B93" w:rsidRDefault="005C0B93" w:rsidP="004A44B4">
            <w:pPr>
              <w:rPr>
                <w:rFonts w:ascii="Times New Roman" w:hAnsi="Times New Roman" w:cs="Times New Roman"/>
                <w:lang w:eastAsia="uk-UA"/>
              </w:rPr>
            </w:pPr>
            <w:r w:rsidRPr="005C0B93">
              <w:rPr>
                <w:rFonts w:ascii="Times New Roman" w:hAnsi="Times New Roman" w:cs="Times New Roman"/>
                <w:lang w:eastAsia="uk-UA"/>
              </w:rPr>
              <w:t>інші операційні доходи</w:t>
            </w:r>
          </w:p>
        </w:tc>
        <w:tc>
          <w:tcPr>
            <w:tcW w:w="1273" w:type="dxa"/>
            <w:tcBorders>
              <w:top w:val="nil"/>
              <w:left w:val="nil"/>
              <w:bottom w:val="single" w:sz="4" w:space="0" w:color="auto"/>
              <w:right w:val="single" w:sz="4" w:space="0" w:color="auto"/>
            </w:tcBorders>
            <w:shd w:val="clear" w:color="auto" w:fill="auto"/>
            <w:vAlign w:val="center"/>
          </w:tcPr>
          <w:p w:rsidR="005C0B93" w:rsidRPr="005C0B93" w:rsidRDefault="005C0B93" w:rsidP="004A44B4">
            <w:pPr>
              <w:jc w:val="center"/>
              <w:rPr>
                <w:rFonts w:ascii="Times New Roman" w:hAnsi="Times New Roman" w:cs="Times New Roman"/>
              </w:rPr>
            </w:pPr>
            <w:r w:rsidRPr="005C0B93">
              <w:rPr>
                <w:rFonts w:ascii="Times New Roman" w:hAnsi="Times New Roman" w:cs="Times New Roman"/>
              </w:rPr>
              <w:t>380 128</w:t>
            </w:r>
          </w:p>
        </w:tc>
        <w:tc>
          <w:tcPr>
            <w:tcW w:w="1432" w:type="dxa"/>
            <w:tcBorders>
              <w:top w:val="nil"/>
              <w:left w:val="nil"/>
              <w:bottom w:val="single" w:sz="4" w:space="0" w:color="auto"/>
              <w:right w:val="single" w:sz="4" w:space="0" w:color="auto"/>
            </w:tcBorders>
            <w:shd w:val="clear" w:color="auto" w:fill="auto"/>
            <w:vAlign w:val="center"/>
          </w:tcPr>
          <w:p w:rsidR="005C0B93" w:rsidRPr="00CE18BB" w:rsidRDefault="00CE18BB" w:rsidP="004A44B4">
            <w:pPr>
              <w:jc w:val="center"/>
              <w:rPr>
                <w:rFonts w:ascii="Times New Roman" w:hAnsi="Times New Roman" w:cs="Times New Roman"/>
              </w:rPr>
            </w:pPr>
            <w:r w:rsidRPr="00CE18BB">
              <w:rPr>
                <w:rFonts w:ascii="Times New Roman" w:hAnsi="Times New Roman" w:cs="Times New Roman"/>
              </w:rPr>
              <w:t>204 250</w:t>
            </w:r>
          </w:p>
        </w:tc>
        <w:tc>
          <w:tcPr>
            <w:tcW w:w="1273" w:type="dxa"/>
            <w:tcBorders>
              <w:top w:val="nil"/>
              <w:left w:val="nil"/>
              <w:bottom w:val="single" w:sz="4" w:space="0" w:color="auto"/>
              <w:right w:val="single" w:sz="4" w:space="0" w:color="auto"/>
            </w:tcBorders>
            <w:shd w:val="clear" w:color="000000" w:fill="FFFFFF"/>
            <w:vAlign w:val="center"/>
          </w:tcPr>
          <w:p w:rsidR="005C0B93" w:rsidRPr="00CE18BB" w:rsidRDefault="005C0B93" w:rsidP="004A44B4">
            <w:pPr>
              <w:jc w:val="center"/>
              <w:rPr>
                <w:rFonts w:ascii="Times New Roman" w:hAnsi="Times New Roman" w:cs="Times New Roman"/>
              </w:rPr>
            </w:pPr>
            <w:r w:rsidRPr="00CE18BB">
              <w:rPr>
                <w:rFonts w:ascii="Times New Roman" w:hAnsi="Times New Roman" w:cs="Times New Roman"/>
              </w:rPr>
              <w:t>215 393</w:t>
            </w:r>
          </w:p>
        </w:tc>
        <w:tc>
          <w:tcPr>
            <w:tcW w:w="1432" w:type="dxa"/>
            <w:tcBorders>
              <w:top w:val="nil"/>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rPr>
            </w:pPr>
            <w:r w:rsidRPr="00941BC0">
              <w:rPr>
                <w:rFonts w:ascii="Times New Roman" w:hAnsi="Times New Roman" w:cs="Times New Roman"/>
              </w:rPr>
              <w:t>105</w:t>
            </w:r>
          </w:p>
        </w:tc>
        <w:tc>
          <w:tcPr>
            <w:tcW w:w="1432" w:type="dxa"/>
            <w:tcBorders>
              <w:top w:val="nil"/>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rPr>
            </w:pPr>
            <w:r w:rsidRPr="00941BC0">
              <w:rPr>
                <w:rFonts w:ascii="Times New Roman" w:hAnsi="Times New Roman" w:cs="Times New Roman"/>
              </w:rPr>
              <w:t>57</w:t>
            </w:r>
          </w:p>
        </w:tc>
      </w:tr>
      <w:tr w:rsidR="005C0B93" w:rsidRPr="00C61B4C" w:rsidTr="00151BD5">
        <w:trPr>
          <w:trHeight w:val="307"/>
          <w:jc w:val="center"/>
        </w:trPr>
        <w:tc>
          <w:tcPr>
            <w:tcW w:w="3177" w:type="dxa"/>
            <w:tcBorders>
              <w:top w:val="nil"/>
              <w:left w:val="single" w:sz="4" w:space="0" w:color="auto"/>
              <w:bottom w:val="single" w:sz="4" w:space="0" w:color="auto"/>
              <w:right w:val="single" w:sz="4" w:space="0" w:color="auto"/>
            </w:tcBorders>
            <w:shd w:val="clear" w:color="auto" w:fill="auto"/>
            <w:vAlign w:val="center"/>
            <w:hideMark/>
          </w:tcPr>
          <w:p w:rsidR="005C0B93" w:rsidRPr="005C0B93" w:rsidRDefault="005C0B93" w:rsidP="004A44B4">
            <w:pPr>
              <w:rPr>
                <w:rFonts w:ascii="Times New Roman" w:hAnsi="Times New Roman" w:cs="Times New Roman"/>
                <w:lang w:eastAsia="uk-UA"/>
              </w:rPr>
            </w:pPr>
            <w:r w:rsidRPr="005C0B93">
              <w:rPr>
                <w:rFonts w:ascii="Times New Roman" w:hAnsi="Times New Roman" w:cs="Times New Roman"/>
                <w:lang w:eastAsia="uk-UA"/>
              </w:rPr>
              <w:t>інші фінансові доходи</w:t>
            </w:r>
          </w:p>
        </w:tc>
        <w:tc>
          <w:tcPr>
            <w:tcW w:w="1273" w:type="dxa"/>
            <w:tcBorders>
              <w:top w:val="nil"/>
              <w:left w:val="nil"/>
              <w:bottom w:val="single" w:sz="4" w:space="0" w:color="auto"/>
              <w:right w:val="single" w:sz="4" w:space="0" w:color="auto"/>
            </w:tcBorders>
            <w:shd w:val="clear" w:color="auto" w:fill="auto"/>
            <w:vAlign w:val="center"/>
          </w:tcPr>
          <w:p w:rsidR="005C0B93" w:rsidRPr="005C0B93" w:rsidRDefault="005C0B93" w:rsidP="004A44B4">
            <w:pPr>
              <w:jc w:val="center"/>
              <w:rPr>
                <w:rFonts w:ascii="Times New Roman" w:hAnsi="Times New Roman" w:cs="Times New Roman"/>
              </w:rPr>
            </w:pPr>
            <w:r w:rsidRPr="005C0B93">
              <w:rPr>
                <w:rFonts w:ascii="Times New Roman" w:hAnsi="Times New Roman" w:cs="Times New Roman"/>
              </w:rPr>
              <w:t>36 396</w:t>
            </w:r>
          </w:p>
        </w:tc>
        <w:tc>
          <w:tcPr>
            <w:tcW w:w="1432" w:type="dxa"/>
            <w:tcBorders>
              <w:top w:val="nil"/>
              <w:left w:val="nil"/>
              <w:bottom w:val="single" w:sz="4" w:space="0" w:color="auto"/>
              <w:right w:val="single" w:sz="4" w:space="0" w:color="auto"/>
            </w:tcBorders>
            <w:shd w:val="clear" w:color="auto" w:fill="auto"/>
            <w:vAlign w:val="center"/>
          </w:tcPr>
          <w:p w:rsidR="005C0B93" w:rsidRPr="00CE18BB" w:rsidRDefault="00CE18BB" w:rsidP="004A44B4">
            <w:pPr>
              <w:jc w:val="center"/>
              <w:rPr>
                <w:rFonts w:ascii="Times New Roman" w:hAnsi="Times New Roman" w:cs="Times New Roman"/>
              </w:rPr>
            </w:pPr>
            <w:r w:rsidRPr="00CE18BB">
              <w:rPr>
                <w:rFonts w:ascii="Times New Roman" w:hAnsi="Times New Roman" w:cs="Times New Roman"/>
              </w:rPr>
              <w:t>37 218</w:t>
            </w:r>
          </w:p>
        </w:tc>
        <w:tc>
          <w:tcPr>
            <w:tcW w:w="1273" w:type="dxa"/>
            <w:tcBorders>
              <w:top w:val="nil"/>
              <w:left w:val="nil"/>
              <w:bottom w:val="single" w:sz="4" w:space="0" w:color="auto"/>
              <w:right w:val="single" w:sz="4" w:space="0" w:color="auto"/>
            </w:tcBorders>
            <w:shd w:val="clear" w:color="000000" w:fill="FFFFFF"/>
            <w:vAlign w:val="center"/>
          </w:tcPr>
          <w:p w:rsidR="005C0B93" w:rsidRPr="00CE18BB" w:rsidRDefault="005C0B93" w:rsidP="004A44B4">
            <w:pPr>
              <w:jc w:val="center"/>
              <w:rPr>
                <w:rFonts w:ascii="Times New Roman" w:hAnsi="Times New Roman" w:cs="Times New Roman"/>
              </w:rPr>
            </w:pPr>
            <w:r w:rsidRPr="00CE18BB">
              <w:rPr>
                <w:rFonts w:ascii="Times New Roman" w:hAnsi="Times New Roman" w:cs="Times New Roman"/>
              </w:rPr>
              <w:t>35 860</w:t>
            </w:r>
          </w:p>
        </w:tc>
        <w:tc>
          <w:tcPr>
            <w:tcW w:w="1432" w:type="dxa"/>
            <w:tcBorders>
              <w:top w:val="nil"/>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rPr>
            </w:pPr>
            <w:r w:rsidRPr="00941BC0">
              <w:rPr>
                <w:rFonts w:ascii="Times New Roman" w:hAnsi="Times New Roman" w:cs="Times New Roman"/>
              </w:rPr>
              <w:t>96</w:t>
            </w:r>
          </w:p>
        </w:tc>
        <w:tc>
          <w:tcPr>
            <w:tcW w:w="1432" w:type="dxa"/>
            <w:tcBorders>
              <w:top w:val="nil"/>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rPr>
            </w:pPr>
            <w:r w:rsidRPr="00941BC0">
              <w:rPr>
                <w:rFonts w:ascii="Times New Roman" w:hAnsi="Times New Roman" w:cs="Times New Roman"/>
              </w:rPr>
              <w:t>99</w:t>
            </w:r>
          </w:p>
        </w:tc>
      </w:tr>
      <w:tr w:rsidR="005C0B93" w:rsidRPr="00C61B4C" w:rsidTr="00151BD5">
        <w:trPr>
          <w:trHeight w:val="307"/>
          <w:jc w:val="center"/>
        </w:trPr>
        <w:tc>
          <w:tcPr>
            <w:tcW w:w="3177" w:type="dxa"/>
            <w:tcBorders>
              <w:top w:val="nil"/>
              <w:left w:val="single" w:sz="4" w:space="0" w:color="auto"/>
              <w:bottom w:val="single" w:sz="4" w:space="0" w:color="auto"/>
              <w:right w:val="single" w:sz="4" w:space="0" w:color="auto"/>
            </w:tcBorders>
            <w:shd w:val="clear" w:color="auto" w:fill="auto"/>
            <w:vAlign w:val="center"/>
            <w:hideMark/>
          </w:tcPr>
          <w:p w:rsidR="005C0B93" w:rsidRPr="005C0B93" w:rsidRDefault="005C0B93" w:rsidP="004A44B4">
            <w:pPr>
              <w:rPr>
                <w:rFonts w:ascii="Times New Roman" w:hAnsi="Times New Roman" w:cs="Times New Roman"/>
                <w:lang w:eastAsia="uk-UA"/>
              </w:rPr>
            </w:pPr>
            <w:r w:rsidRPr="005C0B93">
              <w:rPr>
                <w:rFonts w:ascii="Times New Roman" w:hAnsi="Times New Roman" w:cs="Times New Roman"/>
                <w:lang w:eastAsia="uk-UA"/>
              </w:rPr>
              <w:t>інші доходи</w:t>
            </w:r>
          </w:p>
        </w:tc>
        <w:tc>
          <w:tcPr>
            <w:tcW w:w="1273" w:type="dxa"/>
            <w:tcBorders>
              <w:top w:val="nil"/>
              <w:left w:val="nil"/>
              <w:bottom w:val="single" w:sz="4" w:space="0" w:color="auto"/>
              <w:right w:val="single" w:sz="4" w:space="0" w:color="auto"/>
            </w:tcBorders>
            <w:shd w:val="clear" w:color="auto" w:fill="auto"/>
            <w:vAlign w:val="center"/>
          </w:tcPr>
          <w:p w:rsidR="005C0B93" w:rsidRPr="005C0B93" w:rsidRDefault="005C0B93" w:rsidP="004A44B4">
            <w:pPr>
              <w:jc w:val="center"/>
              <w:rPr>
                <w:rFonts w:ascii="Times New Roman" w:hAnsi="Times New Roman" w:cs="Times New Roman"/>
              </w:rPr>
            </w:pPr>
            <w:r w:rsidRPr="005C0B93">
              <w:rPr>
                <w:rFonts w:ascii="Times New Roman" w:hAnsi="Times New Roman" w:cs="Times New Roman"/>
              </w:rPr>
              <w:t>12 816</w:t>
            </w:r>
          </w:p>
        </w:tc>
        <w:tc>
          <w:tcPr>
            <w:tcW w:w="1432" w:type="dxa"/>
            <w:tcBorders>
              <w:top w:val="nil"/>
              <w:left w:val="nil"/>
              <w:bottom w:val="single" w:sz="4" w:space="0" w:color="auto"/>
              <w:right w:val="single" w:sz="4" w:space="0" w:color="auto"/>
            </w:tcBorders>
            <w:shd w:val="clear" w:color="auto" w:fill="auto"/>
            <w:vAlign w:val="center"/>
          </w:tcPr>
          <w:p w:rsidR="005C0B93" w:rsidRPr="00CE18BB" w:rsidRDefault="00CE18BB" w:rsidP="004A44B4">
            <w:pPr>
              <w:jc w:val="center"/>
              <w:rPr>
                <w:rFonts w:ascii="Times New Roman" w:hAnsi="Times New Roman" w:cs="Times New Roman"/>
              </w:rPr>
            </w:pPr>
            <w:r w:rsidRPr="00CE18BB">
              <w:rPr>
                <w:rFonts w:ascii="Times New Roman" w:hAnsi="Times New Roman" w:cs="Times New Roman"/>
              </w:rPr>
              <w:t>11 533</w:t>
            </w:r>
          </w:p>
        </w:tc>
        <w:tc>
          <w:tcPr>
            <w:tcW w:w="1273" w:type="dxa"/>
            <w:tcBorders>
              <w:top w:val="nil"/>
              <w:left w:val="nil"/>
              <w:bottom w:val="single" w:sz="4" w:space="0" w:color="auto"/>
              <w:right w:val="single" w:sz="4" w:space="0" w:color="auto"/>
            </w:tcBorders>
            <w:shd w:val="clear" w:color="000000" w:fill="FFFFFF"/>
            <w:vAlign w:val="center"/>
          </w:tcPr>
          <w:p w:rsidR="005C0B93" w:rsidRPr="00CE18BB" w:rsidRDefault="00CE18BB" w:rsidP="004A44B4">
            <w:pPr>
              <w:jc w:val="center"/>
              <w:rPr>
                <w:rFonts w:ascii="Times New Roman" w:hAnsi="Times New Roman" w:cs="Times New Roman"/>
              </w:rPr>
            </w:pPr>
            <w:r w:rsidRPr="00CE18BB">
              <w:rPr>
                <w:rFonts w:ascii="Times New Roman" w:hAnsi="Times New Roman" w:cs="Times New Roman"/>
              </w:rPr>
              <w:t>11 883</w:t>
            </w:r>
          </w:p>
        </w:tc>
        <w:tc>
          <w:tcPr>
            <w:tcW w:w="1432" w:type="dxa"/>
            <w:tcBorders>
              <w:top w:val="nil"/>
              <w:left w:val="nil"/>
              <w:bottom w:val="single" w:sz="4" w:space="0" w:color="auto"/>
              <w:right w:val="single" w:sz="4" w:space="0" w:color="auto"/>
            </w:tcBorders>
            <w:shd w:val="clear" w:color="000000" w:fill="FFFFFF"/>
            <w:vAlign w:val="center"/>
          </w:tcPr>
          <w:p w:rsidR="005C0B93" w:rsidRPr="00941BC0" w:rsidRDefault="00941BC0" w:rsidP="004A44B4">
            <w:pPr>
              <w:jc w:val="center"/>
              <w:rPr>
                <w:rFonts w:ascii="Times New Roman" w:hAnsi="Times New Roman" w:cs="Times New Roman"/>
              </w:rPr>
            </w:pPr>
            <w:r w:rsidRPr="00941BC0">
              <w:rPr>
                <w:rFonts w:ascii="Times New Roman" w:hAnsi="Times New Roman" w:cs="Times New Roman"/>
              </w:rPr>
              <w:t>103</w:t>
            </w:r>
          </w:p>
        </w:tc>
        <w:tc>
          <w:tcPr>
            <w:tcW w:w="1432" w:type="dxa"/>
            <w:tcBorders>
              <w:top w:val="nil"/>
              <w:left w:val="nil"/>
              <w:bottom w:val="single" w:sz="4" w:space="0" w:color="auto"/>
              <w:right w:val="single" w:sz="4" w:space="0" w:color="auto"/>
            </w:tcBorders>
            <w:shd w:val="clear" w:color="000000" w:fill="FFFFFF"/>
            <w:vAlign w:val="center"/>
          </w:tcPr>
          <w:p w:rsidR="00941BC0" w:rsidRPr="00941BC0" w:rsidRDefault="00941BC0" w:rsidP="00941BC0">
            <w:pPr>
              <w:jc w:val="center"/>
              <w:rPr>
                <w:rFonts w:ascii="Times New Roman" w:hAnsi="Times New Roman" w:cs="Times New Roman"/>
              </w:rPr>
            </w:pPr>
            <w:r w:rsidRPr="00941BC0">
              <w:rPr>
                <w:rFonts w:ascii="Times New Roman" w:hAnsi="Times New Roman" w:cs="Times New Roman"/>
              </w:rPr>
              <w:t>93</w:t>
            </w:r>
          </w:p>
        </w:tc>
      </w:tr>
    </w:tbl>
    <w:p w:rsidR="00E920C2" w:rsidRPr="00C61B4C" w:rsidRDefault="00E920C2" w:rsidP="00E920C2">
      <w:pPr>
        <w:spacing w:after="0" w:line="240" w:lineRule="auto"/>
        <w:jc w:val="both"/>
        <w:rPr>
          <w:rFonts w:ascii="Times New Roman" w:eastAsia="Times New Roman" w:hAnsi="Times New Roman" w:cs="Times New Roman"/>
          <w:color w:val="FF0000"/>
          <w:sz w:val="28"/>
          <w:szCs w:val="28"/>
          <w:lang w:eastAsia="ru-RU"/>
        </w:rPr>
      </w:pPr>
    </w:p>
    <w:p w:rsidR="00E33D93" w:rsidRPr="00CD1A28" w:rsidRDefault="00E33D93" w:rsidP="00E33D93">
      <w:pPr>
        <w:pStyle w:val="a9"/>
        <w:numPr>
          <w:ilvl w:val="1"/>
          <w:numId w:val="21"/>
        </w:numPr>
        <w:spacing w:after="0" w:line="240" w:lineRule="auto"/>
        <w:jc w:val="center"/>
        <w:rPr>
          <w:rFonts w:ascii="Times New Roman" w:eastAsia="Times New Roman" w:hAnsi="Times New Roman" w:cs="Times New Roman"/>
          <w:b/>
          <w:sz w:val="28"/>
          <w:szCs w:val="28"/>
          <w:lang w:eastAsia="ru-RU"/>
        </w:rPr>
      </w:pPr>
      <w:r w:rsidRPr="00CD1A28">
        <w:rPr>
          <w:rFonts w:ascii="Times New Roman" w:eastAsia="Times New Roman" w:hAnsi="Times New Roman" w:cs="Times New Roman"/>
          <w:b/>
          <w:sz w:val="28"/>
          <w:szCs w:val="28"/>
          <w:lang w:eastAsia="ru-RU"/>
        </w:rPr>
        <w:t>Чистий дохід</w:t>
      </w:r>
    </w:p>
    <w:p w:rsidR="00E33D93" w:rsidRPr="004123D3" w:rsidRDefault="00E33D93" w:rsidP="00E33D93">
      <w:pPr>
        <w:pStyle w:val="a9"/>
        <w:spacing w:after="0" w:line="240" w:lineRule="auto"/>
        <w:ind w:left="1855"/>
        <w:rPr>
          <w:rFonts w:ascii="Times New Roman" w:eastAsia="Times New Roman" w:hAnsi="Times New Roman" w:cs="Times New Roman"/>
          <w:b/>
          <w:color w:val="FF0000"/>
          <w:sz w:val="28"/>
          <w:szCs w:val="28"/>
          <w:lang w:eastAsia="ru-RU"/>
        </w:rPr>
      </w:pPr>
    </w:p>
    <w:p w:rsidR="00E33D93" w:rsidRDefault="00E33D93" w:rsidP="00E33D93">
      <w:pPr>
        <w:spacing w:line="276" w:lineRule="auto"/>
        <w:ind w:firstLine="708"/>
        <w:jc w:val="both"/>
        <w:rPr>
          <w:rFonts w:ascii="Times New Roman" w:hAnsi="Times New Roman" w:cs="Times New Roman"/>
          <w:bCs/>
          <w:iCs/>
          <w:sz w:val="28"/>
          <w:szCs w:val="28"/>
        </w:rPr>
      </w:pPr>
      <w:r w:rsidRPr="0051764B">
        <w:rPr>
          <w:rFonts w:ascii="Times New Roman" w:eastAsia="Times New Roman" w:hAnsi="Times New Roman" w:cs="Times New Roman"/>
          <w:bCs/>
          <w:iCs/>
          <w:sz w:val="28"/>
          <w:szCs w:val="28"/>
          <w:lang w:eastAsia="ru-RU"/>
        </w:rPr>
        <w:t>Чистий дохід за 2019 р</w:t>
      </w:r>
      <w:r>
        <w:rPr>
          <w:rFonts w:ascii="Times New Roman" w:eastAsia="Times New Roman" w:hAnsi="Times New Roman" w:cs="Times New Roman"/>
          <w:bCs/>
          <w:iCs/>
          <w:sz w:val="28"/>
          <w:szCs w:val="28"/>
          <w:lang w:eastAsia="ru-RU"/>
        </w:rPr>
        <w:t>ік</w:t>
      </w:r>
      <w:r w:rsidRPr="0051764B">
        <w:rPr>
          <w:rFonts w:ascii="Times New Roman" w:eastAsia="Times New Roman" w:hAnsi="Times New Roman" w:cs="Times New Roman"/>
          <w:bCs/>
          <w:iCs/>
          <w:sz w:val="28"/>
          <w:szCs w:val="28"/>
          <w:lang w:eastAsia="ru-RU"/>
        </w:rPr>
        <w:t xml:space="preserve"> склав </w:t>
      </w:r>
      <w:r>
        <w:rPr>
          <w:rFonts w:ascii="Times New Roman" w:eastAsia="Times New Roman" w:hAnsi="Times New Roman" w:cs="Times New Roman"/>
          <w:b/>
          <w:bCs/>
          <w:iCs/>
          <w:sz w:val="28"/>
          <w:szCs w:val="28"/>
          <w:lang w:val="ru-RU" w:eastAsia="ru-RU"/>
        </w:rPr>
        <w:t>7 020 799</w:t>
      </w:r>
      <w:r>
        <w:rPr>
          <w:rFonts w:ascii="Times New Roman" w:eastAsia="Times New Roman" w:hAnsi="Times New Roman" w:cs="Times New Roman"/>
          <w:bCs/>
          <w:iCs/>
          <w:sz w:val="28"/>
          <w:szCs w:val="28"/>
          <w:lang w:eastAsia="ru-RU"/>
        </w:rPr>
        <w:t xml:space="preserve"> тис. грн., що на 237 896 тис. грн.</w:t>
      </w:r>
      <w:r w:rsidR="005E6D82">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 або 4 %) більше планового показника 2019 року, та на 494 981 тис. грн. (або 8%) більше фактичного показника </w:t>
      </w:r>
      <w:r w:rsidRPr="0051764B">
        <w:rPr>
          <w:rFonts w:ascii="Times New Roman" w:eastAsia="Times New Roman" w:hAnsi="Times New Roman" w:cs="Times New Roman"/>
          <w:bCs/>
          <w:iCs/>
          <w:sz w:val="28"/>
          <w:szCs w:val="28"/>
          <w:lang w:eastAsia="ru-RU"/>
        </w:rPr>
        <w:t>за 2018 р</w:t>
      </w:r>
      <w:r>
        <w:rPr>
          <w:rFonts w:ascii="Times New Roman" w:eastAsia="Times New Roman" w:hAnsi="Times New Roman" w:cs="Times New Roman"/>
          <w:bCs/>
          <w:iCs/>
          <w:sz w:val="28"/>
          <w:szCs w:val="28"/>
          <w:lang w:eastAsia="ru-RU"/>
        </w:rPr>
        <w:t>і</w:t>
      </w:r>
      <w:r w:rsidRPr="0051764B">
        <w:rPr>
          <w:rFonts w:ascii="Times New Roman" w:eastAsia="Times New Roman" w:hAnsi="Times New Roman" w:cs="Times New Roman"/>
          <w:bCs/>
          <w:iCs/>
          <w:sz w:val="28"/>
          <w:szCs w:val="28"/>
          <w:lang w:eastAsia="ru-RU"/>
        </w:rPr>
        <w:t xml:space="preserve">к. </w:t>
      </w:r>
    </w:p>
    <w:p w:rsidR="00E33D93" w:rsidRPr="00294BEF" w:rsidRDefault="00E33D93" w:rsidP="00E33D93">
      <w:pPr>
        <w:pStyle w:val="a9"/>
        <w:spacing w:after="0" w:line="240" w:lineRule="auto"/>
        <w:ind w:left="0" w:firstLine="567"/>
        <w:jc w:val="center"/>
        <w:rPr>
          <w:rFonts w:ascii="Times New Roman" w:hAnsi="Times New Roman" w:cs="Times New Roman"/>
          <w:b/>
          <w:bCs/>
          <w:iCs/>
          <w:sz w:val="28"/>
          <w:szCs w:val="28"/>
        </w:rPr>
      </w:pPr>
      <w:r w:rsidRPr="00294BEF">
        <w:rPr>
          <w:rFonts w:ascii="Times New Roman" w:hAnsi="Times New Roman" w:cs="Times New Roman"/>
          <w:b/>
          <w:bCs/>
          <w:iCs/>
          <w:sz w:val="28"/>
          <w:szCs w:val="28"/>
        </w:rPr>
        <w:t>Структура чистого доходу</w:t>
      </w:r>
    </w:p>
    <w:p w:rsidR="00E33D93" w:rsidRPr="00CD1A28" w:rsidRDefault="00E33D93" w:rsidP="00E33D93">
      <w:pPr>
        <w:pStyle w:val="a3"/>
        <w:spacing w:line="240" w:lineRule="auto"/>
        <w:ind w:firstLine="851"/>
        <w:contextualSpacing/>
        <w:jc w:val="center"/>
        <w:rPr>
          <w:b/>
          <w:sz w:val="24"/>
          <w:lang w:val="ru-RU" w:eastAsia="ru-RU"/>
        </w:rPr>
      </w:pPr>
      <w:r>
        <w:rPr>
          <w:sz w:val="22"/>
          <w:szCs w:val="22"/>
        </w:rPr>
        <w:t xml:space="preserve">                                                                                                         Таблиця 3</w:t>
      </w:r>
      <w:r w:rsidRPr="005736AE">
        <w:rPr>
          <w:szCs w:val="28"/>
        </w:rPr>
        <w:t xml:space="preserve"> ( </w:t>
      </w:r>
      <w:r w:rsidRPr="005736AE">
        <w:rPr>
          <w:sz w:val="24"/>
        </w:rPr>
        <w:t>тис. грн.)</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414"/>
        <w:gridCol w:w="1414"/>
        <w:gridCol w:w="1413"/>
        <w:gridCol w:w="1565"/>
        <w:gridCol w:w="1571"/>
      </w:tblGrid>
      <w:tr w:rsidR="00E33D93" w:rsidRPr="00BF2E4B" w:rsidTr="00151BD5">
        <w:trPr>
          <w:cantSplit/>
          <w:trHeight w:val="623"/>
          <w:jc w:val="center"/>
        </w:trPr>
        <w:tc>
          <w:tcPr>
            <w:tcW w:w="2364" w:type="dxa"/>
            <w:vAlign w:val="center"/>
          </w:tcPr>
          <w:p w:rsidR="00E33D93" w:rsidRPr="00027BB7" w:rsidRDefault="00970A49" w:rsidP="00E33D93">
            <w:pPr>
              <w:jc w:val="center"/>
              <w:rPr>
                <w:rFonts w:ascii="Times New Roman" w:hAnsi="Times New Roman" w:cs="Times New Roman"/>
                <w:iCs/>
                <w:sz w:val="18"/>
                <w:szCs w:val="18"/>
              </w:rPr>
            </w:pPr>
            <w:r w:rsidRPr="00297220">
              <w:rPr>
                <w:rFonts w:ascii="Times New Roman" w:eastAsia="Times New Roman" w:hAnsi="Times New Roman" w:cs="Times New Roman"/>
                <w:b/>
                <w:bCs/>
                <w:sz w:val="24"/>
                <w:szCs w:val="24"/>
                <w:lang w:eastAsia="uk-UA"/>
              </w:rPr>
              <w:t>Показники</w:t>
            </w:r>
          </w:p>
        </w:tc>
        <w:tc>
          <w:tcPr>
            <w:tcW w:w="1414" w:type="dxa"/>
            <w:vAlign w:val="center"/>
          </w:tcPr>
          <w:p w:rsidR="00E33D93" w:rsidRPr="00027BB7" w:rsidRDefault="00970A49" w:rsidP="00E33D93">
            <w:pPr>
              <w:spacing w:after="0" w:line="240" w:lineRule="auto"/>
              <w:jc w:val="center"/>
              <w:rPr>
                <w:rFonts w:ascii="Times New Roman" w:hAnsi="Times New Roman" w:cs="Times New Roman"/>
                <w:iCs/>
                <w:sz w:val="18"/>
                <w:szCs w:val="18"/>
              </w:rPr>
            </w:pPr>
            <w:r>
              <w:rPr>
                <w:rFonts w:ascii="Times New Roman" w:hAnsi="Times New Roman" w:cs="Times New Roman"/>
                <w:iCs/>
                <w:sz w:val="18"/>
                <w:szCs w:val="18"/>
              </w:rPr>
              <w:t>факт 2018</w:t>
            </w:r>
          </w:p>
        </w:tc>
        <w:tc>
          <w:tcPr>
            <w:tcW w:w="1414" w:type="dxa"/>
            <w:vAlign w:val="center"/>
          </w:tcPr>
          <w:p w:rsidR="00E33D93" w:rsidRPr="00027BB7" w:rsidRDefault="00970A49" w:rsidP="00E33D93">
            <w:pPr>
              <w:spacing w:after="0" w:line="240" w:lineRule="auto"/>
              <w:jc w:val="center"/>
              <w:rPr>
                <w:rFonts w:ascii="Times New Roman" w:hAnsi="Times New Roman" w:cs="Times New Roman"/>
                <w:iCs/>
                <w:sz w:val="18"/>
                <w:szCs w:val="18"/>
              </w:rPr>
            </w:pPr>
            <w:r>
              <w:rPr>
                <w:rFonts w:ascii="Times New Roman" w:hAnsi="Times New Roman" w:cs="Times New Roman"/>
                <w:iCs/>
                <w:sz w:val="18"/>
                <w:szCs w:val="18"/>
              </w:rPr>
              <w:t>п</w:t>
            </w:r>
            <w:r w:rsidR="00E33D93">
              <w:rPr>
                <w:rFonts w:ascii="Times New Roman" w:hAnsi="Times New Roman" w:cs="Times New Roman"/>
                <w:iCs/>
                <w:sz w:val="18"/>
                <w:szCs w:val="18"/>
              </w:rPr>
              <w:t>лан</w:t>
            </w:r>
            <w:r>
              <w:rPr>
                <w:rFonts w:ascii="Times New Roman" w:hAnsi="Times New Roman" w:cs="Times New Roman"/>
                <w:iCs/>
                <w:sz w:val="18"/>
                <w:szCs w:val="18"/>
              </w:rPr>
              <w:t xml:space="preserve"> 2019</w:t>
            </w:r>
          </w:p>
        </w:tc>
        <w:tc>
          <w:tcPr>
            <w:tcW w:w="1413" w:type="dxa"/>
            <w:vAlign w:val="center"/>
          </w:tcPr>
          <w:p w:rsidR="00E33D93" w:rsidRPr="00027BB7" w:rsidRDefault="00970A49" w:rsidP="00E33D93">
            <w:pPr>
              <w:contextualSpacing/>
              <w:jc w:val="center"/>
              <w:rPr>
                <w:rFonts w:ascii="Times New Roman" w:hAnsi="Times New Roman" w:cs="Times New Roman"/>
                <w:iCs/>
                <w:sz w:val="18"/>
                <w:szCs w:val="18"/>
              </w:rPr>
            </w:pPr>
            <w:r>
              <w:rPr>
                <w:rFonts w:ascii="Times New Roman" w:hAnsi="Times New Roman" w:cs="Times New Roman"/>
                <w:iCs/>
                <w:sz w:val="18"/>
                <w:szCs w:val="18"/>
              </w:rPr>
              <w:t>ф</w:t>
            </w:r>
            <w:r w:rsidR="00E33D93">
              <w:rPr>
                <w:rFonts w:ascii="Times New Roman" w:hAnsi="Times New Roman" w:cs="Times New Roman"/>
                <w:iCs/>
                <w:sz w:val="18"/>
                <w:szCs w:val="18"/>
              </w:rPr>
              <w:t>акт</w:t>
            </w:r>
            <w:r>
              <w:rPr>
                <w:rFonts w:ascii="Times New Roman" w:hAnsi="Times New Roman" w:cs="Times New Roman"/>
                <w:iCs/>
                <w:sz w:val="18"/>
                <w:szCs w:val="18"/>
              </w:rPr>
              <w:t xml:space="preserve"> 2019</w:t>
            </w:r>
          </w:p>
        </w:tc>
        <w:tc>
          <w:tcPr>
            <w:tcW w:w="1565" w:type="dxa"/>
            <w:vAlign w:val="center"/>
          </w:tcPr>
          <w:p w:rsidR="00E33D93" w:rsidRPr="0069651C" w:rsidRDefault="00970A49" w:rsidP="00970A49">
            <w:pPr>
              <w:spacing w:after="0" w:line="240" w:lineRule="auto"/>
              <w:jc w:val="center"/>
              <w:rPr>
                <w:rFonts w:ascii="Times New Roman" w:hAnsi="Times New Roman" w:cs="Times New Roman"/>
                <w:iCs/>
                <w:sz w:val="18"/>
                <w:szCs w:val="18"/>
              </w:rPr>
            </w:pPr>
            <w:r w:rsidRPr="00C61B4C">
              <w:rPr>
                <w:rFonts w:ascii="Times New Roman" w:hAnsi="Times New Roman" w:cs="Times New Roman"/>
                <w:bCs/>
                <w:sz w:val="20"/>
                <w:szCs w:val="20"/>
              </w:rPr>
              <w:t>%, факт 2019/</w:t>
            </w:r>
            <w:r>
              <w:rPr>
                <w:rFonts w:ascii="Times New Roman" w:hAnsi="Times New Roman" w:cs="Times New Roman"/>
                <w:bCs/>
                <w:sz w:val="20"/>
                <w:szCs w:val="20"/>
              </w:rPr>
              <w:t>план 2019</w:t>
            </w:r>
          </w:p>
        </w:tc>
        <w:tc>
          <w:tcPr>
            <w:tcW w:w="1571" w:type="dxa"/>
            <w:vAlign w:val="center"/>
          </w:tcPr>
          <w:p w:rsidR="00E33D93" w:rsidRPr="0069651C" w:rsidRDefault="00970A49" w:rsidP="00970A49">
            <w:pPr>
              <w:contextualSpacing/>
              <w:jc w:val="center"/>
              <w:rPr>
                <w:rFonts w:ascii="Times New Roman" w:hAnsi="Times New Roman" w:cs="Times New Roman"/>
                <w:iCs/>
                <w:sz w:val="18"/>
                <w:szCs w:val="18"/>
              </w:rPr>
            </w:pPr>
            <w:r w:rsidRPr="00C61B4C">
              <w:rPr>
                <w:rFonts w:ascii="Times New Roman" w:hAnsi="Times New Roman" w:cs="Times New Roman"/>
                <w:bCs/>
                <w:sz w:val="20"/>
                <w:szCs w:val="20"/>
              </w:rPr>
              <w:t>%, факт 2019/факт 2018</w:t>
            </w:r>
          </w:p>
        </w:tc>
      </w:tr>
      <w:tr w:rsidR="00E33D93" w:rsidRPr="00BF2E4B" w:rsidTr="00D3606C">
        <w:trPr>
          <w:cantSplit/>
          <w:trHeight w:val="1299"/>
          <w:jc w:val="center"/>
        </w:trPr>
        <w:tc>
          <w:tcPr>
            <w:tcW w:w="2364" w:type="dxa"/>
            <w:vAlign w:val="center"/>
          </w:tcPr>
          <w:p w:rsidR="00E33D93" w:rsidRPr="007211B6" w:rsidRDefault="00E33D93" w:rsidP="00E33D93">
            <w:pPr>
              <w:rPr>
                <w:rFonts w:ascii="Times New Roman" w:hAnsi="Times New Roman" w:cs="Times New Roman"/>
                <w:b/>
                <w:bCs/>
                <w:color w:val="000000"/>
              </w:rPr>
            </w:pPr>
            <w:r w:rsidRPr="007211B6">
              <w:rPr>
                <w:rFonts w:ascii="Times New Roman" w:hAnsi="Times New Roman" w:cs="Times New Roman"/>
                <w:b/>
                <w:bCs/>
                <w:color w:val="000000"/>
              </w:rPr>
              <w:t>Чистий дохід (виручка) від реалізації продукції (товарів, робіт, послуг)</w:t>
            </w:r>
          </w:p>
        </w:tc>
        <w:tc>
          <w:tcPr>
            <w:tcW w:w="1414" w:type="dxa"/>
            <w:vAlign w:val="center"/>
          </w:tcPr>
          <w:p w:rsidR="00E33D93" w:rsidRPr="00173F5B" w:rsidRDefault="00E33D93" w:rsidP="00E33D93">
            <w:pPr>
              <w:jc w:val="center"/>
              <w:rPr>
                <w:rFonts w:ascii="Times New Roman" w:hAnsi="Times New Roman" w:cs="Times New Roman"/>
                <w:b/>
              </w:rPr>
            </w:pPr>
            <w:r>
              <w:rPr>
                <w:rFonts w:ascii="Times New Roman" w:hAnsi="Times New Roman" w:cs="Times New Roman"/>
                <w:b/>
              </w:rPr>
              <w:t>6 525 818</w:t>
            </w:r>
          </w:p>
        </w:tc>
        <w:tc>
          <w:tcPr>
            <w:tcW w:w="1414" w:type="dxa"/>
            <w:vAlign w:val="center"/>
          </w:tcPr>
          <w:p w:rsidR="00E33D93" w:rsidRPr="00173F5B" w:rsidRDefault="00E33D93" w:rsidP="00E33D93">
            <w:pPr>
              <w:jc w:val="center"/>
              <w:rPr>
                <w:rFonts w:ascii="Times New Roman" w:hAnsi="Times New Roman" w:cs="Times New Roman"/>
                <w:b/>
              </w:rPr>
            </w:pPr>
            <w:r>
              <w:rPr>
                <w:rFonts w:ascii="Times New Roman" w:hAnsi="Times New Roman" w:cs="Times New Roman"/>
                <w:b/>
              </w:rPr>
              <w:t>6 782 903</w:t>
            </w:r>
          </w:p>
        </w:tc>
        <w:tc>
          <w:tcPr>
            <w:tcW w:w="1413" w:type="dxa"/>
            <w:vAlign w:val="center"/>
          </w:tcPr>
          <w:p w:rsidR="00E33D93" w:rsidRPr="00173F5B" w:rsidRDefault="00E33D93" w:rsidP="00E33D93">
            <w:pPr>
              <w:jc w:val="center"/>
              <w:rPr>
                <w:rFonts w:ascii="Times New Roman" w:hAnsi="Times New Roman" w:cs="Times New Roman"/>
                <w:b/>
              </w:rPr>
            </w:pPr>
            <w:r>
              <w:rPr>
                <w:rFonts w:ascii="Times New Roman" w:hAnsi="Times New Roman" w:cs="Times New Roman"/>
                <w:b/>
              </w:rPr>
              <w:t>7 020 799</w:t>
            </w:r>
          </w:p>
        </w:tc>
        <w:tc>
          <w:tcPr>
            <w:tcW w:w="1565" w:type="dxa"/>
            <w:vAlign w:val="center"/>
          </w:tcPr>
          <w:p w:rsidR="00E33D93" w:rsidRPr="00173F5B" w:rsidRDefault="00E33D93" w:rsidP="00E33D93">
            <w:pPr>
              <w:jc w:val="center"/>
              <w:rPr>
                <w:rFonts w:ascii="Times New Roman" w:hAnsi="Times New Roman" w:cs="Times New Roman"/>
                <w:b/>
              </w:rPr>
            </w:pPr>
            <w:r>
              <w:rPr>
                <w:rFonts w:ascii="Times New Roman" w:hAnsi="Times New Roman" w:cs="Times New Roman"/>
                <w:b/>
              </w:rPr>
              <w:t>104</w:t>
            </w:r>
          </w:p>
        </w:tc>
        <w:tc>
          <w:tcPr>
            <w:tcW w:w="1571" w:type="dxa"/>
            <w:vAlign w:val="center"/>
          </w:tcPr>
          <w:p w:rsidR="00E33D93" w:rsidRPr="00173F5B" w:rsidRDefault="00E33D93" w:rsidP="00E33D93">
            <w:pPr>
              <w:jc w:val="center"/>
              <w:rPr>
                <w:rFonts w:ascii="Times New Roman" w:hAnsi="Times New Roman" w:cs="Times New Roman"/>
                <w:b/>
              </w:rPr>
            </w:pPr>
            <w:r>
              <w:rPr>
                <w:rFonts w:ascii="Times New Roman" w:hAnsi="Times New Roman" w:cs="Times New Roman"/>
                <w:b/>
              </w:rPr>
              <w:t>108</w:t>
            </w:r>
          </w:p>
        </w:tc>
      </w:tr>
      <w:tr w:rsidR="00E33D93" w:rsidRPr="00BF2E4B" w:rsidTr="00D3606C">
        <w:trPr>
          <w:cantSplit/>
          <w:trHeight w:val="612"/>
          <w:jc w:val="center"/>
        </w:trPr>
        <w:tc>
          <w:tcPr>
            <w:tcW w:w="2364" w:type="dxa"/>
            <w:vAlign w:val="center"/>
          </w:tcPr>
          <w:p w:rsidR="00E33D93" w:rsidRPr="00BD62F7" w:rsidRDefault="00E33D93" w:rsidP="00E33D93">
            <w:pPr>
              <w:rPr>
                <w:rFonts w:ascii="Times New Roman" w:hAnsi="Times New Roman" w:cs="Times New Roman"/>
                <w:bCs/>
                <w:color w:val="000000"/>
              </w:rPr>
            </w:pPr>
            <w:r w:rsidRPr="00BD62F7">
              <w:rPr>
                <w:rFonts w:ascii="Times New Roman" w:hAnsi="Times New Roman" w:cs="Times New Roman"/>
                <w:bCs/>
                <w:color w:val="000000"/>
              </w:rPr>
              <w:t>Доходи від портових зборів</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4 013 481</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4 289 919</w:t>
            </w:r>
          </w:p>
        </w:tc>
        <w:tc>
          <w:tcPr>
            <w:tcW w:w="1413"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4 429 766</w:t>
            </w:r>
          </w:p>
        </w:tc>
        <w:tc>
          <w:tcPr>
            <w:tcW w:w="1565"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103</w:t>
            </w:r>
          </w:p>
        </w:tc>
        <w:tc>
          <w:tcPr>
            <w:tcW w:w="1571"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110</w:t>
            </w:r>
          </w:p>
        </w:tc>
      </w:tr>
      <w:tr w:rsidR="00E33D93" w:rsidRPr="00BF2E4B" w:rsidTr="00D3606C">
        <w:trPr>
          <w:cantSplit/>
          <w:trHeight w:val="609"/>
          <w:jc w:val="center"/>
        </w:trPr>
        <w:tc>
          <w:tcPr>
            <w:tcW w:w="2364" w:type="dxa"/>
            <w:vAlign w:val="center"/>
          </w:tcPr>
          <w:p w:rsidR="00E33D93" w:rsidRPr="00BD62F7" w:rsidRDefault="00E33D93" w:rsidP="00E33D93">
            <w:pPr>
              <w:rPr>
                <w:rFonts w:ascii="Times New Roman" w:hAnsi="Times New Roman" w:cs="Times New Roman"/>
                <w:bCs/>
                <w:color w:val="000000"/>
              </w:rPr>
            </w:pPr>
            <w:r w:rsidRPr="00BD62F7">
              <w:rPr>
                <w:rFonts w:ascii="Times New Roman" w:hAnsi="Times New Roman" w:cs="Times New Roman"/>
                <w:bCs/>
                <w:color w:val="000000"/>
              </w:rPr>
              <w:t>Лоцманські послуги</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831 406</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870 936</w:t>
            </w:r>
          </w:p>
        </w:tc>
        <w:tc>
          <w:tcPr>
            <w:tcW w:w="1413"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917 198</w:t>
            </w:r>
          </w:p>
        </w:tc>
        <w:tc>
          <w:tcPr>
            <w:tcW w:w="1565"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105</w:t>
            </w:r>
          </w:p>
        </w:tc>
        <w:tc>
          <w:tcPr>
            <w:tcW w:w="1571"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110</w:t>
            </w:r>
          </w:p>
        </w:tc>
      </w:tr>
      <w:tr w:rsidR="00E33D93" w:rsidRPr="00BF2E4B" w:rsidTr="00D3606C">
        <w:trPr>
          <w:cantSplit/>
          <w:trHeight w:val="843"/>
          <w:jc w:val="center"/>
        </w:trPr>
        <w:tc>
          <w:tcPr>
            <w:tcW w:w="2364" w:type="dxa"/>
            <w:vAlign w:val="center"/>
          </w:tcPr>
          <w:p w:rsidR="00E33D93" w:rsidRPr="00BD62F7" w:rsidRDefault="00E33D93" w:rsidP="00E33D93">
            <w:pPr>
              <w:rPr>
                <w:rFonts w:ascii="Times New Roman" w:hAnsi="Times New Roman" w:cs="Times New Roman"/>
                <w:bCs/>
                <w:color w:val="000000"/>
              </w:rPr>
            </w:pPr>
            <w:r w:rsidRPr="00BD62F7">
              <w:rPr>
                <w:rFonts w:ascii="Times New Roman" w:hAnsi="Times New Roman" w:cs="Times New Roman"/>
                <w:bCs/>
                <w:color w:val="000000"/>
              </w:rPr>
              <w:t>Послуги регулювання руху суден</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270 828</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290 095</w:t>
            </w:r>
          </w:p>
        </w:tc>
        <w:tc>
          <w:tcPr>
            <w:tcW w:w="1413"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305 236</w:t>
            </w:r>
          </w:p>
        </w:tc>
        <w:tc>
          <w:tcPr>
            <w:tcW w:w="1565"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105</w:t>
            </w:r>
          </w:p>
        </w:tc>
        <w:tc>
          <w:tcPr>
            <w:tcW w:w="1571"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113</w:t>
            </w:r>
          </w:p>
        </w:tc>
      </w:tr>
      <w:tr w:rsidR="00E33D93" w:rsidRPr="00BF2E4B" w:rsidTr="00D3606C">
        <w:trPr>
          <w:cantSplit/>
          <w:trHeight w:val="985"/>
          <w:jc w:val="center"/>
        </w:trPr>
        <w:tc>
          <w:tcPr>
            <w:tcW w:w="2364" w:type="dxa"/>
            <w:vAlign w:val="center"/>
          </w:tcPr>
          <w:p w:rsidR="00E33D93" w:rsidRPr="00BD62F7" w:rsidRDefault="00E33D93" w:rsidP="00E33D93">
            <w:pPr>
              <w:rPr>
                <w:rFonts w:ascii="Times New Roman" w:hAnsi="Times New Roman" w:cs="Times New Roman"/>
                <w:bCs/>
                <w:color w:val="000000"/>
              </w:rPr>
            </w:pPr>
            <w:r w:rsidRPr="00BD62F7">
              <w:rPr>
                <w:rFonts w:ascii="Times New Roman" w:hAnsi="Times New Roman" w:cs="Times New Roman"/>
                <w:bCs/>
                <w:color w:val="000000"/>
              </w:rPr>
              <w:lastRenderedPageBreak/>
              <w:t>Забезпечення проведення криголамних робіт</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16 296</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13 960</w:t>
            </w:r>
          </w:p>
        </w:tc>
        <w:tc>
          <w:tcPr>
            <w:tcW w:w="1413"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12 119</w:t>
            </w:r>
          </w:p>
        </w:tc>
        <w:tc>
          <w:tcPr>
            <w:tcW w:w="1565"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87</w:t>
            </w:r>
          </w:p>
        </w:tc>
        <w:tc>
          <w:tcPr>
            <w:tcW w:w="1571"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74</w:t>
            </w:r>
          </w:p>
        </w:tc>
      </w:tr>
      <w:tr w:rsidR="00E33D93" w:rsidRPr="00BF2E4B" w:rsidTr="00D3606C">
        <w:trPr>
          <w:cantSplit/>
          <w:trHeight w:val="1126"/>
          <w:jc w:val="center"/>
        </w:trPr>
        <w:tc>
          <w:tcPr>
            <w:tcW w:w="2364" w:type="dxa"/>
            <w:vAlign w:val="center"/>
          </w:tcPr>
          <w:p w:rsidR="00E33D93" w:rsidRPr="00BD62F7" w:rsidRDefault="00E33D93" w:rsidP="00E33D93">
            <w:pPr>
              <w:rPr>
                <w:rFonts w:ascii="Times New Roman" w:hAnsi="Times New Roman" w:cs="Times New Roman"/>
                <w:bCs/>
                <w:color w:val="000000"/>
              </w:rPr>
            </w:pPr>
            <w:r w:rsidRPr="00BD62F7">
              <w:rPr>
                <w:rFonts w:ascii="Times New Roman" w:hAnsi="Times New Roman" w:cs="Times New Roman"/>
                <w:bCs/>
                <w:color w:val="000000"/>
              </w:rPr>
              <w:t>Послуга із забезпеченням доступу портового оператора до причалу</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771 119</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694 220</w:t>
            </w:r>
          </w:p>
        </w:tc>
        <w:tc>
          <w:tcPr>
            <w:tcW w:w="1413"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714 278</w:t>
            </w:r>
          </w:p>
        </w:tc>
        <w:tc>
          <w:tcPr>
            <w:tcW w:w="1565"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103</w:t>
            </w:r>
          </w:p>
        </w:tc>
        <w:tc>
          <w:tcPr>
            <w:tcW w:w="1571"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93</w:t>
            </w:r>
          </w:p>
        </w:tc>
      </w:tr>
      <w:tr w:rsidR="00E33D93" w:rsidRPr="00BF2E4B" w:rsidTr="00D3606C">
        <w:trPr>
          <w:cantSplit/>
          <w:trHeight w:val="435"/>
          <w:jc w:val="center"/>
        </w:trPr>
        <w:tc>
          <w:tcPr>
            <w:tcW w:w="2364" w:type="dxa"/>
            <w:vAlign w:val="center"/>
          </w:tcPr>
          <w:p w:rsidR="00E33D93" w:rsidRPr="00BD62F7" w:rsidRDefault="00E33D93" w:rsidP="00E33D93">
            <w:pPr>
              <w:rPr>
                <w:rFonts w:ascii="Times New Roman" w:hAnsi="Times New Roman" w:cs="Times New Roman"/>
                <w:bCs/>
              </w:rPr>
            </w:pPr>
            <w:r w:rsidRPr="00BD62F7">
              <w:rPr>
                <w:rFonts w:ascii="Times New Roman" w:hAnsi="Times New Roman" w:cs="Times New Roman"/>
                <w:bCs/>
              </w:rPr>
              <w:t>Послуги підрозділів</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622 688</w:t>
            </w:r>
          </w:p>
        </w:tc>
        <w:tc>
          <w:tcPr>
            <w:tcW w:w="1414"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623 773</w:t>
            </w:r>
          </w:p>
        </w:tc>
        <w:tc>
          <w:tcPr>
            <w:tcW w:w="1413"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642 202</w:t>
            </w:r>
          </w:p>
        </w:tc>
        <w:tc>
          <w:tcPr>
            <w:tcW w:w="1565"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103</w:t>
            </w:r>
          </w:p>
        </w:tc>
        <w:tc>
          <w:tcPr>
            <w:tcW w:w="1571" w:type="dxa"/>
            <w:vAlign w:val="center"/>
          </w:tcPr>
          <w:p w:rsidR="00E33D93" w:rsidRPr="00173F5B" w:rsidRDefault="00E33D93" w:rsidP="00E33D93">
            <w:pPr>
              <w:jc w:val="center"/>
              <w:rPr>
                <w:rFonts w:ascii="Times New Roman" w:hAnsi="Times New Roman" w:cs="Times New Roman"/>
              </w:rPr>
            </w:pPr>
            <w:r>
              <w:rPr>
                <w:rFonts w:ascii="Times New Roman" w:hAnsi="Times New Roman" w:cs="Times New Roman"/>
              </w:rPr>
              <w:t>103</w:t>
            </w:r>
          </w:p>
        </w:tc>
      </w:tr>
    </w:tbl>
    <w:p w:rsidR="00E33D93" w:rsidRDefault="00E33D93" w:rsidP="00E33D93">
      <w:pPr>
        <w:jc w:val="both"/>
        <w:rPr>
          <w:rFonts w:ascii="Times New Roman" w:hAnsi="Times New Roman"/>
          <w:color w:val="000000" w:themeColor="text1"/>
          <w:sz w:val="28"/>
          <w:szCs w:val="28"/>
          <w:lang w:eastAsia="uk-UA"/>
        </w:rPr>
      </w:pPr>
      <w:r>
        <w:rPr>
          <w:noProof/>
          <w:lang w:eastAsia="uk-UA"/>
        </w:rPr>
        <w:drawing>
          <wp:inline distT="0" distB="0" distL="0" distR="0" wp14:anchorId="0B64B025" wp14:editId="30C62A0C">
            <wp:extent cx="6267450" cy="3887470"/>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CE84B4E-EE8C-43A8-8BC3-DB18B57484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3D93" w:rsidRPr="002D0530" w:rsidRDefault="00E33D93" w:rsidP="00E33D93">
      <w:pPr>
        <w:pStyle w:val="a9"/>
        <w:spacing w:after="0" w:line="250" w:lineRule="auto"/>
        <w:ind w:left="0" w:firstLine="709"/>
        <w:jc w:val="both"/>
        <w:rPr>
          <w:rFonts w:ascii="Times New Roman" w:hAnsi="Times New Roman"/>
          <w:b/>
          <w:sz w:val="28"/>
          <w:szCs w:val="28"/>
        </w:rPr>
      </w:pPr>
      <w:r w:rsidRPr="00B664DD">
        <w:rPr>
          <w:rFonts w:ascii="Times New Roman" w:hAnsi="Times New Roman"/>
          <w:b/>
          <w:sz w:val="28"/>
          <w:szCs w:val="28"/>
        </w:rPr>
        <w:t>Основними факторами, що спричинили відхилення фактичних показників чистого доходу від плану є:</w:t>
      </w:r>
    </w:p>
    <w:p w:rsidR="00E33D93" w:rsidRPr="00F10BC5" w:rsidRDefault="00E33D93" w:rsidP="00E33D93">
      <w:pPr>
        <w:spacing w:after="0" w:line="240" w:lineRule="auto"/>
        <w:ind w:firstLine="567"/>
        <w:jc w:val="both"/>
        <w:rPr>
          <w:rFonts w:ascii="Times New Roman" w:hAnsi="Times New Roman" w:cs="Times New Roman"/>
          <w:sz w:val="28"/>
          <w:szCs w:val="28"/>
          <w:lang w:val="ru-RU"/>
        </w:rPr>
      </w:pPr>
      <w:r w:rsidRPr="00684C90">
        <w:rPr>
          <w:rFonts w:ascii="Times New Roman" w:hAnsi="Times New Roman" w:cs="Times New Roman"/>
          <w:sz w:val="28"/>
          <w:szCs w:val="28"/>
          <w:lang w:eastAsia="uk-UA"/>
        </w:rPr>
        <w:t xml:space="preserve">- </w:t>
      </w:r>
      <w:r w:rsidRPr="0051764B">
        <w:rPr>
          <w:rFonts w:ascii="Times New Roman" w:hAnsi="Times New Roman" w:cs="Times New Roman"/>
          <w:sz w:val="28"/>
          <w:szCs w:val="28"/>
          <w:lang w:eastAsia="uk-UA"/>
        </w:rPr>
        <w:t>збільшення доходів від портових зборів</w:t>
      </w:r>
      <w:r>
        <w:rPr>
          <w:rFonts w:ascii="Times New Roman" w:hAnsi="Times New Roman" w:cs="Times New Roman"/>
          <w:sz w:val="28"/>
          <w:szCs w:val="28"/>
          <w:lang w:eastAsia="uk-UA"/>
        </w:rPr>
        <w:t xml:space="preserve"> ( на 3%)</w:t>
      </w:r>
      <w:r w:rsidRPr="0051764B">
        <w:rPr>
          <w:rFonts w:ascii="Times New Roman" w:hAnsi="Times New Roman" w:cs="Times New Roman"/>
          <w:sz w:val="28"/>
          <w:szCs w:val="28"/>
          <w:lang w:eastAsia="uk-UA"/>
        </w:rPr>
        <w:t>, лоцманських послуг</w:t>
      </w:r>
      <w:r>
        <w:rPr>
          <w:rFonts w:ascii="Times New Roman" w:hAnsi="Times New Roman" w:cs="Times New Roman"/>
          <w:sz w:val="28"/>
          <w:szCs w:val="28"/>
          <w:lang w:eastAsia="uk-UA"/>
        </w:rPr>
        <w:t xml:space="preserve"> ( на 5%)</w:t>
      </w:r>
      <w:r w:rsidRPr="0051764B">
        <w:rPr>
          <w:rFonts w:ascii="Times New Roman" w:hAnsi="Times New Roman" w:cs="Times New Roman"/>
          <w:sz w:val="28"/>
          <w:szCs w:val="28"/>
          <w:lang w:eastAsia="uk-UA"/>
        </w:rPr>
        <w:t>, послуг з регулювання руху суден</w:t>
      </w:r>
      <w:r>
        <w:rPr>
          <w:rFonts w:ascii="Times New Roman" w:hAnsi="Times New Roman" w:cs="Times New Roman"/>
          <w:sz w:val="28"/>
          <w:szCs w:val="28"/>
          <w:lang w:eastAsia="uk-UA"/>
        </w:rPr>
        <w:t xml:space="preserve"> ( на 5%)</w:t>
      </w:r>
      <w:r w:rsidRPr="0051764B">
        <w:rPr>
          <w:rFonts w:ascii="Times New Roman" w:hAnsi="Times New Roman" w:cs="Times New Roman"/>
          <w:sz w:val="28"/>
          <w:szCs w:val="28"/>
          <w:lang w:eastAsia="uk-UA"/>
        </w:rPr>
        <w:t>,</w:t>
      </w:r>
      <w:r w:rsidRPr="0051764B">
        <w:rPr>
          <w:rFonts w:ascii="Times New Roman" w:hAnsi="Times New Roman" w:cs="Times New Roman"/>
          <w:bCs/>
          <w:color w:val="000000"/>
        </w:rPr>
        <w:t xml:space="preserve"> </w:t>
      </w:r>
      <w:r>
        <w:rPr>
          <w:rFonts w:ascii="Times New Roman" w:hAnsi="Times New Roman" w:cs="Times New Roman"/>
          <w:bCs/>
          <w:sz w:val="28"/>
          <w:szCs w:val="28"/>
          <w:lang w:eastAsia="uk-UA"/>
        </w:rPr>
        <w:t>п</w:t>
      </w:r>
      <w:r w:rsidRPr="0051764B">
        <w:rPr>
          <w:rFonts w:ascii="Times New Roman" w:hAnsi="Times New Roman" w:cs="Times New Roman"/>
          <w:bCs/>
          <w:sz w:val="28"/>
          <w:szCs w:val="28"/>
          <w:lang w:eastAsia="uk-UA"/>
        </w:rPr>
        <w:t>ослуг із забезпеченням доступу портового оператора до причалу</w:t>
      </w:r>
      <w:r>
        <w:rPr>
          <w:rFonts w:ascii="Times New Roman" w:hAnsi="Times New Roman" w:cs="Times New Roman"/>
          <w:bCs/>
          <w:sz w:val="28"/>
          <w:szCs w:val="28"/>
          <w:lang w:eastAsia="uk-UA"/>
        </w:rPr>
        <w:t xml:space="preserve"> ( на 3%)</w:t>
      </w:r>
      <w:r>
        <w:rPr>
          <w:rFonts w:ascii="Times New Roman" w:hAnsi="Times New Roman" w:cs="Times New Roman"/>
          <w:sz w:val="28"/>
          <w:szCs w:val="28"/>
          <w:lang w:eastAsia="uk-UA"/>
        </w:rPr>
        <w:t xml:space="preserve"> яке відбулося за рахунок збільшення вантажообігу у морських портах України на 4% </w:t>
      </w:r>
      <w:r w:rsidRPr="00F10BC5">
        <w:rPr>
          <w:rFonts w:ascii="Times New Roman" w:hAnsi="Times New Roman" w:cs="Times New Roman"/>
          <w:sz w:val="28"/>
          <w:szCs w:val="28"/>
          <w:lang w:val="ru-RU"/>
        </w:rPr>
        <w:t>;</w:t>
      </w:r>
    </w:p>
    <w:p w:rsidR="00E33D93" w:rsidRPr="00684C90" w:rsidRDefault="00E33D93" w:rsidP="00E33D93">
      <w:pPr>
        <w:spacing w:after="0" w:line="240" w:lineRule="auto"/>
        <w:ind w:firstLine="567"/>
        <w:jc w:val="both"/>
        <w:rPr>
          <w:rFonts w:ascii="Times New Roman" w:hAnsi="Times New Roman" w:cs="Times New Roman"/>
          <w:sz w:val="28"/>
          <w:szCs w:val="28"/>
        </w:rPr>
      </w:pPr>
      <w:r w:rsidRPr="00684C90">
        <w:rPr>
          <w:rFonts w:ascii="Times New Roman" w:hAnsi="Times New Roman" w:cs="Times New Roman"/>
          <w:sz w:val="28"/>
          <w:szCs w:val="28"/>
        </w:rPr>
        <w:t>- збільшення доходів від послуг структурних підрозділів ДП «АМПУ», а саме доходів:</w:t>
      </w:r>
    </w:p>
    <w:p w:rsidR="00E33D93" w:rsidRPr="0051764B" w:rsidRDefault="00E33D93" w:rsidP="00E33D93">
      <w:pPr>
        <w:spacing w:after="0" w:line="240" w:lineRule="auto"/>
        <w:ind w:firstLine="567"/>
        <w:jc w:val="both"/>
        <w:rPr>
          <w:rFonts w:ascii="Times New Roman" w:hAnsi="Times New Roman" w:cs="Times New Roman"/>
          <w:sz w:val="28"/>
          <w:szCs w:val="28"/>
        </w:rPr>
      </w:pPr>
      <w:r w:rsidRPr="00684C90">
        <w:rPr>
          <w:rFonts w:ascii="Times New Roman" w:hAnsi="Times New Roman" w:cs="Times New Roman"/>
          <w:sz w:val="28"/>
          <w:szCs w:val="28"/>
        </w:rPr>
        <w:t xml:space="preserve"> </w:t>
      </w:r>
      <w:r w:rsidRPr="00684C90">
        <w:rPr>
          <w:rFonts w:ascii="Times New Roman" w:hAnsi="Times New Roman" w:cs="Times New Roman"/>
          <w:sz w:val="28"/>
          <w:szCs w:val="28"/>
          <w:lang w:val="ru-RU"/>
        </w:rPr>
        <w:t xml:space="preserve"> </w:t>
      </w:r>
      <w:r w:rsidRPr="0051764B">
        <w:rPr>
          <w:rFonts w:ascii="Times New Roman" w:hAnsi="Times New Roman" w:cs="Times New Roman"/>
          <w:sz w:val="28"/>
          <w:szCs w:val="28"/>
        </w:rPr>
        <w:t>від користування об’єктами інфраструктури</w:t>
      </w:r>
      <w:r>
        <w:rPr>
          <w:rFonts w:ascii="Times New Roman" w:hAnsi="Times New Roman" w:cs="Times New Roman"/>
          <w:sz w:val="28"/>
          <w:szCs w:val="28"/>
          <w:lang w:val="ru-RU"/>
        </w:rPr>
        <w:t xml:space="preserve"> на 7 436 тис. грн. ( або 6%)</w:t>
      </w:r>
      <w:r w:rsidRPr="0051764B">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у </w:t>
      </w:r>
      <w:r w:rsidRPr="0051764B">
        <w:rPr>
          <w:rFonts w:ascii="Times New Roman" w:hAnsi="Times New Roman" w:cs="Times New Roman"/>
          <w:sz w:val="28"/>
          <w:szCs w:val="28"/>
        </w:rPr>
        <w:t>зв'язку із збільшенням обсягів наданих послуг на виконання заявок від сторонніх організацій</w:t>
      </w:r>
      <w:r>
        <w:rPr>
          <w:rFonts w:ascii="Times New Roman" w:hAnsi="Times New Roman" w:cs="Times New Roman"/>
          <w:sz w:val="28"/>
          <w:szCs w:val="28"/>
        </w:rPr>
        <w:t>;</w:t>
      </w:r>
    </w:p>
    <w:p w:rsidR="00E33D93" w:rsidRDefault="00E33D93" w:rsidP="00E33D93">
      <w:pPr>
        <w:spacing w:after="0" w:line="240" w:lineRule="auto"/>
        <w:ind w:firstLine="567"/>
        <w:jc w:val="both"/>
        <w:rPr>
          <w:rFonts w:ascii="Times New Roman" w:hAnsi="Times New Roman" w:cs="Times New Roman"/>
          <w:sz w:val="28"/>
          <w:szCs w:val="28"/>
        </w:rPr>
      </w:pPr>
      <w:r w:rsidRPr="0051764B">
        <w:rPr>
          <w:rFonts w:ascii="Times New Roman" w:hAnsi="Times New Roman" w:cs="Times New Roman"/>
          <w:sz w:val="28"/>
          <w:szCs w:val="28"/>
        </w:rPr>
        <w:t xml:space="preserve">диспетчерської служби </w:t>
      </w:r>
      <w:r>
        <w:rPr>
          <w:rFonts w:ascii="Times New Roman" w:hAnsi="Times New Roman" w:cs="Times New Roman"/>
          <w:sz w:val="28"/>
          <w:szCs w:val="28"/>
          <w:lang w:val="ru-RU"/>
        </w:rPr>
        <w:t xml:space="preserve">на 3 685 тис. грн. ( або 7%) - </w:t>
      </w:r>
      <w:r w:rsidRPr="0051764B">
        <w:rPr>
          <w:rFonts w:ascii="Times New Roman" w:hAnsi="Times New Roman" w:cs="Times New Roman"/>
          <w:sz w:val="28"/>
          <w:szCs w:val="28"/>
        </w:rPr>
        <w:t xml:space="preserve">за рахунок збільшення модулю оброблених в акваторії порту суден  </w:t>
      </w:r>
      <w:r>
        <w:rPr>
          <w:rFonts w:ascii="Times New Roman" w:hAnsi="Times New Roman" w:cs="Times New Roman"/>
          <w:sz w:val="28"/>
          <w:szCs w:val="28"/>
        </w:rPr>
        <w:t xml:space="preserve">( що є </w:t>
      </w:r>
      <w:r w:rsidRPr="0051764B">
        <w:rPr>
          <w:rFonts w:ascii="Times New Roman" w:hAnsi="Times New Roman" w:cs="Times New Roman"/>
          <w:sz w:val="28"/>
          <w:szCs w:val="28"/>
        </w:rPr>
        <w:t>баз</w:t>
      </w:r>
      <w:r>
        <w:rPr>
          <w:rFonts w:ascii="Times New Roman" w:hAnsi="Times New Roman" w:cs="Times New Roman"/>
          <w:sz w:val="28"/>
          <w:szCs w:val="28"/>
        </w:rPr>
        <w:t>ою</w:t>
      </w:r>
      <w:r w:rsidRPr="0051764B">
        <w:rPr>
          <w:rFonts w:ascii="Times New Roman" w:hAnsi="Times New Roman" w:cs="Times New Roman"/>
          <w:sz w:val="28"/>
          <w:szCs w:val="28"/>
        </w:rPr>
        <w:t xml:space="preserve"> для нарахування д</w:t>
      </w:r>
      <w:r>
        <w:rPr>
          <w:rFonts w:ascii="Times New Roman" w:hAnsi="Times New Roman" w:cs="Times New Roman"/>
          <w:sz w:val="28"/>
          <w:szCs w:val="28"/>
        </w:rPr>
        <w:t>оходів від інформаційних послуг)</w:t>
      </w:r>
      <w:r w:rsidRPr="0051764B">
        <w:rPr>
          <w:rFonts w:ascii="Times New Roman" w:hAnsi="Times New Roman" w:cs="Times New Roman"/>
          <w:sz w:val="28"/>
          <w:szCs w:val="28"/>
        </w:rPr>
        <w:t>;</w:t>
      </w:r>
    </w:p>
    <w:p w:rsidR="00E33D93" w:rsidRPr="0051764B" w:rsidRDefault="00E33D93" w:rsidP="00E33D93">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портофлоту</w:t>
      </w:r>
      <w:r>
        <w:rPr>
          <w:rFonts w:ascii="Times New Roman" w:hAnsi="Times New Roman" w:cs="Times New Roman"/>
          <w:sz w:val="28"/>
          <w:szCs w:val="28"/>
          <w:lang w:val="ru-RU"/>
        </w:rPr>
        <w:t xml:space="preserve"> на 1 084 тис. грн. ( або 2%) -</w:t>
      </w:r>
      <w:r>
        <w:rPr>
          <w:rFonts w:ascii="Times New Roman" w:hAnsi="Times New Roman" w:cs="Times New Roman"/>
          <w:sz w:val="28"/>
          <w:szCs w:val="28"/>
        </w:rPr>
        <w:t xml:space="preserve"> </w:t>
      </w:r>
      <w:r>
        <w:rPr>
          <w:rFonts w:ascii="Times New Roman" w:eastAsia="Calibri" w:hAnsi="Times New Roman" w:cs="Times New Roman"/>
          <w:sz w:val="28"/>
          <w:szCs w:val="28"/>
        </w:rPr>
        <w:t>у</w:t>
      </w:r>
      <w:r w:rsidRPr="0051764B">
        <w:rPr>
          <w:rFonts w:ascii="Times New Roman" w:eastAsia="Calibri" w:hAnsi="Times New Roman" w:cs="Times New Roman"/>
          <w:sz w:val="28"/>
          <w:szCs w:val="28"/>
        </w:rPr>
        <w:t xml:space="preserve"> зв’язку </w:t>
      </w:r>
      <w:r>
        <w:rPr>
          <w:rFonts w:ascii="Times New Roman" w:eastAsia="Calibri" w:hAnsi="Times New Roman" w:cs="Times New Roman"/>
          <w:sz w:val="28"/>
          <w:szCs w:val="28"/>
        </w:rPr>
        <w:t xml:space="preserve">з проведенням промірних робіт </w:t>
      </w:r>
      <w:r w:rsidRPr="0051764B">
        <w:rPr>
          <w:rFonts w:ascii="Times New Roman" w:eastAsia="Calibri" w:hAnsi="Times New Roman" w:cs="Times New Roman"/>
          <w:sz w:val="28"/>
          <w:szCs w:val="28"/>
        </w:rPr>
        <w:t>при пров</w:t>
      </w:r>
      <w:r>
        <w:rPr>
          <w:rFonts w:ascii="Times New Roman" w:eastAsia="Calibri" w:hAnsi="Times New Roman" w:cs="Times New Roman"/>
          <w:sz w:val="28"/>
          <w:szCs w:val="28"/>
        </w:rPr>
        <w:t>еденні днопоглиблювальних робіт</w:t>
      </w:r>
      <w:r>
        <w:rPr>
          <w:rFonts w:ascii="Calibri" w:eastAsia="Calibri" w:hAnsi="Calibri" w:cs="Times New Roman"/>
          <w:sz w:val="28"/>
          <w:szCs w:val="28"/>
        </w:rPr>
        <w:t>;</w:t>
      </w:r>
      <w:r w:rsidRPr="0051764B">
        <w:rPr>
          <w:rFonts w:ascii="Calibri" w:eastAsia="Calibri" w:hAnsi="Calibri" w:cs="Times New Roman"/>
          <w:sz w:val="28"/>
          <w:szCs w:val="28"/>
        </w:rPr>
        <w:t xml:space="preserve"> </w:t>
      </w:r>
    </w:p>
    <w:p w:rsidR="00E33D93" w:rsidRPr="00342D3F" w:rsidRDefault="00E33D93" w:rsidP="00E33D93">
      <w:pPr>
        <w:spacing w:after="0" w:line="240" w:lineRule="auto"/>
        <w:ind w:firstLine="567"/>
        <w:jc w:val="both"/>
        <w:rPr>
          <w:rFonts w:ascii="Times New Roman" w:hAnsi="Times New Roman" w:cs="Times New Roman"/>
          <w:sz w:val="28"/>
          <w:szCs w:val="28"/>
        </w:rPr>
      </w:pPr>
      <w:r w:rsidRPr="0051764B">
        <w:rPr>
          <w:rFonts w:ascii="Times New Roman" w:hAnsi="Times New Roman" w:cs="Times New Roman"/>
          <w:sz w:val="28"/>
          <w:szCs w:val="28"/>
        </w:rPr>
        <w:lastRenderedPageBreak/>
        <w:t>служби морської безпеки</w:t>
      </w:r>
      <w:r>
        <w:rPr>
          <w:rFonts w:ascii="Times New Roman" w:hAnsi="Times New Roman" w:cs="Times New Roman"/>
          <w:sz w:val="28"/>
          <w:szCs w:val="28"/>
          <w:lang w:val="ru-RU"/>
        </w:rPr>
        <w:t xml:space="preserve"> на 3 122 тис. грн. (або 4%) –</w:t>
      </w:r>
      <w:r w:rsidRPr="0051764B">
        <w:rPr>
          <w:rFonts w:ascii="Times New Roman" w:hAnsi="Times New Roman" w:cs="Times New Roman"/>
          <w:sz w:val="28"/>
          <w:szCs w:val="28"/>
        </w:rPr>
        <w:t xml:space="preserve"> </w:t>
      </w:r>
      <w:r>
        <w:rPr>
          <w:rFonts w:ascii="Times New Roman" w:hAnsi="Times New Roman" w:cs="Times New Roman"/>
          <w:sz w:val="28"/>
          <w:szCs w:val="28"/>
        </w:rPr>
        <w:t xml:space="preserve">за рахунок </w:t>
      </w:r>
      <w:r w:rsidRPr="0051764B">
        <w:rPr>
          <w:rFonts w:ascii="Times New Roman" w:hAnsi="Times New Roman" w:cs="Times New Roman"/>
          <w:sz w:val="28"/>
          <w:szCs w:val="28"/>
        </w:rPr>
        <w:t>збільшення фактичної кількості годин охорони суден,</w:t>
      </w:r>
      <w:r>
        <w:rPr>
          <w:rFonts w:ascii="Times New Roman" w:hAnsi="Times New Roman" w:cs="Times New Roman"/>
          <w:sz w:val="28"/>
          <w:szCs w:val="28"/>
        </w:rPr>
        <w:t xml:space="preserve"> а також збільшення кількості оформлених</w:t>
      </w:r>
      <w:r w:rsidRPr="0051764B">
        <w:rPr>
          <w:rFonts w:ascii="Times New Roman" w:hAnsi="Times New Roman" w:cs="Times New Roman"/>
          <w:sz w:val="28"/>
          <w:szCs w:val="28"/>
        </w:rPr>
        <w:t xml:space="preserve"> перепусток та від інших послуг </w:t>
      </w:r>
      <w:r>
        <w:rPr>
          <w:rFonts w:ascii="Times New Roman" w:hAnsi="Times New Roman" w:cs="Times New Roman"/>
          <w:sz w:val="28"/>
          <w:szCs w:val="28"/>
        </w:rPr>
        <w:t xml:space="preserve">по </w:t>
      </w:r>
      <w:r w:rsidRPr="0051764B">
        <w:rPr>
          <w:rFonts w:ascii="Times New Roman" w:hAnsi="Times New Roman" w:cs="Times New Roman"/>
          <w:sz w:val="28"/>
          <w:szCs w:val="28"/>
        </w:rPr>
        <w:t>з</w:t>
      </w:r>
      <w:r>
        <w:rPr>
          <w:rFonts w:ascii="Times New Roman" w:hAnsi="Times New Roman" w:cs="Times New Roman"/>
          <w:sz w:val="28"/>
          <w:szCs w:val="28"/>
        </w:rPr>
        <w:t>аявкам від сторонніх організацій.</w:t>
      </w:r>
    </w:p>
    <w:p w:rsidR="00E33D93" w:rsidRPr="00F10BC5" w:rsidRDefault="00E33D93" w:rsidP="00E33D93">
      <w:pPr>
        <w:spacing w:after="0" w:line="240" w:lineRule="auto"/>
        <w:ind w:firstLine="567"/>
        <w:jc w:val="both"/>
        <w:rPr>
          <w:rFonts w:ascii="Times New Roman" w:hAnsi="Times New Roman" w:cs="Times New Roman"/>
          <w:color w:val="FF0000"/>
          <w:sz w:val="28"/>
          <w:szCs w:val="28"/>
          <w:lang w:eastAsia="ru-RU"/>
        </w:rPr>
      </w:pPr>
      <w:r>
        <w:rPr>
          <w:rFonts w:ascii="Times New Roman" w:hAnsi="Times New Roman" w:cs="Times New Roman"/>
          <w:bCs/>
          <w:iCs/>
          <w:sz w:val="28"/>
          <w:szCs w:val="28"/>
        </w:rPr>
        <w:t xml:space="preserve">У 2019 році у зв’язку з погодними умовами льодова компанія була оголошена </w:t>
      </w:r>
      <w:r w:rsidRPr="00342D3F">
        <w:rPr>
          <w:rFonts w:ascii="Times New Roman" w:hAnsi="Times New Roman" w:cs="Times New Roman"/>
          <w:sz w:val="28"/>
          <w:szCs w:val="28"/>
          <w:lang w:eastAsia="ru-RU"/>
        </w:rPr>
        <w:t>лише у деяких морських портах України (Білгород-Дністровськ</w:t>
      </w:r>
      <w:r>
        <w:rPr>
          <w:rFonts w:ascii="Times New Roman" w:hAnsi="Times New Roman" w:cs="Times New Roman"/>
          <w:sz w:val="28"/>
          <w:szCs w:val="28"/>
          <w:lang w:eastAsia="ru-RU"/>
        </w:rPr>
        <w:t>а</w:t>
      </w:r>
      <w:r w:rsidRPr="00342D3F">
        <w:rPr>
          <w:rFonts w:ascii="Times New Roman" w:hAnsi="Times New Roman" w:cs="Times New Roman"/>
          <w:sz w:val="28"/>
          <w:szCs w:val="28"/>
          <w:lang w:eastAsia="ru-RU"/>
        </w:rPr>
        <w:t>,  М</w:t>
      </w:r>
      <w:r>
        <w:rPr>
          <w:rFonts w:ascii="Times New Roman" w:hAnsi="Times New Roman" w:cs="Times New Roman"/>
          <w:sz w:val="28"/>
          <w:szCs w:val="28"/>
          <w:lang w:eastAsia="ru-RU"/>
        </w:rPr>
        <w:t xml:space="preserve">аріупольська та філії «Ольвія») за рахунок цього виконання </w:t>
      </w:r>
      <w:r w:rsidRPr="00342D3F">
        <w:rPr>
          <w:rFonts w:ascii="Times New Roman" w:hAnsi="Times New Roman" w:cs="Times New Roman"/>
          <w:sz w:val="28"/>
          <w:szCs w:val="28"/>
        </w:rPr>
        <w:t xml:space="preserve"> доходів від </w:t>
      </w:r>
      <w:r w:rsidRPr="00342D3F">
        <w:rPr>
          <w:rFonts w:ascii="Times New Roman" w:hAnsi="Times New Roman" w:cs="Times New Roman"/>
          <w:sz w:val="28"/>
          <w:szCs w:val="28"/>
          <w:lang w:eastAsia="ru-RU"/>
        </w:rPr>
        <w:t>забезпечення проведення криголамних робіт</w:t>
      </w:r>
      <w:r>
        <w:rPr>
          <w:rFonts w:ascii="Times New Roman" w:hAnsi="Times New Roman" w:cs="Times New Roman"/>
          <w:sz w:val="28"/>
          <w:szCs w:val="28"/>
          <w:lang w:eastAsia="ru-RU"/>
        </w:rPr>
        <w:t xml:space="preserve"> склало 87%.</w:t>
      </w:r>
    </w:p>
    <w:p w:rsidR="00E33D93" w:rsidRPr="00B664DD" w:rsidRDefault="00E33D93" w:rsidP="00E33D93">
      <w:pPr>
        <w:pStyle w:val="a9"/>
        <w:spacing w:after="0" w:line="250" w:lineRule="auto"/>
        <w:ind w:left="0" w:firstLine="709"/>
        <w:jc w:val="both"/>
        <w:rPr>
          <w:rFonts w:ascii="Times New Roman" w:hAnsi="Times New Roman"/>
          <w:b/>
          <w:sz w:val="28"/>
          <w:szCs w:val="28"/>
        </w:rPr>
      </w:pPr>
      <w:r w:rsidRPr="00B664DD">
        <w:rPr>
          <w:rFonts w:ascii="Times New Roman" w:hAnsi="Times New Roman"/>
          <w:b/>
          <w:sz w:val="28"/>
          <w:szCs w:val="28"/>
        </w:rPr>
        <w:t xml:space="preserve">Основними факторами, що спричинили відхилення фактичних показників чистого доходу від </w:t>
      </w:r>
      <w:r>
        <w:rPr>
          <w:rFonts w:ascii="Times New Roman" w:hAnsi="Times New Roman"/>
          <w:b/>
          <w:sz w:val="28"/>
          <w:szCs w:val="28"/>
        </w:rPr>
        <w:t>фактичних показників 2018 року</w:t>
      </w:r>
      <w:r w:rsidRPr="00B664DD">
        <w:rPr>
          <w:rFonts w:ascii="Times New Roman" w:hAnsi="Times New Roman"/>
          <w:b/>
          <w:sz w:val="28"/>
          <w:szCs w:val="28"/>
        </w:rPr>
        <w:t xml:space="preserve"> є:</w:t>
      </w:r>
    </w:p>
    <w:p w:rsidR="00E33D93" w:rsidRPr="00FD1BF4" w:rsidRDefault="00E33D93" w:rsidP="00E33D93">
      <w:pPr>
        <w:spacing w:after="0" w:line="240" w:lineRule="auto"/>
        <w:ind w:firstLine="567"/>
        <w:jc w:val="both"/>
        <w:rPr>
          <w:rFonts w:ascii="Times New Roman" w:hAnsi="Times New Roman" w:cs="Times New Roman"/>
          <w:sz w:val="28"/>
          <w:szCs w:val="28"/>
          <w:lang w:eastAsia="uk-UA"/>
        </w:rPr>
      </w:pPr>
      <w:r w:rsidRPr="0051764B">
        <w:rPr>
          <w:rFonts w:ascii="Times New Roman" w:hAnsi="Times New Roman" w:cs="Times New Roman"/>
          <w:sz w:val="28"/>
          <w:szCs w:val="28"/>
          <w:lang w:eastAsia="uk-UA"/>
        </w:rPr>
        <w:t>- збільшення доходів від портових зборів</w:t>
      </w:r>
      <w:r>
        <w:rPr>
          <w:rFonts w:ascii="Times New Roman" w:hAnsi="Times New Roman" w:cs="Times New Roman"/>
          <w:sz w:val="28"/>
          <w:szCs w:val="28"/>
          <w:lang w:eastAsia="uk-UA"/>
        </w:rPr>
        <w:t xml:space="preserve"> (10%)</w:t>
      </w:r>
      <w:r w:rsidRPr="0051764B">
        <w:rPr>
          <w:rFonts w:ascii="Times New Roman" w:hAnsi="Times New Roman" w:cs="Times New Roman"/>
          <w:sz w:val="28"/>
          <w:szCs w:val="28"/>
          <w:lang w:eastAsia="uk-UA"/>
        </w:rPr>
        <w:t>, лоцманських послуг</w:t>
      </w:r>
      <w:r>
        <w:rPr>
          <w:rFonts w:ascii="Times New Roman" w:hAnsi="Times New Roman" w:cs="Times New Roman"/>
          <w:sz w:val="28"/>
          <w:szCs w:val="28"/>
          <w:lang w:eastAsia="uk-UA"/>
        </w:rPr>
        <w:t xml:space="preserve"> (10%)</w:t>
      </w:r>
      <w:r w:rsidRPr="0051764B">
        <w:rPr>
          <w:rFonts w:ascii="Times New Roman" w:hAnsi="Times New Roman" w:cs="Times New Roman"/>
          <w:sz w:val="28"/>
          <w:szCs w:val="28"/>
          <w:lang w:eastAsia="uk-UA"/>
        </w:rPr>
        <w:t>, послуг з регулювання руху суден</w:t>
      </w:r>
      <w:r>
        <w:rPr>
          <w:rFonts w:ascii="Times New Roman" w:hAnsi="Times New Roman" w:cs="Times New Roman"/>
          <w:sz w:val="28"/>
          <w:szCs w:val="28"/>
          <w:lang w:eastAsia="uk-UA"/>
        </w:rPr>
        <w:t xml:space="preserve"> (13%)</w:t>
      </w:r>
      <w:r w:rsidRPr="001D55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яке відбулося за рахунок збільшення вантажообігу у морських портах України на 18%</w:t>
      </w:r>
      <w:r w:rsidRPr="00FD1BF4">
        <w:rPr>
          <w:rFonts w:ascii="Times New Roman" w:hAnsi="Times New Roman" w:cs="Times New Roman"/>
          <w:sz w:val="28"/>
          <w:szCs w:val="28"/>
          <w:lang w:eastAsia="uk-UA"/>
        </w:rPr>
        <w:t>;</w:t>
      </w:r>
    </w:p>
    <w:p w:rsidR="00E33D93" w:rsidRDefault="00E33D93" w:rsidP="00E33D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eastAsia="uk-UA"/>
        </w:rPr>
        <w:t xml:space="preserve">- </w:t>
      </w:r>
      <w:r w:rsidRPr="00443E98">
        <w:rPr>
          <w:rFonts w:ascii="Times New Roman" w:hAnsi="Times New Roman" w:cs="Times New Roman"/>
          <w:sz w:val="28"/>
          <w:szCs w:val="28"/>
        </w:rPr>
        <w:t xml:space="preserve">зменшення </w:t>
      </w:r>
      <w:r w:rsidRPr="00443E98">
        <w:rPr>
          <w:rFonts w:ascii="Times New Roman" w:hAnsi="Times New Roman" w:cs="Times New Roman"/>
          <w:bCs/>
          <w:iCs/>
          <w:sz w:val="28"/>
          <w:szCs w:val="28"/>
        </w:rPr>
        <w:t xml:space="preserve">доходів від послуги </w:t>
      </w:r>
      <w:r w:rsidRPr="00443E98">
        <w:rPr>
          <w:rFonts w:ascii="Times New Roman" w:eastAsia="Times New Roman" w:hAnsi="Times New Roman" w:cs="Times New Roman"/>
          <w:sz w:val="28"/>
          <w:szCs w:val="28"/>
          <w:lang w:eastAsia="ru-RU"/>
        </w:rPr>
        <w:t>із забезпеченням доступу портового оператора до</w:t>
      </w:r>
      <w:r>
        <w:rPr>
          <w:rFonts w:ascii="Times New Roman" w:eastAsia="Times New Roman" w:hAnsi="Times New Roman" w:cs="Times New Roman"/>
          <w:sz w:val="28"/>
          <w:szCs w:val="28"/>
          <w:lang w:eastAsia="ru-RU"/>
        </w:rPr>
        <w:t xml:space="preserve"> </w:t>
      </w:r>
      <w:r w:rsidRPr="00443E98">
        <w:rPr>
          <w:rFonts w:ascii="Times New Roman" w:eastAsia="Times New Roman" w:hAnsi="Times New Roman" w:cs="Times New Roman"/>
          <w:sz w:val="28"/>
          <w:szCs w:val="28"/>
          <w:lang w:eastAsia="ru-RU"/>
        </w:rPr>
        <w:t>причалу</w:t>
      </w:r>
      <w:r>
        <w:rPr>
          <w:rFonts w:ascii="Times New Roman" w:eastAsia="Times New Roman" w:hAnsi="Times New Roman" w:cs="Times New Roman"/>
          <w:sz w:val="28"/>
          <w:szCs w:val="28"/>
          <w:lang w:eastAsia="ru-RU"/>
        </w:rPr>
        <w:t xml:space="preserve"> на 56 841 тис. грн. (або 7%) яке</w:t>
      </w:r>
      <w:r w:rsidRPr="00443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відбулося </w:t>
      </w:r>
      <w:r w:rsidRPr="00443E98">
        <w:rPr>
          <w:rFonts w:ascii="Times New Roman" w:eastAsia="Times New Roman" w:hAnsi="Times New Roman" w:cs="Times New Roman"/>
          <w:sz w:val="28"/>
          <w:szCs w:val="28"/>
          <w:lang w:eastAsia="ru-RU"/>
        </w:rPr>
        <w:t xml:space="preserve">у зв’язку </w:t>
      </w:r>
      <w:r w:rsidRPr="00443E98">
        <w:rPr>
          <w:rFonts w:ascii="Times New Roman" w:hAnsi="Times New Roman" w:cs="Times New Roman"/>
          <w:bCs/>
          <w:iCs/>
          <w:sz w:val="28"/>
          <w:szCs w:val="28"/>
        </w:rPr>
        <w:t xml:space="preserve">з </w:t>
      </w:r>
      <w:r w:rsidRPr="00443E98">
        <w:rPr>
          <w:rFonts w:ascii="Times New Roman" w:hAnsi="Times New Roman" w:cs="Times New Roman"/>
          <w:sz w:val="28"/>
          <w:szCs w:val="28"/>
        </w:rPr>
        <w:t xml:space="preserve">переукладанням договорів про встановлення сервітуту. На виконання протоколу  від 14.01.2019 року №4 Робочої групи з усунення порушень та недоліків, зазначених в звіті Державної аудиторської служби від 16.03.2018 №05-21/1 та згідно розпорядження Миколаївської філії ДП «АМПУ» від 22.01.2019 № 4/18 з 01.01.2019 року  п’яти портовим операторам припинено нарахування плати </w:t>
      </w:r>
      <w:r w:rsidRPr="00443E98">
        <w:rPr>
          <w:rStyle w:val="af4"/>
          <w:rFonts w:ascii="Times New Roman" w:hAnsi="Times New Roman" w:cs="Times New Roman"/>
          <w:bCs/>
          <w:i w:val="0"/>
          <w:iCs w:val="0"/>
          <w:sz w:val="28"/>
          <w:szCs w:val="28"/>
          <w:shd w:val="clear" w:color="auto" w:fill="FFFFFF"/>
        </w:rPr>
        <w:t>за</w:t>
      </w:r>
      <w:r w:rsidRPr="00443E98">
        <w:rPr>
          <w:rFonts w:ascii="Times New Roman" w:hAnsi="Times New Roman" w:cs="Times New Roman"/>
          <w:sz w:val="28"/>
          <w:szCs w:val="28"/>
          <w:shd w:val="clear" w:color="auto" w:fill="FFFFFF"/>
        </w:rPr>
        <w:t xml:space="preserve"> послуги із забезпечення </w:t>
      </w:r>
      <w:r w:rsidRPr="00443E98">
        <w:rPr>
          <w:rStyle w:val="af4"/>
          <w:rFonts w:ascii="Times New Roman" w:hAnsi="Times New Roman" w:cs="Times New Roman"/>
          <w:bCs/>
          <w:i w:val="0"/>
          <w:iCs w:val="0"/>
          <w:sz w:val="28"/>
          <w:szCs w:val="28"/>
          <w:shd w:val="clear" w:color="auto" w:fill="FFFFFF"/>
        </w:rPr>
        <w:t>доступу</w:t>
      </w:r>
      <w:r w:rsidRPr="00443E98">
        <w:rPr>
          <w:rFonts w:ascii="Times New Roman" w:hAnsi="Times New Roman" w:cs="Times New Roman"/>
          <w:sz w:val="28"/>
          <w:szCs w:val="28"/>
          <w:shd w:val="clear" w:color="auto" w:fill="FFFFFF"/>
        </w:rPr>
        <w:t> портового оператора </w:t>
      </w:r>
      <w:r w:rsidRPr="00443E98">
        <w:rPr>
          <w:rStyle w:val="af4"/>
          <w:rFonts w:ascii="Times New Roman" w:hAnsi="Times New Roman" w:cs="Times New Roman"/>
          <w:bCs/>
          <w:i w:val="0"/>
          <w:iCs w:val="0"/>
          <w:sz w:val="28"/>
          <w:szCs w:val="28"/>
          <w:shd w:val="clear" w:color="auto" w:fill="FFFFFF"/>
        </w:rPr>
        <w:t>до причалів</w:t>
      </w:r>
      <w:r w:rsidRPr="00443E98">
        <w:rPr>
          <w:rFonts w:ascii="Times New Roman" w:hAnsi="Times New Roman" w:cs="Times New Roman"/>
          <w:sz w:val="28"/>
          <w:szCs w:val="28"/>
        </w:rPr>
        <w:t xml:space="preserve"> </w:t>
      </w:r>
      <w:r>
        <w:rPr>
          <w:rFonts w:ascii="Times New Roman" w:hAnsi="Times New Roman" w:cs="Times New Roman"/>
          <w:sz w:val="28"/>
          <w:szCs w:val="28"/>
        </w:rPr>
        <w:t>Миколаївської філії ДП «АМПУ». К</w:t>
      </w:r>
      <w:r w:rsidRPr="00443E98">
        <w:rPr>
          <w:rFonts w:ascii="Times New Roman" w:hAnsi="Times New Roman" w:cs="Times New Roman"/>
          <w:sz w:val="28"/>
          <w:szCs w:val="28"/>
        </w:rPr>
        <w:t>ористування причалами здійснюється на підставі договору сервітуту</w:t>
      </w:r>
      <w:r w:rsidRPr="00D1267E">
        <w:rPr>
          <w:rFonts w:ascii="Times New Roman" w:hAnsi="Times New Roman" w:cs="Times New Roman"/>
          <w:sz w:val="28"/>
          <w:szCs w:val="28"/>
        </w:rPr>
        <w:t>.</w:t>
      </w:r>
    </w:p>
    <w:p w:rsidR="00E33D93" w:rsidRPr="00F10BC5" w:rsidRDefault="00E33D93" w:rsidP="00E33D93">
      <w:pPr>
        <w:spacing w:after="0" w:line="240" w:lineRule="auto"/>
        <w:ind w:firstLine="567"/>
        <w:jc w:val="both"/>
        <w:rPr>
          <w:rFonts w:ascii="Times New Roman" w:hAnsi="Times New Roman" w:cs="Times New Roman"/>
          <w:color w:val="FF0000"/>
          <w:sz w:val="28"/>
          <w:szCs w:val="28"/>
          <w:lang w:eastAsia="ru-RU"/>
        </w:rPr>
      </w:pPr>
      <w:r>
        <w:rPr>
          <w:rFonts w:ascii="Times New Roman" w:hAnsi="Times New Roman" w:cs="Times New Roman"/>
          <w:bCs/>
          <w:iCs/>
          <w:sz w:val="28"/>
          <w:szCs w:val="28"/>
        </w:rPr>
        <w:t xml:space="preserve">У 2019 році у зв’язку з погодними умовами льодова компанія була оголошена </w:t>
      </w:r>
      <w:r w:rsidRPr="00342D3F">
        <w:rPr>
          <w:rFonts w:ascii="Times New Roman" w:hAnsi="Times New Roman" w:cs="Times New Roman"/>
          <w:sz w:val="28"/>
          <w:szCs w:val="28"/>
          <w:lang w:eastAsia="ru-RU"/>
        </w:rPr>
        <w:t>лише у деяких морських портах України (Білгород-Дністровська,  М</w:t>
      </w:r>
      <w:r>
        <w:rPr>
          <w:rFonts w:ascii="Times New Roman" w:hAnsi="Times New Roman" w:cs="Times New Roman"/>
          <w:sz w:val="28"/>
          <w:szCs w:val="28"/>
          <w:lang w:eastAsia="ru-RU"/>
        </w:rPr>
        <w:t xml:space="preserve">аріупольська та філія «Ольвія») за рахунок цього виконання </w:t>
      </w:r>
      <w:r w:rsidRPr="00342D3F">
        <w:rPr>
          <w:rFonts w:ascii="Times New Roman" w:hAnsi="Times New Roman" w:cs="Times New Roman"/>
          <w:sz w:val="28"/>
          <w:szCs w:val="28"/>
        </w:rPr>
        <w:t xml:space="preserve"> доходів від </w:t>
      </w:r>
      <w:r w:rsidRPr="00342D3F">
        <w:rPr>
          <w:rFonts w:ascii="Times New Roman" w:hAnsi="Times New Roman" w:cs="Times New Roman"/>
          <w:sz w:val="28"/>
          <w:szCs w:val="28"/>
          <w:lang w:eastAsia="ru-RU"/>
        </w:rPr>
        <w:t>забезпечення проведення криголамних робіт</w:t>
      </w:r>
      <w:r>
        <w:rPr>
          <w:rFonts w:ascii="Times New Roman" w:hAnsi="Times New Roman" w:cs="Times New Roman"/>
          <w:sz w:val="28"/>
          <w:szCs w:val="28"/>
          <w:lang w:eastAsia="ru-RU"/>
        </w:rPr>
        <w:t xml:space="preserve"> склало 74%.</w:t>
      </w:r>
    </w:p>
    <w:p w:rsidR="00D727E2" w:rsidRPr="00C61B4C" w:rsidRDefault="00D727E2" w:rsidP="00D727E2">
      <w:pPr>
        <w:pStyle w:val="a3"/>
        <w:spacing w:line="240" w:lineRule="auto"/>
        <w:ind w:firstLine="851"/>
        <w:contextualSpacing/>
        <w:rPr>
          <w:color w:val="FF0000"/>
          <w:szCs w:val="28"/>
        </w:rPr>
      </w:pPr>
      <w:r w:rsidRPr="00C61B4C">
        <w:rPr>
          <w:color w:val="FF0000"/>
          <w:szCs w:val="28"/>
        </w:rPr>
        <w:t xml:space="preserve">                                                                                          </w:t>
      </w:r>
    </w:p>
    <w:p w:rsidR="00297220" w:rsidRPr="00297220" w:rsidRDefault="00297220" w:rsidP="00297220">
      <w:pPr>
        <w:numPr>
          <w:ilvl w:val="1"/>
          <w:numId w:val="31"/>
        </w:numPr>
        <w:spacing w:after="0" w:line="240" w:lineRule="auto"/>
        <w:ind w:left="0" w:firstLine="0"/>
        <w:contextualSpacing/>
        <w:jc w:val="center"/>
        <w:rPr>
          <w:rFonts w:ascii="Times New Roman" w:eastAsia="Times New Roman" w:hAnsi="Times New Roman" w:cs="Times New Roman"/>
          <w:b/>
          <w:sz w:val="28"/>
          <w:szCs w:val="28"/>
          <w:lang w:eastAsia="ru-RU"/>
        </w:rPr>
      </w:pPr>
      <w:r w:rsidRPr="00297220">
        <w:rPr>
          <w:rFonts w:ascii="Times New Roman" w:eastAsia="Times New Roman" w:hAnsi="Times New Roman" w:cs="Times New Roman"/>
          <w:b/>
          <w:sz w:val="28"/>
          <w:szCs w:val="28"/>
          <w:lang w:eastAsia="ru-RU"/>
        </w:rPr>
        <w:t>Інші операційні доходи</w:t>
      </w:r>
    </w:p>
    <w:p w:rsidR="00297220" w:rsidRPr="00297220" w:rsidRDefault="00297220" w:rsidP="00297220">
      <w:pPr>
        <w:spacing w:after="0" w:line="240" w:lineRule="auto"/>
        <w:ind w:left="1855"/>
        <w:contextualSpacing/>
        <w:jc w:val="center"/>
        <w:rPr>
          <w:rFonts w:ascii="Times New Roman" w:eastAsia="Times New Roman" w:hAnsi="Times New Roman" w:cs="Times New Roman"/>
          <w:b/>
          <w:sz w:val="28"/>
          <w:szCs w:val="28"/>
          <w:lang w:eastAsia="ru-RU"/>
        </w:rPr>
      </w:pPr>
    </w:p>
    <w:p w:rsidR="00297220" w:rsidRPr="00297220" w:rsidRDefault="00297220" w:rsidP="00297220">
      <w:pPr>
        <w:spacing w:after="0" w:line="240" w:lineRule="auto"/>
        <w:ind w:firstLine="567"/>
        <w:contextualSpacing/>
        <w:jc w:val="both"/>
        <w:outlineLvl w:val="2"/>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 xml:space="preserve">За звітний  період інші операційні доходи склали </w:t>
      </w:r>
      <w:r w:rsidRPr="00297220">
        <w:rPr>
          <w:rFonts w:ascii="Times New Roman" w:eastAsia="Times New Roman" w:hAnsi="Times New Roman" w:cs="Times New Roman"/>
          <w:b/>
          <w:bCs/>
          <w:iCs/>
          <w:sz w:val="28"/>
          <w:szCs w:val="28"/>
        </w:rPr>
        <w:t xml:space="preserve">215 393  </w:t>
      </w:r>
      <w:r w:rsidRPr="00297220">
        <w:rPr>
          <w:rFonts w:ascii="Times New Roman" w:eastAsia="Times New Roman" w:hAnsi="Times New Roman" w:cs="Times New Roman"/>
          <w:bCs/>
          <w:iCs/>
          <w:sz w:val="28"/>
          <w:szCs w:val="28"/>
        </w:rPr>
        <w:t xml:space="preserve">тис.  грн., що на </w:t>
      </w:r>
      <w:r w:rsidRPr="00297220">
        <w:rPr>
          <w:rFonts w:ascii="Times New Roman" w:eastAsia="Times New Roman" w:hAnsi="Times New Roman" w:cs="Times New Roman"/>
          <w:b/>
          <w:bCs/>
          <w:iCs/>
          <w:sz w:val="28"/>
          <w:szCs w:val="28"/>
        </w:rPr>
        <w:t xml:space="preserve"> </w:t>
      </w:r>
      <w:r w:rsidRPr="00297220">
        <w:rPr>
          <w:rFonts w:ascii="Times New Roman" w:eastAsia="Times New Roman" w:hAnsi="Times New Roman" w:cs="Times New Roman"/>
          <w:bCs/>
          <w:iCs/>
          <w:sz w:val="28"/>
          <w:szCs w:val="28"/>
        </w:rPr>
        <w:t>11 143</w:t>
      </w:r>
      <w:r w:rsidRPr="00297220">
        <w:rPr>
          <w:rFonts w:ascii="Times New Roman" w:eastAsia="Times New Roman" w:hAnsi="Times New Roman" w:cs="Times New Roman"/>
          <w:b/>
          <w:bCs/>
          <w:iCs/>
          <w:sz w:val="28"/>
          <w:szCs w:val="28"/>
        </w:rPr>
        <w:t xml:space="preserve"> </w:t>
      </w:r>
      <w:r w:rsidRPr="00297220">
        <w:rPr>
          <w:rFonts w:ascii="Times New Roman" w:eastAsia="Times New Roman" w:hAnsi="Times New Roman" w:cs="Times New Roman"/>
          <w:bCs/>
          <w:iCs/>
          <w:sz w:val="28"/>
          <w:szCs w:val="28"/>
        </w:rPr>
        <w:t xml:space="preserve">тис. грн. або на 5 відсотків перевищує плановий </w:t>
      </w:r>
      <w:r w:rsidRPr="00297220">
        <w:rPr>
          <w:rFonts w:ascii="Times New Roman" w:eastAsia="Times New Roman" w:hAnsi="Times New Roman" w:cs="Times New Roman"/>
          <w:bCs/>
          <w:iCs/>
          <w:sz w:val="28"/>
          <w:szCs w:val="28"/>
          <w:lang w:eastAsia="x-none"/>
        </w:rPr>
        <w:t>показник</w:t>
      </w:r>
      <w:r w:rsidRPr="00297220">
        <w:rPr>
          <w:rFonts w:ascii="Times New Roman" w:eastAsia="Times New Roman" w:hAnsi="Times New Roman" w:cs="Times New Roman"/>
          <w:bCs/>
          <w:iCs/>
          <w:sz w:val="28"/>
          <w:szCs w:val="28"/>
        </w:rPr>
        <w:t xml:space="preserve"> </w:t>
      </w:r>
      <w:bookmarkStart w:id="1" w:name="_Toc417639843"/>
      <w:r w:rsidRPr="00297220">
        <w:rPr>
          <w:rFonts w:ascii="Times New Roman" w:eastAsia="Times New Roman" w:hAnsi="Times New Roman" w:cs="Times New Roman"/>
          <w:bCs/>
          <w:iCs/>
          <w:sz w:val="28"/>
          <w:szCs w:val="28"/>
        </w:rPr>
        <w:t>2019 року</w:t>
      </w:r>
      <w:bookmarkEnd w:id="1"/>
      <w:r w:rsidRPr="00297220">
        <w:rPr>
          <w:rFonts w:ascii="Times New Roman" w:eastAsia="Times New Roman" w:hAnsi="Times New Roman" w:cs="Times New Roman"/>
          <w:bCs/>
          <w:iCs/>
          <w:sz w:val="28"/>
          <w:szCs w:val="28"/>
        </w:rPr>
        <w:t xml:space="preserve"> та на 164 735 тис. грн. менше показника 2018 року. Зменшення у порівняння з аналогічним періодом 2018 року відбулося переважно за рахунок отримання в 2019 році значно менших сум одержаних штрафів пені, неустойок: 42 867 тис. грн. в 2019 році при 152 779 тис. грн. в 2018 році.</w:t>
      </w:r>
    </w:p>
    <w:p w:rsidR="00297220" w:rsidRPr="00297220" w:rsidRDefault="00297220" w:rsidP="00297220">
      <w:pPr>
        <w:spacing w:after="0" w:line="240" w:lineRule="auto"/>
        <w:ind w:firstLine="567"/>
        <w:contextualSpacing/>
        <w:jc w:val="both"/>
        <w:outlineLvl w:val="2"/>
        <w:rPr>
          <w:rFonts w:ascii="Times New Roman" w:eastAsia="Times New Roman" w:hAnsi="Times New Roman" w:cs="Times New Roman"/>
          <w:bCs/>
          <w:iCs/>
          <w:sz w:val="28"/>
          <w:szCs w:val="28"/>
        </w:rPr>
      </w:pPr>
    </w:p>
    <w:p w:rsidR="00297220" w:rsidRPr="00D3606C" w:rsidRDefault="00297220" w:rsidP="00297220">
      <w:pPr>
        <w:spacing w:after="0" w:line="240" w:lineRule="auto"/>
        <w:ind w:firstLine="708"/>
        <w:contextualSpacing/>
        <w:jc w:val="right"/>
        <w:rPr>
          <w:rFonts w:ascii="Times New Roman" w:hAnsi="Times New Roman" w:cs="Times New Roman"/>
          <w:sz w:val="24"/>
          <w:szCs w:val="24"/>
        </w:rPr>
      </w:pPr>
      <w:r w:rsidRPr="00D3606C">
        <w:rPr>
          <w:rFonts w:ascii="Times New Roman" w:hAnsi="Times New Roman" w:cs="Times New Roman"/>
          <w:sz w:val="24"/>
          <w:szCs w:val="24"/>
        </w:rPr>
        <w:t xml:space="preserve">Таблиця </w:t>
      </w:r>
      <w:r w:rsidR="00970A49" w:rsidRPr="00D3606C">
        <w:rPr>
          <w:rFonts w:ascii="Times New Roman" w:hAnsi="Times New Roman" w:cs="Times New Roman"/>
          <w:sz w:val="24"/>
          <w:szCs w:val="24"/>
        </w:rPr>
        <w:t>4</w:t>
      </w:r>
      <w:r w:rsidRPr="00D3606C">
        <w:rPr>
          <w:rFonts w:ascii="Times New Roman" w:hAnsi="Times New Roman" w:cs="Times New Roman"/>
          <w:sz w:val="24"/>
          <w:szCs w:val="24"/>
        </w:rPr>
        <w:t xml:space="preserve"> ( тис. грн.)</w:t>
      </w:r>
    </w:p>
    <w:tbl>
      <w:tblPr>
        <w:tblW w:w="9829" w:type="dxa"/>
        <w:tblLook w:val="04A0" w:firstRow="1" w:lastRow="0" w:firstColumn="1" w:lastColumn="0" w:noHBand="0" w:noVBand="1"/>
      </w:tblPr>
      <w:tblGrid>
        <w:gridCol w:w="3582"/>
        <w:gridCol w:w="1435"/>
        <w:gridCol w:w="1290"/>
        <w:gridCol w:w="1435"/>
        <w:gridCol w:w="1147"/>
        <w:gridCol w:w="940"/>
      </w:tblGrid>
      <w:tr w:rsidR="00297220" w:rsidRPr="00297220" w:rsidTr="00D3606C">
        <w:trPr>
          <w:trHeight w:val="448"/>
        </w:trPr>
        <w:tc>
          <w:tcPr>
            <w:tcW w:w="3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Показники</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план</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r>
      <w:tr w:rsidR="00297220" w:rsidRPr="00297220" w:rsidTr="00D3606C">
        <w:trPr>
          <w:trHeight w:val="1451"/>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2018 рік </w:t>
            </w:r>
          </w:p>
        </w:tc>
        <w:tc>
          <w:tcPr>
            <w:tcW w:w="129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147"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 2019/ план 2019</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факт 2019/ факт 2018 </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Інші операційні доходи</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380 128</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204 250</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215 393</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105</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57</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дохід  від  операційної  оренди активів </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7 524</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7 565</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7 444</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98</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99</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lastRenderedPageBreak/>
              <w:t xml:space="preserve">дохід  від  реалізації  інших  оборотних активів  </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6 974</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1 835</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2 328</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127</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33</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доходи від об'єктів соціальної інфраструктури </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36 448</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33 429</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33 940</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102</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93</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noWrap/>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доходи в спільної діяльності </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81 159</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71 660</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76 919</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107</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95</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відсоток на залишок коштів на рахунках</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38 703</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38 211</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35 101</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92</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91</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одержані   штрафи,   пені,  неустойки </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152 779</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35 993</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42 867</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119</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28</w:t>
            </w:r>
          </w:p>
        </w:tc>
      </w:tr>
      <w:tr w:rsidR="00297220" w:rsidRPr="00297220" w:rsidTr="00D3606C">
        <w:trPr>
          <w:trHeight w:val="448"/>
        </w:trPr>
        <w:tc>
          <w:tcPr>
            <w:tcW w:w="3582" w:type="dxa"/>
            <w:tcBorders>
              <w:top w:val="nil"/>
              <w:left w:val="single" w:sz="4" w:space="0" w:color="auto"/>
              <w:bottom w:val="single" w:sz="4" w:space="0" w:color="auto"/>
              <w:right w:val="single" w:sz="4" w:space="0" w:color="auto"/>
            </w:tcBorders>
            <w:shd w:val="clear" w:color="000000" w:fill="FFFFFF"/>
            <w:noWrap/>
            <w:vAlign w:val="bottom"/>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 інші доходи від операційної діяльності</w:t>
            </w:r>
          </w:p>
        </w:tc>
        <w:tc>
          <w:tcPr>
            <w:tcW w:w="143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56 541</w:t>
            </w:r>
          </w:p>
        </w:tc>
        <w:tc>
          <w:tcPr>
            <w:tcW w:w="129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15 557</w:t>
            </w:r>
          </w:p>
        </w:tc>
        <w:tc>
          <w:tcPr>
            <w:tcW w:w="1435"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16 794</w:t>
            </w:r>
          </w:p>
        </w:tc>
        <w:tc>
          <w:tcPr>
            <w:tcW w:w="114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108</w:t>
            </w:r>
          </w:p>
        </w:tc>
        <w:tc>
          <w:tcPr>
            <w:tcW w:w="94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30</w:t>
            </w:r>
          </w:p>
        </w:tc>
      </w:tr>
    </w:tbl>
    <w:p w:rsidR="00297220" w:rsidRPr="00297220" w:rsidRDefault="00297220" w:rsidP="00297220">
      <w:pPr>
        <w:spacing w:after="0" w:line="240" w:lineRule="auto"/>
        <w:ind w:firstLine="708"/>
        <w:contextualSpacing/>
        <w:jc w:val="right"/>
        <w:rPr>
          <w:rFonts w:ascii="Times New Roman" w:hAnsi="Times New Roman" w:cs="Times New Roman"/>
          <w:color w:val="FF0000"/>
          <w:sz w:val="24"/>
        </w:rPr>
      </w:pPr>
    </w:p>
    <w:p w:rsidR="00297220" w:rsidRPr="00297220" w:rsidRDefault="00297220" w:rsidP="00297220">
      <w:pPr>
        <w:spacing w:after="0" w:line="240" w:lineRule="auto"/>
        <w:ind w:firstLine="567"/>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Збільшення інших операційних доходів відносно планового показника за  2019 рік відбулось за рахунок:</w:t>
      </w:r>
    </w:p>
    <w:p w:rsidR="00297220" w:rsidRPr="00297220" w:rsidRDefault="00297220" w:rsidP="00297220">
      <w:pPr>
        <w:numPr>
          <w:ilvl w:val="0"/>
          <w:numId w:val="3"/>
        </w:numPr>
        <w:spacing w:after="0" w:line="240" w:lineRule="auto"/>
        <w:ind w:left="0" w:firstLine="567"/>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доходів від реалізації оборотних активів на 493 тис. грн.</w:t>
      </w:r>
      <w:r w:rsidRPr="00297220">
        <w:rPr>
          <w:rFonts w:ascii="Times New Roman" w:eastAsia="Times New Roman" w:hAnsi="Times New Roman" w:cs="Times New Roman"/>
          <w:sz w:val="28"/>
          <w:szCs w:val="28"/>
          <w:lang w:eastAsia="ru-RU"/>
        </w:rPr>
        <w:t xml:space="preserve"> у зв'язку зі збільшенням обсягів реалізації оприбуткованої вторинної сировини (металобрухту,  брухту свинцю, макулатури) Чорноморською філією; </w:t>
      </w:r>
    </w:p>
    <w:p w:rsidR="00297220" w:rsidRPr="00297220" w:rsidRDefault="00297220" w:rsidP="00297220">
      <w:pPr>
        <w:numPr>
          <w:ilvl w:val="0"/>
          <w:numId w:val="3"/>
        </w:numPr>
        <w:spacing w:after="0" w:line="240" w:lineRule="auto"/>
        <w:ind w:left="0" w:firstLine="567"/>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доходів від спільної діяльності на 5 259 тис. грн. або на 7 відсотків переважно за рахунок доходу від спільної діяльності Одеської філії з Прат "Сінтез Ойл" (за рахунок збільшення обсягів перевалки нафти та нафтопродуктів на 161,5 тис. тон);</w:t>
      </w:r>
    </w:p>
    <w:p w:rsidR="00297220" w:rsidRPr="00297220" w:rsidRDefault="00297220" w:rsidP="00297220">
      <w:pPr>
        <w:numPr>
          <w:ilvl w:val="0"/>
          <w:numId w:val="3"/>
        </w:numPr>
        <w:spacing w:after="0" w:line="240" w:lineRule="auto"/>
        <w:ind w:left="0" w:firstLine="567"/>
        <w:contextualSpacing/>
        <w:jc w:val="both"/>
        <w:rPr>
          <w:rFonts w:ascii="Times New Roman" w:eastAsia="Times New Roman" w:hAnsi="Times New Roman" w:cs="Times New Roman"/>
          <w:bCs/>
          <w:iCs/>
          <w:color w:val="FF0000"/>
          <w:sz w:val="28"/>
          <w:szCs w:val="28"/>
        </w:rPr>
      </w:pPr>
      <w:r w:rsidRPr="00297220">
        <w:rPr>
          <w:rFonts w:ascii="Times New Roman" w:eastAsia="Times New Roman" w:hAnsi="Times New Roman" w:cs="Times New Roman"/>
          <w:bCs/>
          <w:iCs/>
          <w:sz w:val="28"/>
          <w:szCs w:val="28"/>
        </w:rPr>
        <w:t>одержаних штрафів пені, неустойок на 6 874 тис. грн. або на 19 відсотків;</w:t>
      </w:r>
    </w:p>
    <w:p w:rsidR="00297220" w:rsidRPr="00297220" w:rsidRDefault="00297220" w:rsidP="00297220">
      <w:pPr>
        <w:numPr>
          <w:ilvl w:val="0"/>
          <w:numId w:val="3"/>
        </w:numPr>
        <w:spacing w:after="0" w:line="240" w:lineRule="auto"/>
        <w:ind w:left="0" w:firstLine="709"/>
        <w:contextualSpacing/>
        <w:jc w:val="both"/>
        <w:rPr>
          <w:rFonts w:ascii="Times New Roman" w:eastAsia="Times New Roman" w:hAnsi="Times New Roman" w:cs="Times New Roman"/>
          <w:bCs/>
          <w:iCs/>
          <w:color w:val="FF0000"/>
          <w:sz w:val="28"/>
          <w:szCs w:val="28"/>
        </w:rPr>
      </w:pPr>
      <w:r w:rsidRPr="00297220">
        <w:rPr>
          <w:rFonts w:ascii="Times New Roman" w:eastAsia="Times New Roman" w:hAnsi="Times New Roman" w:cs="Times New Roman"/>
          <w:bCs/>
          <w:iCs/>
          <w:sz w:val="28"/>
          <w:szCs w:val="28"/>
        </w:rPr>
        <w:t>інших доходів від операційної діяльності на 1 237 тис. грн. або на 8 відсотків за рахунок збільшення доходу від списання кредиторської заборгованості на 242 тис. грн., відшкодування держмита та судового збору на 193 тис. грн., оприбуткування ТМЦ та брухту на 520 тис. грн., компенсації за період перебування працівників ДП «АМПУ» на навчальних зборах на 61 тис. грн. тощо.</w:t>
      </w:r>
    </w:p>
    <w:p w:rsidR="00297220" w:rsidRPr="00297220" w:rsidRDefault="00297220" w:rsidP="00297220">
      <w:pPr>
        <w:spacing w:after="0" w:line="240" w:lineRule="auto"/>
        <w:ind w:firstLine="567"/>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Зменшення інших операційних доходів відносно планового показника за  2019 рік відбулось за статтею «відсотки на залишок коштів на рахунках» на 3 110 тис. грн. або на 8 відсотків у зв’язку зі зменшенням обсягів коштів на рахунках.</w:t>
      </w:r>
    </w:p>
    <w:p w:rsidR="00297220" w:rsidRPr="00297220" w:rsidRDefault="00297220" w:rsidP="00297220">
      <w:pPr>
        <w:spacing w:after="0" w:line="240" w:lineRule="auto"/>
        <w:ind w:firstLine="567"/>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Зменшення інших операційних доходів за 2019 рік порівняно з фактом 2018 року, крім доходів від одержаних штрафів, пені, неустойок, які неможливо спрогнозувати, відбулося за статтями:</w:t>
      </w:r>
    </w:p>
    <w:p w:rsidR="00297220" w:rsidRPr="00297220" w:rsidRDefault="00297220" w:rsidP="00297220">
      <w:pPr>
        <w:numPr>
          <w:ilvl w:val="0"/>
          <w:numId w:val="3"/>
        </w:numPr>
        <w:spacing w:after="0" w:line="240" w:lineRule="auto"/>
        <w:ind w:left="0" w:firstLine="709"/>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 xml:space="preserve">доходу від реалізації інших оборотних активів на 4 646 тис. грн. або на 67 відсотків </w:t>
      </w:r>
      <w:r w:rsidRPr="00297220">
        <w:rPr>
          <w:rFonts w:ascii="Times New Roman" w:eastAsia="Times New Roman" w:hAnsi="Times New Roman" w:cs="Times New Roman"/>
          <w:sz w:val="28"/>
          <w:szCs w:val="28"/>
          <w:lang w:eastAsia="ru-RU"/>
        </w:rPr>
        <w:t xml:space="preserve">у зв'язку зі зменшенням обсягів реалізації оприбуткованої вторинної сировини (металобрухту,  брухту свинцю, макулатури) на 3 410 тис. тон Південною філією, на 722 тис. грн. Миколаївською філією та на 966 тис. грн Маріупольською філією у зв’язку з реорганізацією служб капітанів портів та відповідно передачі функції з видачі дипломів, сертифікатів, посвідчень особи моряка тощо Морській Адміністрації; </w:t>
      </w:r>
    </w:p>
    <w:p w:rsidR="00297220" w:rsidRPr="00297220" w:rsidRDefault="00297220" w:rsidP="00297220">
      <w:pPr>
        <w:numPr>
          <w:ilvl w:val="0"/>
          <w:numId w:val="3"/>
        </w:numPr>
        <w:spacing w:after="0" w:line="240" w:lineRule="auto"/>
        <w:ind w:left="0" w:firstLine="709"/>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sz w:val="28"/>
          <w:szCs w:val="28"/>
          <w:lang w:eastAsia="ru-RU"/>
        </w:rPr>
        <w:t xml:space="preserve">доходів від об’єктів соцсфери на 2 508 тис. грн. переважно за рахунок передачі </w:t>
      </w:r>
      <w:r w:rsidRPr="00297220">
        <w:rPr>
          <w:rFonts w:ascii="Times New Roman" w:hAnsi="Times New Roman" w:cs="Times New Roman"/>
          <w:sz w:val="28"/>
          <w:szCs w:val="28"/>
        </w:rPr>
        <w:t>у грудні 2018 р. ПС "Юність" Чорноморської філії на баланс Чорноморської міської громади;</w:t>
      </w:r>
    </w:p>
    <w:p w:rsidR="00297220" w:rsidRPr="00297220" w:rsidRDefault="00297220" w:rsidP="00297220">
      <w:pPr>
        <w:numPr>
          <w:ilvl w:val="0"/>
          <w:numId w:val="3"/>
        </w:numPr>
        <w:spacing w:after="0" w:line="240" w:lineRule="auto"/>
        <w:ind w:left="0" w:firstLine="709"/>
        <w:contextualSpacing/>
        <w:jc w:val="both"/>
        <w:rPr>
          <w:rFonts w:ascii="Times New Roman" w:eastAsia="Times New Roman" w:hAnsi="Times New Roman" w:cs="Times New Roman"/>
          <w:color w:val="FF0000"/>
          <w:sz w:val="28"/>
          <w:szCs w:val="28"/>
        </w:rPr>
      </w:pPr>
      <w:r w:rsidRPr="00297220">
        <w:rPr>
          <w:rFonts w:ascii="Times New Roman" w:eastAsia="Times New Roman" w:hAnsi="Times New Roman" w:cs="Times New Roman"/>
          <w:bCs/>
          <w:iCs/>
          <w:sz w:val="28"/>
          <w:szCs w:val="28"/>
        </w:rPr>
        <w:t>доходів від спільної діяльності на 4 240 тис. грн. або на 7 відсотків переважно за рахунок зменшення доходу від спільної діяльності Одеської філії з Прат «Сінтез Ойл» за рахунок меншого курсу долара США у 2019 році та компенсаційних виплат гарантованого прибутку;</w:t>
      </w:r>
    </w:p>
    <w:p w:rsidR="00297220" w:rsidRPr="00297220" w:rsidRDefault="00297220" w:rsidP="00297220">
      <w:pPr>
        <w:numPr>
          <w:ilvl w:val="0"/>
          <w:numId w:val="3"/>
        </w:numPr>
        <w:spacing w:after="0" w:line="240" w:lineRule="auto"/>
        <w:ind w:left="0" w:firstLine="709"/>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 xml:space="preserve"> відсотків на залишок коштів на рахунках на 3 602 тис. грн. або на 9 відсотків у зв’язку зі зменшенням залишків коштів на рахунках;</w:t>
      </w:r>
    </w:p>
    <w:p w:rsidR="00297220" w:rsidRPr="00297220" w:rsidRDefault="00297220" w:rsidP="00297220">
      <w:pPr>
        <w:numPr>
          <w:ilvl w:val="0"/>
          <w:numId w:val="3"/>
        </w:numPr>
        <w:spacing w:after="0" w:line="240" w:lineRule="auto"/>
        <w:ind w:left="0" w:firstLine="709"/>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lastRenderedPageBreak/>
        <w:t>інших доходів від операційної діяльності на 39 747 тис. грн. за рахунок: перерахунку у 2018 році річного ПДВ (на 22 635 тис. грн.) та за рахунок відображення у звіті за 2018 рік Чорноморською філією компенсації вартості частки в сумі 18 473 092,66 грн. (в тому числі ПДВ 3 078 848,78 грн.) будівництва причальних споруд та берегової частини комплексу зріджених газів від ТОВ «Хім-Ойл-Транзит-Юкрейн» (за рішенням Господарського суду м. Києва від 06.03.2018 розірвано договір від 01.11.2002 №381-О, укладений між ТОВ «Хім-Ойл-Транзит-Юкрейн» та ДП «Іллічівський морський торговельний порт»).</w:t>
      </w:r>
    </w:p>
    <w:p w:rsidR="00297220" w:rsidRPr="00297220" w:rsidRDefault="00297220" w:rsidP="00297220">
      <w:pPr>
        <w:spacing w:after="0" w:line="240" w:lineRule="auto"/>
        <w:ind w:firstLine="709"/>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У звітному періоді отримано суми штрафів, пені, неустойок та інших санкцій на  42 867 тис. грн., з них:</w:t>
      </w:r>
    </w:p>
    <w:p w:rsidR="00297220" w:rsidRPr="00297220" w:rsidRDefault="00297220" w:rsidP="00297220">
      <w:pPr>
        <w:numPr>
          <w:ilvl w:val="0"/>
          <w:numId w:val="3"/>
        </w:numPr>
        <w:spacing w:after="0" w:line="240" w:lineRule="auto"/>
        <w:ind w:left="-142" w:firstLine="840"/>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 xml:space="preserve">Чорноморською філією 19 654 тис. грн. </w:t>
      </w:r>
      <w:r w:rsidRPr="00297220">
        <w:rPr>
          <w:rFonts w:ascii="Times New Roman" w:eastAsia="Times New Roman" w:hAnsi="Times New Roman" w:cs="Times New Roman"/>
          <w:bCs/>
          <w:iCs/>
          <w:sz w:val="28"/>
          <w:szCs w:val="28"/>
        </w:rPr>
        <w:t>за несвоєчасну оплату рахунків та за невиконання договірних умов;</w:t>
      </w:r>
    </w:p>
    <w:p w:rsidR="00297220" w:rsidRPr="00297220" w:rsidRDefault="00297220" w:rsidP="00297220">
      <w:pPr>
        <w:numPr>
          <w:ilvl w:val="0"/>
          <w:numId w:val="3"/>
        </w:numPr>
        <w:spacing w:after="0" w:line="240" w:lineRule="auto"/>
        <w:ind w:left="-142" w:firstLine="840"/>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bCs/>
          <w:iCs/>
          <w:sz w:val="28"/>
          <w:szCs w:val="28"/>
        </w:rPr>
        <w:t xml:space="preserve">Південною філією 3 160 тис. грн. - </w:t>
      </w:r>
      <w:r w:rsidRPr="00297220">
        <w:rPr>
          <w:rFonts w:ascii="Times New Roman" w:hAnsi="Times New Roman" w:cs="Times New Roman"/>
          <w:bCs/>
          <w:iCs/>
          <w:sz w:val="28"/>
          <w:szCs w:val="28"/>
        </w:rPr>
        <w:t>пеня та штрафи у зв’язку з неналежним виконанням умов договорів, за порушення строків поставки товару та строків надання послуг;</w:t>
      </w:r>
    </w:p>
    <w:p w:rsidR="00297220" w:rsidRPr="00297220" w:rsidRDefault="00297220" w:rsidP="00297220">
      <w:pPr>
        <w:numPr>
          <w:ilvl w:val="0"/>
          <w:numId w:val="3"/>
        </w:numPr>
        <w:spacing w:line="250" w:lineRule="auto"/>
        <w:ind w:left="0" w:firstLine="709"/>
        <w:contextualSpacing/>
        <w:jc w:val="both"/>
        <w:rPr>
          <w:rFonts w:ascii="Times New Roman" w:hAnsi="Times New Roman" w:cs="Times New Roman"/>
          <w:sz w:val="28"/>
          <w:szCs w:val="28"/>
        </w:rPr>
      </w:pPr>
      <w:r w:rsidRPr="00297220">
        <w:rPr>
          <w:rFonts w:ascii="Times New Roman" w:eastAsia="Times New Roman" w:hAnsi="Times New Roman" w:cs="Times New Roman"/>
          <w:sz w:val="28"/>
          <w:szCs w:val="28"/>
        </w:rPr>
        <w:t>філією «Дельта-лоцман» 9 004 тис. грн.:</w:t>
      </w:r>
      <w:r w:rsidRPr="00297220">
        <w:rPr>
          <w:rFonts w:ascii="Times New Roman" w:hAnsi="Times New Roman" w:cs="Times New Roman"/>
          <w:sz w:val="28"/>
          <w:szCs w:val="28"/>
        </w:rPr>
        <w:t xml:space="preserve"> відображено нарахування пені, штрафу та судового збору за укладеними договорами, а саме: 2 159,7 тис. грн. - сплата Гарантом за порушення ТОВ «СТБ Азімут» своїх зобов'язань згідно банківської гарантії ОГ2018-0297-5 від 23.01.2019; 2 331,1 тис. грн. - нарахування штрафу та судового збору  за невиконання ТОВ «Ремонтно-будівельний трест ЧМП»  зобов'язань по договору з виконання робіт з проектування і експертизи за об'єктом «Реконструкція Бузько-Дніпровсько-лиманського каналу (БДЛК)»; 1 189,6 тис. грн. – нарахування пені за порушення строку поставки радіолокаційних станцій для ПРРС по договору з ТОВ «СКОРТЕЛ»; 904,0 тис. грн. - нарахування пені, штрафу та судового збору за  несвоєчасне надання ТОВ «ПРИМОРГРУП» послуг по договору з реконструкції системи кондиціонування повітря адміністративної будівлі по вул. Лягіна, 27 в м. Миколаїв; 587,3 тис. грн. - нарахування пені, штрафу та збитків за порушення ПП «Суднобуд»  умов договору з докового ремонту л/к «Лоцман Мажара» тощо;</w:t>
      </w:r>
    </w:p>
    <w:p w:rsidR="00297220" w:rsidRPr="00297220" w:rsidRDefault="00297220" w:rsidP="00297220">
      <w:pPr>
        <w:numPr>
          <w:ilvl w:val="0"/>
          <w:numId w:val="3"/>
        </w:numPr>
        <w:spacing w:line="240" w:lineRule="auto"/>
        <w:ind w:left="0" w:firstLine="709"/>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АУ 7 031 тис. грн.: 7 013,1 тис. грн. з ТОВ «ТЕХОЙЛ ТК» за справою № 910/9460/18, 18,1 тис. грн. з ТОВ «АГРО-КЛАСС» за судовою справою № 910/13426/19 від 04.12.2019;</w:t>
      </w:r>
    </w:p>
    <w:p w:rsidR="00297220" w:rsidRPr="00297220" w:rsidRDefault="00297220" w:rsidP="00297220">
      <w:pPr>
        <w:numPr>
          <w:ilvl w:val="0"/>
          <w:numId w:val="3"/>
        </w:numPr>
        <w:spacing w:line="240" w:lineRule="auto"/>
        <w:ind w:left="0" w:firstLine="709"/>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 xml:space="preserve">Білгород-Дністровською філією 1 125 тис. грн., з них 1 024,4 тис. грн. </w:t>
      </w:r>
      <w:r w:rsidRPr="00297220">
        <w:rPr>
          <w:rFonts w:ascii="Times New Roman" w:hAnsi="Times New Roman" w:cs="Times New Roman"/>
          <w:sz w:val="28"/>
          <w:szCs w:val="28"/>
        </w:rPr>
        <w:t>за невиконання умов договорів</w:t>
      </w:r>
      <w:r w:rsidRPr="00297220">
        <w:rPr>
          <w:rFonts w:ascii="Times New Roman" w:eastAsia="Times New Roman" w:hAnsi="Times New Roman" w:cs="Times New Roman"/>
          <w:bCs/>
          <w:iCs/>
          <w:sz w:val="28"/>
          <w:szCs w:val="28"/>
        </w:rPr>
        <w:t xml:space="preserve"> ДП «Білгород-Дністровський морський торговельний порт»;</w:t>
      </w:r>
    </w:p>
    <w:p w:rsidR="00297220" w:rsidRPr="00297220" w:rsidRDefault="00297220" w:rsidP="00297220">
      <w:pPr>
        <w:numPr>
          <w:ilvl w:val="0"/>
          <w:numId w:val="3"/>
        </w:numPr>
        <w:spacing w:line="240" w:lineRule="auto"/>
        <w:ind w:left="0" w:firstLine="709"/>
        <w:contextualSpacing/>
        <w:jc w:val="both"/>
        <w:rPr>
          <w:rFonts w:ascii="Times New Roman" w:eastAsia="Times New Roman" w:hAnsi="Times New Roman" w:cs="Times New Roman"/>
          <w:bCs/>
          <w:iCs/>
          <w:color w:val="FF0000"/>
          <w:sz w:val="28"/>
          <w:szCs w:val="28"/>
        </w:rPr>
      </w:pPr>
      <w:r w:rsidRPr="00297220">
        <w:rPr>
          <w:rFonts w:ascii="Times New Roman" w:eastAsia="Times New Roman" w:hAnsi="Times New Roman" w:cs="Times New Roman"/>
          <w:bCs/>
          <w:iCs/>
          <w:sz w:val="28"/>
          <w:szCs w:val="28"/>
        </w:rPr>
        <w:t>філією «Днопоглиблювальний флот» 1 319 тис. грн.</w:t>
      </w:r>
      <w:r w:rsidRPr="00297220">
        <w:t xml:space="preserve"> </w:t>
      </w:r>
      <w:r w:rsidRPr="00297220">
        <w:rPr>
          <w:rFonts w:ascii="Times New Roman" w:eastAsia="Times New Roman" w:hAnsi="Times New Roman" w:cs="Times New Roman"/>
          <w:bCs/>
          <w:iCs/>
          <w:sz w:val="28"/>
          <w:szCs w:val="28"/>
        </w:rPr>
        <w:t>за невиконання умов договору по ремонту суден.</w:t>
      </w:r>
    </w:p>
    <w:p w:rsidR="00297220" w:rsidRPr="00297220" w:rsidRDefault="00297220" w:rsidP="00D3606C">
      <w:pPr>
        <w:spacing w:line="240" w:lineRule="auto"/>
        <w:contextualSpacing/>
        <w:jc w:val="both"/>
        <w:rPr>
          <w:rFonts w:ascii="Times New Roman" w:eastAsia="Times New Roman" w:hAnsi="Times New Roman" w:cs="Times New Roman"/>
          <w:bCs/>
          <w:iCs/>
          <w:color w:val="FF0000"/>
          <w:sz w:val="28"/>
          <w:szCs w:val="28"/>
        </w:rPr>
      </w:pPr>
    </w:p>
    <w:p w:rsidR="00297220" w:rsidRPr="00297220" w:rsidRDefault="00297220" w:rsidP="00297220">
      <w:pPr>
        <w:spacing w:line="240" w:lineRule="auto"/>
        <w:contextualSpacing/>
        <w:jc w:val="center"/>
        <w:rPr>
          <w:rFonts w:ascii="Times New Roman" w:eastAsia="Times New Roman" w:hAnsi="Times New Roman" w:cs="Times New Roman"/>
          <w:b/>
          <w:sz w:val="28"/>
          <w:szCs w:val="28"/>
          <w:lang w:eastAsia="ru-RU"/>
        </w:rPr>
      </w:pPr>
      <w:r w:rsidRPr="00297220">
        <w:rPr>
          <w:rFonts w:ascii="Times New Roman" w:eastAsia="Times New Roman" w:hAnsi="Times New Roman" w:cs="Times New Roman"/>
          <w:b/>
          <w:sz w:val="28"/>
          <w:szCs w:val="28"/>
          <w:lang w:eastAsia="ru-RU"/>
        </w:rPr>
        <w:t>1.3.    Інші фінансові доходи</w:t>
      </w:r>
    </w:p>
    <w:p w:rsidR="00297220" w:rsidRPr="00297220" w:rsidRDefault="00297220" w:rsidP="00297220">
      <w:pPr>
        <w:spacing w:line="240" w:lineRule="auto"/>
        <w:contextualSpacing/>
        <w:jc w:val="center"/>
        <w:rPr>
          <w:rFonts w:ascii="Times New Roman" w:eastAsia="Times New Roman" w:hAnsi="Times New Roman" w:cs="Times New Roman"/>
          <w:bCs/>
          <w:iCs/>
          <w:sz w:val="28"/>
          <w:szCs w:val="28"/>
        </w:rPr>
      </w:pPr>
    </w:p>
    <w:p w:rsidR="00297220" w:rsidRPr="00297220" w:rsidRDefault="00297220" w:rsidP="00297220">
      <w:pPr>
        <w:spacing w:line="240" w:lineRule="auto"/>
        <w:contextualSpacing/>
        <w:jc w:val="both"/>
        <w:rPr>
          <w:rFonts w:ascii="Times New Roman" w:eastAsia="Times New Roman" w:hAnsi="Times New Roman" w:cs="Times New Roman"/>
          <w:bCs/>
          <w:iCs/>
          <w:sz w:val="28"/>
          <w:szCs w:val="28"/>
        </w:rPr>
      </w:pPr>
    </w:p>
    <w:p w:rsidR="00297220" w:rsidRDefault="00297220" w:rsidP="00297220">
      <w:pPr>
        <w:spacing w:after="0" w:line="240" w:lineRule="auto"/>
        <w:ind w:firstLine="567"/>
        <w:jc w:val="both"/>
        <w:outlineLvl w:val="2"/>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 xml:space="preserve">За звітний  період інші фінансові доходи склали </w:t>
      </w:r>
      <w:r w:rsidRPr="00297220">
        <w:rPr>
          <w:rFonts w:ascii="Times New Roman" w:eastAsia="Times New Roman" w:hAnsi="Times New Roman" w:cs="Times New Roman"/>
          <w:b/>
          <w:bCs/>
          <w:iCs/>
          <w:sz w:val="28"/>
          <w:szCs w:val="28"/>
        </w:rPr>
        <w:t xml:space="preserve"> 35 860  </w:t>
      </w:r>
      <w:r w:rsidRPr="00297220">
        <w:rPr>
          <w:rFonts w:ascii="Times New Roman" w:eastAsia="Times New Roman" w:hAnsi="Times New Roman" w:cs="Times New Roman"/>
          <w:bCs/>
          <w:iCs/>
          <w:sz w:val="28"/>
          <w:szCs w:val="28"/>
        </w:rPr>
        <w:t>тис. грн.</w:t>
      </w:r>
      <w:r w:rsidRPr="00297220">
        <w:rPr>
          <w:rFonts w:ascii="Times New Roman" w:hAnsi="Times New Roman" w:cs="Times New Roman"/>
          <w:sz w:val="28"/>
          <w:szCs w:val="28"/>
          <w:lang w:eastAsia="ru-RU"/>
        </w:rPr>
        <w:t xml:space="preserve"> та дорівнюють плану 2019 року та факту за 2018 рік. 99,3 відсотка </w:t>
      </w:r>
      <w:r w:rsidRPr="00297220">
        <w:rPr>
          <w:bCs/>
          <w:iCs/>
          <w:szCs w:val="28"/>
        </w:rPr>
        <w:t xml:space="preserve"> </w:t>
      </w:r>
      <w:r w:rsidRPr="00297220">
        <w:rPr>
          <w:rFonts w:ascii="Times New Roman" w:hAnsi="Times New Roman" w:cs="Times New Roman"/>
          <w:sz w:val="28"/>
          <w:szCs w:val="28"/>
          <w:lang w:eastAsia="ru-RU"/>
        </w:rPr>
        <w:t>з них або 37 059 тис. грн.</w:t>
      </w:r>
      <w:r w:rsidR="003312F5" w:rsidRPr="006A5D6D">
        <w:rPr>
          <w:rFonts w:ascii="Times New Roman" w:hAnsi="Times New Roman" w:cs="Times New Roman"/>
          <w:sz w:val="28"/>
          <w:szCs w:val="28"/>
          <w:lang w:eastAsia="ru-RU"/>
        </w:rPr>
        <w:t xml:space="preserve"> </w:t>
      </w:r>
      <w:r w:rsidRPr="00297220">
        <w:rPr>
          <w:rFonts w:ascii="Times New Roman" w:eastAsia="Times New Roman" w:hAnsi="Times New Roman" w:cs="Times New Roman"/>
          <w:bCs/>
          <w:iCs/>
          <w:sz w:val="28"/>
          <w:szCs w:val="28"/>
        </w:rPr>
        <w:t xml:space="preserve">– відсотки за депозитними рахунками. </w:t>
      </w:r>
    </w:p>
    <w:p w:rsidR="00D3606C" w:rsidRDefault="00D3606C" w:rsidP="00297220">
      <w:pPr>
        <w:spacing w:after="0" w:line="240" w:lineRule="auto"/>
        <w:ind w:firstLine="567"/>
        <w:jc w:val="both"/>
        <w:outlineLvl w:val="2"/>
        <w:rPr>
          <w:rFonts w:ascii="Times New Roman" w:eastAsia="Times New Roman" w:hAnsi="Times New Roman" w:cs="Times New Roman"/>
          <w:bCs/>
          <w:iCs/>
          <w:sz w:val="28"/>
          <w:szCs w:val="28"/>
        </w:rPr>
      </w:pPr>
    </w:p>
    <w:p w:rsidR="00D3606C" w:rsidRPr="00297220" w:rsidRDefault="00D3606C" w:rsidP="00297220">
      <w:pPr>
        <w:spacing w:after="0" w:line="240" w:lineRule="auto"/>
        <w:ind w:firstLine="567"/>
        <w:jc w:val="both"/>
        <w:outlineLvl w:val="2"/>
        <w:rPr>
          <w:rFonts w:ascii="Times New Roman" w:eastAsia="Times New Roman" w:hAnsi="Times New Roman" w:cs="Times New Roman"/>
          <w:bCs/>
          <w:iCs/>
          <w:sz w:val="28"/>
          <w:szCs w:val="28"/>
          <w:lang w:eastAsia="x-none"/>
        </w:rPr>
      </w:pPr>
    </w:p>
    <w:p w:rsidR="00297220" w:rsidRPr="00D3606C" w:rsidRDefault="00297220" w:rsidP="00297220">
      <w:pPr>
        <w:spacing w:after="0" w:line="240" w:lineRule="auto"/>
        <w:ind w:firstLine="567"/>
        <w:jc w:val="right"/>
        <w:outlineLvl w:val="2"/>
        <w:rPr>
          <w:rFonts w:ascii="Times New Roman" w:eastAsia="Times New Roman" w:hAnsi="Times New Roman" w:cs="Times New Roman"/>
          <w:bCs/>
          <w:iCs/>
          <w:sz w:val="24"/>
          <w:szCs w:val="24"/>
          <w:lang w:eastAsia="x-none"/>
        </w:rPr>
      </w:pPr>
      <w:r w:rsidRPr="00D3606C">
        <w:rPr>
          <w:rFonts w:ascii="Times New Roman" w:eastAsia="Times New Roman" w:hAnsi="Times New Roman" w:cs="Times New Roman"/>
          <w:bCs/>
          <w:iCs/>
          <w:sz w:val="24"/>
          <w:szCs w:val="24"/>
          <w:lang w:eastAsia="x-none"/>
        </w:rPr>
        <w:lastRenderedPageBreak/>
        <w:t xml:space="preserve">Таблиця </w:t>
      </w:r>
      <w:r w:rsidR="00970A49" w:rsidRPr="00D3606C">
        <w:rPr>
          <w:rFonts w:ascii="Times New Roman" w:eastAsia="Times New Roman" w:hAnsi="Times New Roman" w:cs="Times New Roman"/>
          <w:bCs/>
          <w:iCs/>
          <w:sz w:val="24"/>
          <w:szCs w:val="24"/>
          <w:lang w:eastAsia="x-none"/>
        </w:rPr>
        <w:t>5</w:t>
      </w:r>
      <w:r w:rsidRPr="00D3606C">
        <w:rPr>
          <w:rFonts w:ascii="Times New Roman" w:eastAsia="Times New Roman" w:hAnsi="Times New Roman" w:cs="Times New Roman"/>
          <w:bCs/>
          <w:iCs/>
          <w:sz w:val="24"/>
          <w:szCs w:val="24"/>
          <w:lang w:eastAsia="x-none"/>
        </w:rPr>
        <w:t xml:space="preserve"> ( тис. грн.)</w:t>
      </w:r>
    </w:p>
    <w:tbl>
      <w:tblPr>
        <w:tblW w:w="9916" w:type="dxa"/>
        <w:tblLook w:val="04A0" w:firstRow="1" w:lastRow="0" w:firstColumn="1" w:lastColumn="0" w:noHBand="0" w:noVBand="1"/>
      </w:tblPr>
      <w:tblGrid>
        <w:gridCol w:w="2184"/>
        <w:gridCol w:w="1605"/>
        <w:gridCol w:w="1751"/>
        <w:gridCol w:w="1518"/>
        <w:gridCol w:w="1400"/>
        <w:gridCol w:w="1458"/>
      </w:tblGrid>
      <w:tr w:rsidR="00297220" w:rsidRPr="00297220" w:rsidTr="00D3606C">
        <w:trPr>
          <w:trHeight w:val="372"/>
        </w:trPr>
        <w:tc>
          <w:tcPr>
            <w:tcW w:w="21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lang w:eastAsia="uk-UA"/>
              </w:rPr>
            </w:pPr>
            <w:r w:rsidRPr="00297220">
              <w:rPr>
                <w:rFonts w:ascii="Times New Roman" w:eastAsia="Times New Roman" w:hAnsi="Times New Roman" w:cs="Times New Roman"/>
                <w:b/>
                <w:bCs/>
                <w:lang w:eastAsia="uk-UA"/>
              </w:rPr>
              <w:t>Показники</w:t>
            </w:r>
          </w:p>
        </w:tc>
        <w:tc>
          <w:tcPr>
            <w:tcW w:w="1605"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факт</w:t>
            </w:r>
          </w:p>
        </w:tc>
        <w:tc>
          <w:tcPr>
            <w:tcW w:w="1751"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план</w:t>
            </w:r>
          </w:p>
        </w:tc>
        <w:tc>
          <w:tcPr>
            <w:tcW w:w="1518"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факт</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w:t>
            </w:r>
          </w:p>
        </w:tc>
      </w:tr>
      <w:tr w:rsidR="00297220" w:rsidRPr="00297220" w:rsidTr="00D3606C">
        <w:trPr>
          <w:trHeight w:val="611"/>
        </w:trPr>
        <w:tc>
          <w:tcPr>
            <w:tcW w:w="2184" w:type="dxa"/>
            <w:vMerge/>
            <w:tcBorders>
              <w:top w:val="single" w:sz="4" w:space="0" w:color="auto"/>
              <w:left w:val="single" w:sz="4" w:space="0" w:color="auto"/>
              <w:bottom w:val="single" w:sz="4" w:space="0" w:color="auto"/>
              <w:right w:val="single" w:sz="4" w:space="0" w:color="auto"/>
            </w:tcBorders>
            <w:vAlign w:val="center"/>
            <w:hideMark/>
          </w:tcPr>
          <w:p w:rsidR="00297220" w:rsidRPr="00297220" w:rsidRDefault="00297220" w:rsidP="00297220">
            <w:pPr>
              <w:spacing w:after="0" w:line="240" w:lineRule="auto"/>
              <w:rPr>
                <w:rFonts w:ascii="Times New Roman" w:eastAsia="Times New Roman" w:hAnsi="Times New Roman" w:cs="Times New Roman"/>
                <w:b/>
                <w:bCs/>
                <w:lang w:eastAsia="uk-UA"/>
              </w:rPr>
            </w:pPr>
          </w:p>
        </w:tc>
        <w:tc>
          <w:tcPr>
            <w:tcW w:w="160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3312F5">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 xml:space="preserve">2018 рік </w:t>
            </w:r>
          </w:p>
        </w:tc>
        <w:tc>
          <w:tcPr>
            <w:tcW w:w="1751"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3312F5">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 xml:space="preserve">2019 рік </w:t>
            </w:r>
          </w:p>
        </w:tc>
        <w:tc>
          <w:tcPr>
            <w:tcW w:w="1518"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3312F5">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 xml:space="preserve">2019 рік </w:t>
            </w:r>
          </w:p>
        </w:tc>
        <w:tc>
          <w:tcPr>
            <w:tcW w:w="140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факт 2019/ план 2019</w:t>
            </w:r>
          </w:p>
        </w:tc>
        <w:tc>
          <w:tcPr>
            <w:tcW w:w="1458"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 xml:space="preserve">факт 2019/ факт 2018 </w:t>
            </w:r>
          </w:p>
        </w:tc>
      </w:tr>
      <w:tr w:rsidR="00297220" w:rsidRPr="00297220" w:rsidTr="00D3606C">
        <w:trPr>
          <w:trHeight w:val="313"/>
        </w:trPr>
        <w:tc>
          <w:tcPr>
            <w:tcW w:w="2184" w:type="dxa"/>
            <w:tcBorders>
              <w:top w:val="nil"/>
              <w:left w:val="single" w:sz="4" w:space="0" w:color="auto"/>
              <w:bottom w:val="single" w:sz="4" w:space="0" w:color="auto"/>
              <w:right w:val="single" w:sz="4" w:space="0" w:color="auto"/>
            </w:tcBorders>
            <w:shd w:val="clear" w:color="000000" w:fill="FFFFFF"/>
            <w:noWrap/>
            <w:vAlign w:val="center"/>
            <w:hideMark/>
          </w:tcPr>
          <w:p w:rsidR="00297220" w:rsidRPr="00297220" w:rsidRDefault="00297220" w:rsidP="00297220">
            <w:pPr>
              <w:spacing w:after="0" w:line="240" w:lineRule="auto"/>
              <w:rPr>
                <w:rFonts w:ascii="Times New Roman" w:eastAsia="Times New Roman" w:hAnsi="Times New Roman" w:cs="Times New Roman"/>
                <w:b/>
                <w:bCs/>
                <w:lang w:eastAsia="uk-UA"/>
              </w:rPr>
            </w:pPr>
            <w:r w:rsidRPr="00297220">
              <w:rPr>
                <w:rFonts w:ascii="Times New Roman" w:eastAsia="Times New Roman" w:hAnsi="Times New Roman" w:cs="Times New Roman"/>
                <w:b/>
                <w:bCs/>
                <w:lang w:eastAsia="uk-UA"/>
              </w:rPr>
              <w:t>Інші фінансові доходи</w:t>
            </w:r>
          </w:p>
        </w:tc>
        <w:tc>
          <w:tcPr>
            <w:tcW w:w="160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36 396</w:t>
            </w:r>
          </w:p>
        </w:tc>
        <w:tc>
          <w:tcPr>
            <w:tcW w:w="1751"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lang w:eastAsia="uk-UA"/>
              </w:rPr>
            </w:pPr>
            <w:r w:rsidRPr="00297220">
              <w:rPr>
                <w:rFonts w:ascii="Times New Roman" w:eastAsia="Times New Roman" w:hAnsi="Times New Roman" w:cs="Times New Roman"/>
                <w:b/>
                <w:bCs/>
                <w:lang w:eastAsia="uk-UA"/>
              </w:rPr>
              <w:t>37 218</w:t>
            </w:r>
          </w:p>
        </w:tc>
        <w:tc>
          <w:tcPr>
            <w:tcW w:w="1518"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lang w:eastAsia="uk-UA"/>
              </w:rPr>
            </w:pPr>
            <w:r w:rsidRPr="00297220">
              <w:rPr>
                <w:rFonts w:ascii="Times New Roman" w:eastAsia="Times New Roman" w:hAnsi="Times New Roman" w:cs="Times New Roman"/>
                <w:b/>
                <w:bCs/>
                <w:lang w:eastAsia="uk-UA"/>
              </w:rPr>
              <w:t>35 860</w:t>
            </w:r>
          </w:p>
        </w:tc>
        <w:tc>
          <w:tcPr>
            <w:tcW w:w="140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lang w:eastAsia="uk-UA"/>
              </w:rPr>
            </w:pPr>
            <w:r w:rsidRPr="00297220">
              <w:rPr>
                <w:rFonts w:ascii="Times New Roman" w:eastAsia="Times New Roman" w:hAnsi="Times New Roman" w:cs="Times New Roman"/>
                <w:b/>
                <w:bCs/>
                <w:lang w:eastAsia="uk-UA"/>
              </w:rPr>
              <w:t>96</w:t>
            </w:r>
          </w:p>
        </w:tc>
        <w:tc>
          <w:tcPr>
            <w:tcW w:w="1458"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lang w:eastAsia="uk-UA"/>
              </w:rPr>
            </w:pPr>
            <w:r w:rsidRPr="00297220">
              <w:rPr>
                <w:rFonts w:ascii="Times New Roman" w:eastAsia="Times New Roman" w:hAnsi="Times New Roman" w:cs="Times New Roman"/>
                <w:b/>
                <w:bCs/>
                <w:lang w:eastAsia="uk-UA"/>
              </w:rPr>
              <w:t>99</w:t>
            </w:r>
          </w:p>
        </w:tc>
      </w:tr>
      <w:tr w:rsidR="00297220" w:rsidRPr="00297220" w:rsidTr="00D3606C">
        <w:trPr>
          <w:trHeight w:val="313"/>
        </w:trPr>
        <w:tc>
          <w:tcPr>
            <w:tcW w:w="2184"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інші</w:t>
            </w:r>
          </w:p>
        </w:tc>
        <w:tc>
          <w:tcPr>
            <w:tcW w:w="160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187</w:t>
            </w:r>
          </w:p>
        </w:tc>
        <w:tc>
          <w:tcPr>
            <w:tcW w:w="1751"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159</w:t>
            </w:r>
          </w:p>
        </w:tc>
        <w:tc>
          <w:tcPr>
            <w:tcW w:w="1518"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257</w:t>
            </w:r>
          </w:p>
        </w:tc>
        <w:tc>
          <w:tcPr>
            <w:tcW w:w="140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161</w:t>
            </w:r>
          </w:p>
        </w:tc>
        <w:tc>
          <w:tcPr>
            <w:tcW w:w="1458"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138</w:t>
            </w:r>
          </w:p>
        </w:tc>
      </w:tr>
      <w:tr w:rsidR="00297220" w:rsidRPr="00297220" w:rsidTr="00D3606C">
        <w:trPr>
          <w:trHeight w:val="313"/>
        </w:trPr>
        <w:tc>
          <w:tcPr>
            <w:tcW w:w="2184"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 xml:space="preserve">відсотки від депозитних вкладів </w:t>
            </w:r>
          </w:p>
        </w:tc>
        <w:tc>
          <w:tcPr>
            <w:tcW w:w="160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36 209</w:t>
            </w:r>
          </w:p>
        </w:tc>
        <w:tc>
          <w:tcPr>
            <w:tcW w:w="1751"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37 059</w:t>
            </w:r>
          </w:p>
        </w:tc>
        <w:tc>
          <w:tcPr>
            <w:tcW w:w="1518"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35 603</w:t>
            </w:r>
          </w:p>
        </w:tc>
        <w:tc>
          <w:tcPr>
            <w:tcW w:w="1400"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96</w:t>
            </w:r>
          </w:p>
        </w:tc>
        <w:tc>
          <w:tcPr>
            <w:tcW w:w="1458"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98</w:t>
            </w:r>
          </w:p>
        </w:tc>
      </w:tr>
    </w:tbl>
    <w:p w:rsidR="00297220" w:rsidRPr="00297220" w:rsidRDefault="00297220" w:rsidP="00297220">
      <w:pPr>
        <w:spacing w:after="0" w:line="240" w:lineRule="auto"/>
        <w:ind w:firstLine="567"/>
        <w:jc w:val="right"/>
        <w:outlineLvl w:val="2"/>
        <w:rPr>
          <w:rFonts w:ascii="Times New Roman" w:eastAsia="Times New Roman" w:hAnsi="Times New Roman" w:cs="Times New Roman"/>
          <w:bCs/>
          <w:iCs/>
          <w:color w:val="FF0000"/>
          <w:sz w:val="28"/>
          <w:szCs w:val="28"/>
          <w:lang w:eastAsia="x-none"/>
        </w:rPr>
      </w:pPr>
    </w:p>
    <w:p w:rsidR="00297220" w:rsidRPr="00297220" w:rsidRDefault="00297220" w:rsidP="00297220">
      <w:pPr>
        <w:spacing w:after="0" w:line="240" w:lineRule="auto"/>
        <w:ind w:firstLine="709"/>
        <w:jc w:val="both"/>
        <w:outlineLvl w:val="2"/>
        <w:rPr>
          <w:bCs/>
          <w:iCs/>
          <w:color w:val="FF0000"/>
          <w:szCs w:val="28"/>
        </w:rPr>
      </w:pPr>
    </w:p>
    <w:p w:rsidR="00297220" w:rsidRPr="00297220" w:rsidRDefault="00297220" w:rsidP="00297220">
      <w:pPr>
        <w:spacing w:after="0" w:line="240" w:lineRule="auto"/>
        <w:jc w:val="center"/>
        <w:outlineLvl w:val="2"/>
        <w:rPr>
          <w:rFonts w:ascii="Times New Roman" w:eastAsia="Times New Roman" w:hAnsi="Times New Roman" w:cs="Times New Roman"/>
          <w:b/>
          <w:bCs/>
          <w:iCs/>
          <w:sz w:val="28"/>
          <w:szCs w:val="28"/>
        </w:rPr>
      </w:pPr>
      <w:r w:rsidRPr="00297220">
        <w:rPr>
          <w:rFonts w:ascii="Times New Roman" w:eastAsia="Times New Roman" w:hAnsi="Times New Roman" w:cs="Times New Roman"/>
          <w:b/>
          <w:bCs/>
          <w:iCs/>
          <w:sz w:val="28"/>
          <w:szCs w:val="28"/>
        </w:rPr>
        <w:t>1.4. Інші доходи</w:t>
      </w:r>
    </w:p>
    <w:p w:rsidR="00297220" w:rsidRPr="00297220" w:rsidRDefault="00297220" w:rsidP="00297220">
      <w:pPr>
        <w:spacing w:after="0" w:line="240" w:lineRule="auto"/>
        <w:jc w:val="center"/>
        <w:outlineLvl w:val="2"/>
        <w:rPr>
          <w:rFonts w:ascii="Times New Roman" w:eastAsia="Times New Roman" w:hAnsi="Times New Roman" w:cs="Times New Roman"/>
          <w:b/>
          <w:bCs/>
          <w:iCs/>
          <w:sz w:val="28"/>
          <w:szCs w:val="28"/>
        </w:rPr>
      </w:pPr>
    </w:p>
    <w:p w:rsidR="00297220" w:rsidRPr="00297220" w:rsidRDefault="00297220" w:rsidP="00297220">
      <w:pPr>
        <w:spacing w:after="0" w:line="240" w:lineRule="auto"/>
        <w:ind w:firstLine="709"/>
        <w:jc w:val="both"/>
        <w:rPr>
          <w:rFonts w:ascii="Times New Roman" w:eastAsia="Times New Roman" w:hAnsi="Times New Roman" w:cs="Times New Roman"/>
        </w:rPr>
      </w:pPr>
      <w:r w:rsidRPr="00297220">
        <w:rPr>
          <w:rFonts w:ascii="Times New Roman" w:eastAsia="Times New Roman" w:hAnsi="Times New Roman" w:cs="Times New Roman"/>
          <w:bCs/>
          <w:iCs/>
          <w:sz w:val="28"/>
          <w:szCs w:val="28"/>
        </w:rPr>
        <w:t xml:space="preserve">Інші доходи </w:t>
      </w:r>
      <w:r w:rsidRPr="00297220">
        <w:rPr>
          <w:rFonts w:ascii="Times New Roman" w:eastAsia="Times New Roman" w:hAnsi="Times New Roman" w:cs="Times New Roman"/>
          <w:bCs/>
          <w:iCs/>
          <w:sz w:val="28"/>
          <w:szCs w:val="28"/>
          <w:lang w:eastAsia="x-none"/>
        </w:rPr>
        <w:t xml:space="preserve">за 2019 рік склали </w:t>
      </w:r>
      <w:r w:rsidRPr="00297220">
        <w:rPr>
          <w:rFonts w:ascii="Times New Roman" w:eastAsia="Times New Roman" w:hAnsi="Times New Roman" w:cs="Times New Roman"/>
          <w:b/>
          <w:bCs/>
          <w:iCs/>
          <w:sz w:val="28"/>
          <w:szCs w:val="28"/>
          <w:lang w:eastAsia="x-none"/>
        </w:rPr>
        <w:t>11 883</w:t>
      </w:r>
      <w:r w:rsidRPr="00297220">
        <w:rPr>
          <w:rFonts w:ascii="Times New Roman" w:eastAsia="Times New Roman" w:hAnsi="Times New Roman" w:cs="Times New Roman"/>
          <w:bCs/>
          <w:iCs/>
          <w:sz w:val="28"/>
          <w:szCs w:val="28"/>
          <w:lang w:eastAsia="x-none"/>
        </w:rPr>
        <w:t xml:space="preserve"> тис. грн., що на 3 відсотка або на 351 тис. грн. більше планового показника на 2019 рік та на 7 відсотків або на 932 тис. грн. менше факту 2018 р.</w:t>
      </w:r>
      <w:r w:rsidRPr="00297220">
        <w:rPr>
          <w:rFonts w:ascii="Times New Roman" w:eastAsia="Times New Roman" w:hAnsi="Times New Roman" w:cs="Times New Roman"/>
        </w:rPr>
        <w:t xml:space="preserve">                                                                                                                </w:t>
      </w:r>
    </w:p>
    <w:p w:rsidR="00297220" w:rsidRPr="00D3606C" w:rsidRDefault="00297220" w:rsidP="00297220">
      <w:pPr>
        <w:spacing w:after="0" w:line="240" w:lineRule="auto"/>
        <w:ind w:firstLine="567"/>
        <w:contextualSpacing/>
        <w:jc w:val="right"/>
        <w:rPr>
          <w:rFonts w:ascii="Times New Roman" w:hAnsi="Times New Roman" w:cs="Times New Roman"/>
          <w:sz w:val="24"/>
          <w:szCs w:val="24"/>
        </w:rPr>
      </w:pPr>
      <w:r w:rsidRPr="00D3606C">
        <w:rPr>
          <w:rFonts w:ascii="Times New Roman" w:eastAsia="Times New Roman" w:hAnsi="Times New Roman" w:cs="Times New Roman"/>
          <w:sz w:val="24"/>
          <w:szCs w:val="24"/>
        </w:rPr>
        <w:t xml:space="preserve"> </w:t>
      </w:r>
      <w:r w:rsidRPr="00D3606C">
        <w:rPr>
          <w:rFonts w:ascii="Times New Roman" w:hAnsi="Times New Roman" w:cs="Times New Roman"/>
          <w:sz w:val="24"/>
          <w:szCs w:val="24"/>
        </w:rPr>
        <w:t xml:space="preserve">Таблиця </w:t>
      </w:r>
      <w:r w:rsidR="00970A49" w:rsidRPr="00D3606C">
        <w:rPr>
          <w:rFonts w:ascii="Times New Roman" w:hAnsi="Times New Roman" w:cs="Times New Roman"/>
          <w:sz w:val="24"/>
          <w:szCs w:val="24"/>
        </w:rPr>
        <w:t>6</w:t>
      </w:r>
      <w:r w:rsidRPr="00D3606C">
        <w:rPr>
          <w:rFonts w:ascii="Times New Roman" w:hAnsi="Times New Roman" w:cs="Times New Roman"/>
          <w:sz w:val="24"/>
          <w:szCs w:val="24"/>
        </w:rPr>
        <w:t xml:space="preserve"> (тис. грн.)</w:t>
      </w:r>
    </w:p>
    <w:tbl>
      <w:tblPr>
        <w:tblW w:w="9900" w:type="dxa"/>
        <w:tblLook w:val="04A0" w:firstRow="1" w:lastRow="0" w:firstColumn="1" w:lastColumn="0" w:noHBand="0" w:noVBand="1"/>
      </w:tblPr>
      <w:tblGrid>
        <w:gridCol w:w="2035"/>
        <w:gridCol w:w="1634"/>
        <w:gridCol w:w="1634"/>
        <w:gridCol w:w="1684"/>
        <w:gridCol w:w="1457"/>
        <w:gridCol w:w="1456"/>
      </w:tblGrid>
      <w:tr w:rsidR="00297220" w:rsidRPr="00297220" w:rsidTr="00D3606C">
        <w:trPr>
          <w:trHeight w:val="316"/>
        </w:trPr>
        <w:tc>
          <w:tcPr>
            <w:tcW w:w="20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Показники</w:t>
            </w:r>
          </w:p>
        </w:tc>
        <w:tc>
          <w:tcPr>
            <w:tcW w:w="1634"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факт</w:t>
            </w:r>
          </w:p>
        </w:tc>
        <w:tc>
          <w:tcPr>
            <w:tcW w:w="1634"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план</w:t>
            </w:r>
          </w:p>
        </w:tc>
        <w:tc>
          <w:tcPr>
            <w:tcW w:w="1684"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факт</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297220" w:rsidRPr="00297220" w:rsidRDefault="00297220" w:rsidP="00297220">
            <w:pPr>
              <w:spacing w:after="0" w:line="240" w:lineRule="auto"/>
              <w:jc w:val="center"/>
              <w:rPr>
                <w:rFonts w:ascii="Times New Roman" w:eastAsia="Times New Roman" w:hAnsi="Times New Roman" w:cs="Times New Roman"/>
                <w:lang w:eastAsia="uk-UA"/>
              </w:rPr>
            </w:pPr>
            <w:r w:rsidRPr="00297220">
              <w:rPr>
                <w:rFonts w:ascii="Times New Roman" w:eastAsia="Times New Roman" w:hAnsi="Times New Roman" w:cs="Times New Roman"/>
                <w:lang w:eastAsia="uk-UA"/>
              </w:rPr>
              <w:t>%</w:t>
            </w:r>
          </w:p>
        </w:tc>
      </w:tr>
      <w:tr w:rsidR="00297220" w:rsidRPr="00297220" w:rsidTr="00D3606C">
        <w:trPr>
          <w:trHeight w:val="652"/>
        </w:trPr>
        <w:tc>
          <w:tcPr>
            <w:tcW w:w="2035" w:type="dxa"/>
            <w:vMerge/>
            <w:tcBorders>
              <w:top w:val="single" w:sz="4" w:space="0" w:color="auto"/>
              <w:left w:val="single" w:sz="4" w:space="0" w:color="auto"/>
              <w:bottom w:val="single" w:sz="4" w:space="0" w:color="auto"/>
              <w:right w:val="single" w:sz="4" w:space="0" w:color="auto"/>
            </w:tcBorders>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p>
        </w:tc>
        <w:tc>
          <w:tcPr>
            <w:tcW w:w="16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3312F5">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2018 рік </w:t>
            </w:r>
          </w:p>
        </w:tc>
        <w:tc>
          <w:tcPr>
            <w:tcW w:w="16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3312F5">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68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3312F5">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457"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 2019/ план 2019</w:t>
            </w:r>
          </w:p>
        </w:tc>
        <w:tc>
          <w:tcPr>
            <w:tcW w:w="145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факт 2019/ факт 2018 </w:t>
            </w:r>
          </w:p>
        </w:tc>
      </w:tr>
      <w:tr w:rsidR="00297220" w:rsidRPr="00297220" w:rsidTr="00D3606C">
        <w:trPr>
          <w:trHeight w:val="316"/>
        </w:trPr>
        <w:tc>
          <w:tcPr>
            <w:tcW w:w="2035"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 xml:space="preserve">Інші доходи </w:t>
            </w:r>
          </w:p>
        </w:tc>
        <w:tc>
          <w:tcPr>
            <w:tcW w:w="16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sz w:val="24"/>
                <w:szCs w:val="24"/>
                <w:lang w:eastAsia="uk-UA"/>
              </w:rPr>
            </w:pPr>
            <w:r w:rsidRPr="00297220">
              <w:rPr>
                <w:rFonts w:ascii="Times New Roman" w:eastAsia="Times New Roman" w:hAnsi="Times New Roman" w:cs="Times New Roman"/>
                <w:b/>
                <w:sz w:val="24"/>
                <w:szCs w:val="24"/>
                <w:lang w:eastAsia="uk-UA"/>
              </w:rPr>
              <w:t>12 816</w:t>
            </w:r>
          </w:p>
        </w:tc>
        <w:tc>
          <w:tcPr>
            <w:tcW w:w="163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sz w:val="24"/>
                <w:szCs w:val="24"/>
                <w:lang w:eastAsia="uk-UA"/>
              </w:rPr>
            </w:pPr>
            <w:r w:rsidRPr="00297220">
              <w:rPr>
                <w:rFonts w:ascii="Times New Roman" w:eastAsia="Times New Roman" w:hAnsi="Times New Roman" w:cs="Times New Roman"/>
                <w:b/>
                <w:sz w:val="24"/>
                <w:szCs w:val="24"/>
                <w:lang w:eastAsia="uk-UA"/>
              </w:rPr>
              <w:t>11 533</w:t>
            </w:r>
          </w:p>
        </w:tc>
        <w:tc>
          <w:tcPr>
            <w:tcW w:w="168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sz w:val="24"/>
                <w:szCs w:val="24"/>
                <w:lang w:eastAsia="uk-UA"/>
              </w:rPr>
            </w:pPr>
            <w:r w:rsidRPr="00297220">
              <w:rPr>
                <w:rFonts w:ascii="Times New Roman" w:eastAsia="Times New Roman" w:hAnsi="Times New Roman" w:cs="Times New Roman"/>
                <w:b/>
                <w:sz w:val="24"/>
                <w:szCs w:val="24"/>
                <w:lang w:eastAsia="uk-UA"/>
              </w:rPr>
              <w:t>11 883</w:t>
            </w:r>
          </w:p>
        </w:tc>
        <w:tc>
          <w:tcPr>
            <w:tcW w:w="145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103</w:t>
            </w:r>
          </w:p>
        </w:tc>
        <w:tc>
          <w:tcPr>
            <w:tcW w:w="145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93</w:t>
            </w:r>
          </w:p>
        </w:tc>
      </w:tr>
      <w:tr w:rsidR="00297220" w:rsidRPr="00297220" w:rsidTr="00D3606C">
        <w:trPr>
          <w:trHeight w:val="316"/>
        </w:trPr>
        <w:tc>
          <w:tcPr>
            <w:tcW w:w="2035"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дохід від безоплатно одержаних активів</w:t>
            </w:r>
          </w:p>
        </w:tc>
        <w:tc>
          <w:tcPr>
            <w:tcW w:w="16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8 163</w:t>
            </w:r>
          </w:p>
        </w:tc>
        <w:tc>
          <w:tcPr>
            <w:tcW w:w="163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10 925</w:t>
            </w:r>
          </w:p>
        </w:tc>
        <w:tc>
          <w:tcPr>
            <w:tcW w:w="168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11 043</w:t>
            </w:r>
          </w:p>
        </w:tc>
        <w:tc>
          <w:tcPr>
            <w:tcW w:w="145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101</w:t>
            </w:r>
          </w:p>
        </w:tc>
        <w:tc>
          <w:tcPr>
            <w:tcW w:w="145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135</w:t>
            </w:r>
          </w:p>
        </w:tc>
      </w:tr>
      <w:tr w:rsidR="00297220" w:rsidRPr="00297220" w:rsidTr="00D3606C">
        <w:trPr>
          <w:trHeight w:val="316"/>
        </w:trPr>
        <w:tc>
          <w:tcPr>
            <w:tcW w:w="2035"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списання основних засобів</w:t>
            </w:r>
          </w:p>
        </w:tc>
        <w:tc>
          <w:tcPr>
            <w:tcW w:w="16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426</w:t>
            </w:r>
          </w:p>
        </w:tc>
        <w:tc>
          <w:tcPr>
            <w:tcW w:w="163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589</w:t>
            </w:r>
          </w:p>
        </w:tc>
        <w:tc>
          <w:tcPr>
            <w:tcW w:w="168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745</w:t>
            </w:r>
          </w:p>
        </w:tc>
        <w:tc>
          <w:tcPr>
            <w:tcW w:w="145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126</w:t>
            </w:r>
          </w:p>
        </w:tc>
        <w:tc>
          <w:tcPr>
            <w:tcW w:w="145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175</w:t>
            </w:r>
          </w:p>
        </w:tc>
      </w:tr>
      <w:tr w:rsidR="00297220" w:rsidRPr="00297220" w:rsidTr="00D3606C">
        <w:trPr>
          <w:trHeight w:val="331"/>
        </w:trPr>
        <w:tc>
          <w:tcPr>
            <w:tcW w:w="2035" w:type="dxa"/>
            <w:tcBorders>
              <w:top w:val="nil"/>
              <w:left w:val="single" w:sz="4" w:space="0" w:color="auto"/>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інші доходи від звичайної діяльності</w:t>
            </w:r>
          </w:p>
        </w:tc>
        <w:tc>
          <w:tcPr>
            <w:tcW w:w="16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4 227</w:t>
            </w:r>
          </w:p>
        </w:tc>
        <w:tc>
          <w:tcPr>
            <w:tcW w:w="163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19</w:t>
            </w:r>
          </w:p>
        </w:tc>
        <w:tc>
          <w:tcPr>
            <w:tcW w:w="1684"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95</w:t>
            </w:r>
          </w:p>
        </w:tc>
        <w:tc>
          <w:tcPr>
            <w:tcW w:w="1457" w:type="dxa"/>
            <w:tcBorders>
              <w:top w:val="nil"/>
              <w:left w:val="nil"/>
              <w:bottom w:val="single" w:sz="4" w:space="0" w:color="auto"/>
              <w:right w:val="single" w:sz="4" w:space="0" w:color="auto"/>
            </w:tcBorders>
            <w:shd w:val="clear" w:color="000000" w:fill="FFFFFF"/>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в 5,0 р.</w:t>
            </w:r>
          </w:p>
        </w:tc>
        <w:tc>
          <w:tcPr>
            <w:tcW w:w="145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2</w:t>
            </w:r>
          </w:p>
        </w:tc>
      </w:tr>
    </w:tbl>
    <w:p w:rsidR="00297220" w:rsidRPr="00297220" w:rsidRDefault="00297220" w:rsidP="00297220">
      <w:pPr>
        <w:spacing w:after="0" w:line="240" w:lineRule="auto"/>
        <w:ind w:firstLine="567"/>
        <w:contextualSpacing/>
        <w:jc w:val="right"/>
        <w:rPr>
          <w:rFonts w:ascii="Times New Roman" w:hAnsi="Times New Roman" w:cs="Times New Roman"/>
          <w:color w:val="FF0000"/>
          <w:sz w:val="24"/>
        </w:rPr>
      </w:pPr>
    </w:p>
    <w:p w:rsidR="00297220" w:rsidRPr="00297220" w:rsidRDefault="00297220" w:rsidP="00297220">
      <w:pPr>
        <w:spacing w:after="0" w:line="240" w:lineRule="auto"/>
        <w:ind w:firstLine="720"/>
        <w:jc w:val="both"/>
        <w:rPr>
          <w:rFonts w:ascii="Times New Roman" w:eastAsia="Times New Roman" w:hAnsi="Times New Roman" w:cs="Times New Roman"/>
          <w:bCs/>
          <w:iCs/>
          <w:sz w:val="28"/>
          <w:szCs w:val="28"/>
          <w:lang w:eastAsia="x-none"/>
        </w:rPr>
      </w:pPr>
      <w:r w:rsidRPr="00297220">
        <w:rPr>
          <w:rFonts w:ascii="Times New Roman" w:eastAsia="Times New Roman" w:hAnsi="Times New Roman" w:cs="Times New Roman"/>
          <w:bCs/>
          <w:iCs/>
          <w:sz w:val="28"/>
          <w:szCs w:val="28"/>
          <w:lang w:eastAsia="x-none"/>
        </w:rPr>
        <w:t>В 2018 році відображені інші доходи від звичайної діяльності у сумі 4 227,0 тис. грн., з них:</w:t>
      </w:r>
    </w:p>
    <w:p w:rsidR="00297220" w:rsidRPr="00297220" w:rsidRDefault="00297220" w:rsidP="00297220">
      <w:pPr>
        <w:spacing w:after="0" w:line="240" w:lineRule="auto"/>
        <w:ind w:firstLine="720"/>
        <w:jc w:val="both"/>
        <w:rPr>
          <w:rFonts w:ascii="Times New Roman" w:eastAsia="Times New Roman" w:hAnsi="Times New Roman" w:cs="Times New Roman"/>
          <w:bCs/>
          <w:iCs/>
          <w:sz w:val="28"/>
          <w:szCs w:val="28"/>
          <w:lang w:eastAsia="x-none"/>
        </w:rPr>
      </w:pPr>
      <w:r w:rsidRPr="00297220">
        <w:rPr>
          <w:rFonts w:ascii="Times New Roman" w:eastAsia="Times New Roman" w:hAnsi="Times New Roman" w:cs="Times New Roman"/>
          <w:bCs/>
          <w:iCs/>
          <w:sz w:val="28"/>
          <w:szCs w:val="28"/>
          <w:lang w:eastAsia="x-none"/>
        </w:rPr>
        <w:t>1 447,3 тис. грн. – Одеською філією оприбутковано раніше невраховані необоротні активи (введено в експлуатацію основні засоби: залізнична колія, стрілочний перевід, глухий перетин);</w:t>
      </w:r>
    </w:p>
    <w:p w:rsidR="00297220" w:rsidRPr="00297220" w:rsidRDefault="00297220" w:rsidP="00297220">
      <w:pPr>
        <w:tabs>
          <w:tab w:val="center" w:pos="0"/>
        </w:tabs>
        <w:spacing w:after="0" w:line="240" w:lineRule="auto"/>
        <w:jc w:val="both"/>
        <w:outlineLvl w:val="0"/>
        <w:rPr>
          <w:rFonts w:ascii="Times New Roman" w:eastAsia="Times New Roman" w:hAnsi="Times New Roman" w:cs="Times New Roman"/>
          <w:sz w:val="28"/>
          <w:szCs w:val="28"/>
          <w:lang w:eastAsia="uk-UA"/>
        </w:rPr>
      </w:pPr>
      <w:r w:rsidRPr="00297220">
        <w:rPr>
          <w:rFonts w:ascii="Times New Roman" w:eastAsia="Times New Roman" w:hAnsi="Times New Roman" w:cs="Times New Roman"/>
          <w:bCs/>
          <w:iCs/>
          <w:sz w:val="28"/>
          <w:szCs w:val="28"/>
          <w:lang w:eastAsia="x-none"/>
        </w:rPr>
        <w:tab/>
        <w:t xml:space="preserve">2 282,4 тис. грн. – Ізмаїльською філією відображені </w:t>
      </w:r>
      <w:r w:rsidRPr="00297220">
        <w:rPr>
          <w:rFonts w:ascii="Times New Roman" w:hAnsi="Times New Roman"/>
          <w:iCs/>
          <w:sz w:val="28"/>
          <w:szCs w:val="28"/>
          <w:lang w:eastAsia="uk-UA"/>
        </w:rPr>
        <w:t xml:space="preserve">доходи в сумі 366,7 тис. грн. від відшкодування витрат за зберігання ТМЦ (мобрезерву), 1 896,2 тис. грн. - </w:t>
      </w:r>
      <w:r w:rsidRPr="00297220">
        <w:rPr>
          <w:rFonts w:ascii="Times New Roman" w:eastAsia="Times New Roman" w:hAnsi="Times New Roman" w:cs="Times New Roman"/>
          <w:bCs/>
          <w:iCs/>
          <w:sz w:val="28"/>
          <w:szCs w:val="28"/>
          <w:lang w:eastAsia="x-none"/>
        </w:rPr>
        <w:t>оприбутковано раніше невраховані необоротні активи</w:t>
      </w:r>
      <w:r w:rsidRPr="00297220">
        <w:rPr>
          <w:rFonts w:ascii="Times New Roman" w:hAnsi="Times New Roman"/>
          <w:iCs/>
          <w:sz w:val="28"/>
          <w:szCs w:val="28"/>
          <w:lang w:eastAsia="uk-UA"/>
        </w:rPr>
        <w:t xml:space="preserve"> </w:t>
      </w:r>
      <w:r w:rsidRPr="00297220">
        <w:rPr>
          <w:rFonts w:ascii="Times New Roman" w:hAnsi="Times New Roman" w:cs="Times New Roman"/>
          <w:iCs/>
          <w:sz w:val="28"/>
          <w:szCs w:val="28"/>
          <w:lang w:eastAsia="uk-UA"/>
        </w:rPr>
        <w:t>(</w:t>
      </w:r>
      <w:r w:rsidRPr="00297220">
        <w:rPr>
          <w:rFonts w:ascii="Times New Roman" w:hAnsi="Times New Roman" w:cs="Times New Roman"/>
          <w:sz w:val="28"/>
          <w:szCs w:val="28"/>
        </w:rPr>
        <w:t>гідротехнічна споруда – сполучення між причалами №№ 0-1)</w:t>
      </w:r>
      <w:r w:rsidRPr="00297220">
        <w:rPr>
          <w:rFonts w:ascii="Times New Roman" w:eastAsia="Times New Roman" w:hAnsi="Times New Roman" w:cs="Times New Roman"/>
          <w:sz w:val="28"/>
          <w:szCs w:val="28"/>
          <w:lang w:eastAsia="uk-UA"/>
        </w:rPr>
        <w:t>;</w:t>
      </w:r>
    </w:p>
    <w:p w:rsidR="00297220" w:rsidRPr="00297220" w:rsidRDefault="00297220" w:rsidP="00297220">
      <w:pPr>
        <w:tabs>
          <w:tab w:val="center" w:pos="0"/>
        </w:tabs>
        <w:spacing w:after="0" w:line="240" w:lineRule="auto"/>
        <w:jc w:val="both"/>
        <w:outlineLvl w:val="0"/>
        <w:rPr>
          <w:rFonts w:ascii="Times New Roman" w:eastAsia="Times New Roman" w:hAnsi="Times New Roman" w:cs="Times New Roman"/>
          <w:bCs/>
          <w:iCs/>
          <w:sz w:val="28"/>
          <w:szCs w:val="28"/>
          <w:lang w:eastAsia="x-none"/>
        </w:rPr>
      </w:pPr>
      <w:r w:rsidRPr="00297220">
        <w:rPr>
          <w:rFonts w:ascii="Times New Roman" w:eastAsia="Times New Roman" w:hAnsi="Times New Roman" w:cs="Times New Roman"/>
          <w:bCs/>
          <w:iCs/>
          <w:color w:val="FF0000"/>
          <w:sz w:val="28"/>
          <w:szCs w:val="28"/>
          <w:lang w:eastAsia="x-none"/>
        </w:rPr>
        <w:tab/>
      </w:r>
      <w:r w:rsidRPr="00297220">
        <w:rPr>
          <w:rFonts w:ascii="Times New Roman" w:eastAsia="Times New Roman" w:hAnsi="Times New Roman" w:cs="Times New Roman"/>
          <w:bCs/>
          <w:iCs/>
          <w:sz w:val="28"/>
          <w:szCs w:val="28"/>
          <w:lang w:eastAsia="x-none"/>
        </w:rPr>
        <w:t>496,2 тис. грн. – апаратом управління ДП «АМПУ» відкориговані зобов’язання з операційної оренди.</w:t>
      </w:r>
    </w:p>
    <w:p w:rsidR="00F83A8A" w:rsidRPr="00C61B4C" w:rsidRDefault="00F83A8A" w:rsidP="00B80D85">
      <w:pPr>
        <w:spacing w:after="0" w:line="240" w:lineRule="auto"/>
        <w:ind w:firstLine="708"/>
        <w:contextualSpacing/>
        <w:jc w:val="right"/>
        <w:rPr>
          <w:rFonts w:ascii="Times New Roman" w:hAnsi="Times New Roman" w:cs="Times New Roman"/>
          <w:color w:val="FF0000"/>
          <w:sz w:val="24"/>
        </w:rPr>
      </w:pPr>
    </w:p>
    <w:p w:rsidR="00FF3581" w:rsidRPr="00C61B4C" w:rsidRDefault="00FF3581" w:rsidP="00FF3581">
      <w:pPr>
        <w:spacing w:after="0" w:line="240" w:lineRule="auto"/>
        <w:jc w:val="both"/>
        <w:outlineLvl w:val="2"/>
        <w:rPr>
          <w:rFonts w:ascii="Times New Roman" w:eastAsia="Times New Roman" w:hAnsi="Times New Roman" w:cs="Times New Roman"/>
          <w:bCs/>
          <w:iCs/>
          <w:color w:val="FF0000"/>
          <w:sz w:val="28"/>
          <w:szCs w:val="28"/>
        </w:rPr>
      </w:pPr>
    </w:p>
    <w:p w:rsidR="00FF3581" w:rsidRPr="00C61B4C" w:rsidRDefault="00FF3581" w:rsidP="00D3606C">
      <w:pPr>
        <w:pStyle w:val="a3"/>
        <w:numPr>
          <w:ilvl w:val="0"/>
          <w:numId w:val="21"/>
        </w:numPr>
        <w:spacing w:line="240" w:lineRule="auto"/>
        <w:jc w:val="center"/>
        <w:outlineLvl w:val="2"/>
        <w:rPr>
          <w:b/>
          <w:bCs/>
          <w:noProof/>
          <w:szCs w:val="28"/>
          <w:lang w:eastAsia="ru-RU"/>
        </w:rPr>
      </w:pPr>
      <w:r w:rsidRPr="00C61B4C">
        <w:rPr>
          <w:b/>
          <w:bCs/>
          <w:noProof/>
          <w:szCs w:val="28"/>
          <w:lang w:eastAsia="ru-RU"/>
        </w:rPr>
        <w:t>Витрати від здійснення діяльності ДП «АМПУ»</w:t>
      </w:r>
    </w:p>
    <w:p w:rsidR="00FF3581" w:rsidRPr="00C61B4C" w:rsidRDefault="00FF3581" w:rsidP="00FF3581">
      <w:pPr>
        <w:pStyle w:val="a9"/>
        <w:spacing w:before="240" w:after="0" w:line="240" w:lineRule="auto"/>
        <w:ind w:left="0" w:firstLine="708"/>
        <w:jc w:val="both"/>
        <w:rPr>
          <w:rFonts w:ascii="Times New Roman" w:hAnsi="Times New Roman" w:cs="Times New Roman"/>
          <w:sz w:val="28"/>
          <w:szCs w:val="28"/>
          <w:lang w:val="ru-RU" w:eastAsia="ru-RU"/>
        </w:rPr>
      </w:pPr>
      <w:r w:rsidRPr="00C61B4C">
        <w:rPr>
          <w:rFonts w:ascii="Times New Roman" w:eastAsia="Times New Roman" w:hAnsi="Times New Roman" w:cs="Times New Roman"/>
          <w:sz w:val="28"/>
          <w:szCs w:val="28"/>
          <w:lang w:eastAsia="ru-RU"/>
        </w:rPr>
        <w:t xml:space="preserve">Витрати всього за </w:t>
      </w:r>
      <w:r w:rsidRPr="00C61B4C">
        <w:rPr>
          <w:rFonts w:ascii="Times New Roman" w:hAnsi="Times New Roman" w:cs="Times New Roman"/>
          <w:sz w:val="28"/>
          <w:szCs w:val="28"/>
          <w:lang w:eastAsia="ru-RU"/>
        </w:rPr>
        <w:t>201</w:t>
      </w:r>
      <w:r w:rsidRPr="00C61B4C">
        <w:rPr>
          <w:rFonts w:ascii="Times New Roman" w:hAnsi="Times New Roman" w:cs="Times New Roman"/>
          <w:sz w:val="28"/>
          <w:szCs w:val="28"/>
          <w:lang w:val="ru-RU" w:eastAsia="ru-RU"/>
        </w:rPr>
        <w:t>9</w:t>
      </w:r>
      <w:r w:rsidRPr="00C61B4C">
        <w:rPr>
          <w:rFonts w:ascii="Times New Roman" w:hAnsi="Times New Roman" w:cs="Times New Roman"/>
          <w:sz w:val="28"/>
          <w:szCs w:val="28"/>
          <w:lang w:eastAsia="ru-RU"/>
        </w:rPr>
        <w:t xml:space="preserve"> р</w:t>
      </w:r>
      <w:r w:rsidR="00C61B4C" w:rsidRPr="00C61B4C">
        <w:rPr>
          <w:rFonts w:ascii="Times New Roman" w:hAnsi="Times New Roman" w:cs="Times New Roman"/>
          <w:sz w:val="28"/>
          <w:szCs w:val="28"/>
          <w:lang w:eastAsia="ru-RU"/>
        </w:rPr>
        <w:t xml:space="preserve">ік </w:t>
      </w:r>
      <w:r w:rsidRPr="00C61B4C">
        <w:rPr>
          <w:bCs/>
          <w:iCs/>
          <w:szCs w:val="28"/>
        </w:rPr>
        <w:t xml:space="preserve"> </w:t>
      </w:r>
      <w:r w:rsidRPr="00C61B4C">
        <w:rPr>
          <w:rFonts w:ascii="Times New Roman" w:eastAsia="Times New Roman" w:hAnsi="Times New Roman" w:cs="Times New Roman"/>
          <w:sz w:val="28"/>
          <w:szCs w:val="28"/>
          <w:lang w:eastAsia="ru-RU"/>
        </w:rPr>
        <w:t xml:space="preserve">склали </w:t>
      </w:r>
      <w:r w:rsidR="00043023" w:rsidRPr="00043023">
        <w:rPr>
          <w:rFonts w:ascii="Times New Roman" w:hAnsi="Times New Roman" w:cs="Times New Roman"/>
          <w:b/>
          <w:bCs/>
          <w:sz w:val="24"/>
          <w:szCs w:val="24"/>
        </w:rPr>
        <w:t>5 652</w:t>
      </w:r>
      <w:r w:rsidR="00043023">
        <w:rPr>
          <w:rFonts w:ascii="Times New Roman" w:hAnsi="Times New Roman" w:cs="Times New Roman"/>
          <w:b/>
          <w:bCs/>
          <w:sz w:val="24"/>
          <w:szCs w:val="24"/>
        </w:rPr>
        <w:t> </w:t>
      </w:r>
      <w:r w:rsidR="00043023" w:rsidRPr="00043023">
        <w:rPr>
          <w:rFonts w:ascii="Times New Roman" w:hAnsi="Times New Roman" w:cs="Times New Roman"/>
          <w:b/>
          <w:bCs/>
          <w:sz w:val="24"/>
          <w:szCs w:val="24"/>
        </w:rPr>
        <w:t>877</w:t>
      </w:r>
      <w:r w:rsidR="00043023">
        <w:rPr>
          <w:rFonts w:ascii="Times New Roman" w:hAnsi="Times New Roman" w:cs="Times New Roman"/>
          <w:b/>
          <w:bCs/>
          <w:sz w:val="24"/>
          <w:szCs w:val="24"/>
        </w:rPr>
        <w:t xml:space="preserve"> </w:t>
      </w:r>
      <w:r w:rsidRPr="00C61B4C">
        <w:rPr>
          <w:rFonts w:ascii="Times New Roman" w:eastAsia="Times New Roman" w:hAnsi="Times New Roman" w:cs="Times New Roman"/>
          <w:sz w:val="28"/>
          <w:szCs w:val="28"/>
          <w:lang w:eastAsia="ru-RU"/>
        </w:rPr>
        <w:t>тис. грн</w:t>
      </w:r>
      <w:r w:rsidRPr="00C61B4C">
        <w:rPr>
          <w:rFonts w:ascii="Times New Roman" w:eastAsia="Times New Roman" w:hAnsi="Times New Roman" w:cs="Times New Roman"/>
          <w:sz w:val="28"/>
          <w:szCs w:val="28"/>
          <w:lang w:val="ru-RU" w:eastAsia="ru-RU"/>
        </w:rPr>
        <w:t>.</w:t>
      </w:r>
      <w:r w:rsidRPr="00C61B4C">
        <w:rPr>
          <w:rFonts w:ascii="Times New Roman" w:eastAsia="Times New Roman" w:hAnsi="Times New Roman" w:cs="Times New Roman"/>
          <w:sz w:val="28"/>
          <w:szCs w:val="28"/>
          <w:lang w:eastAsia="ru-RU"/>
        </w:rPr>
        <w:t xml:space="preserve">, </w:t>
      </w:r>
      <w:r w:rsidR="00C61B4C" w:rsidRPr="00C61B4C">
        <w:rPr>
          <w:rFonts w:ascii="Times New Roman" w:eastAsia="Times New Roman" w:hAnsi="Times New Roman" w:cs="Times New Roman"/>
          <w:bCs/>
          <w:noProof/>
          <w:sz w:val="28"/>
          <w:szCs w:val="28"/>
          <w:lang w:eastAsia="ru-RU"/>
        </w:rPr>
        <w:t xml:space="preserve">що становить 104 % до планового показника </w:t>
      </w:r>
      <w:r w:rsidR="00C61B4C" w:rsidRPr="00C61B4C">
        <w:rPr>
          <w:rFonts w:ascii="Times New Roman" w:hAnsi="Times New Roman" w:cs="Times New Roman"/>
          <w:sz w:val="28"/>
          <w:szCs w:val="28"/>
          <w:lang w:eastAsia="ru-RU"/>
        </w:rPr>
        <w:t xml:space="preserve">2019 року, </w:t>
      </w:r>
      <w:r w:rsidRPr="00C61B4C">
        <w:rPr>
          <w:rFonts w:ascii="Times New Roman" w:eastAsia="Times New Roman" w:hAnsi="Times New Roman" w:cs="Times New Roman"/>
          <w:bCs/>
          <w:noProof/>
          <w:sz w:val="28"/>
          <w:szCs w:val="28"/>
          <w:lang w:eastAsia="ru-RU"/>
        </w:rPr>
        <w:t>що становить 1</w:t>
      </w:r>
      <w:r w:rsidR="00043023">
        <w:rPr>
          <w:rFonts w:ascii="Times New Roman" w:eastAsia="Times New Roman" w:hAnsi="Times New Roman" w:cs="Times New Roman"/>
          <w:bCs/>
          <w:noProof/>
          <w:sz w:val="28"/>
          <w:szCs w:val="28"/>
          <w:lang w:eastAsia="ru-RU"/>
        </w:rPr>
        <w:t>20</w:t>
      </w:r>
      <w:r w:rsidRPr="00C61B4C">
        <w:rPr>
          <w:rFonts w:ascii="Times New Roman" w:eastAsia="Times New Roman" w:hAnsi="Times New Roman" w:cs="Times New Roman"/>
          <w:bCs/>
          <w:noProof/>
          <w:sz w:val="28"/>
          <w:szCs w:val="28"/>
          <w:lang w:eastAsia="ru-RU"/>
        </w:rPr>
        <w:t xml:space="preserve"> % до фактичного показника </w:t>
      </w:r>
      <w:r w:rsidRPr="00C61B4C">
        <w:rPr>
          <w:rFonts w:ascii="Times New Roman" w:hAnsi="Times New Roman" w:cs="Times New Roman"/>
          <w:sz w:val="28"/>
          <w:szCs w:val="28"/>
          <w:lang w:eastAsia="ru-RU"/>
        </w:rPr>
        <w:t>2018 року</w:t>
      </w:r>
      <w:r w:rsidRPr="00C61B4C">
        <w:rPr>
          <w:rFonts w:ascii="Times New Roman" w:hAnsi="Times New Roman" w:cs="Times New Roman"/>
          <w:sz w:val="28"/>
          <w:szCs w:val="28"/>
          <w:lang w:val="ru-RU" w:eastAsia="ru-RU"/>
        </w:rPr>
        <w:t>.</w:t>
      </w:r>
    </w:p>
    <w:p w:rsidR="00FF3581" w:rsidRPr="00C61B4C" w:rsidRDefault="00FF3581" w:rsidP="00FF3581">
      <w:pPr>
        <w:pStyle w:val="a9"/>
        <w:spacing w:before="240" w:after="0" w:line="240" w:lineRule="auto"/>
        <w:ind w:left="0" w:firstLine="708"/>
        <w:jc w:val="both"/>
        <w:rPr>
          <w:rFonts w:ascii="Times New Roman" w:hAnsi="Times New Roman" w:cs="Times New Roman"/>
          <w:sz w:val="28"/>
          <w:szCs w:val="28"/>
          <w:lang w:val="ru-RU" w:eastAsia="ru-RU"/>
        </w:rPr>
      </w:pPr>
    </w:p>
    <w:p w:rsidR="00FF3581" w:rsidRPr="00C61B4C" w:rsidRDefault="00FF3581" w:rsidP="00FF3581">
      <w:pPr>
        <w:pStyle w:val="a3"/>
        <w:spacing w:line="240" w:lineRule="auto"/>
        <w:ind w:firstLine="708"/>
        <w:contextualSpacing/>
        <w:jc w:val="center"/>
        <w:rPr>
          <w:sz w:val="22"/>
          <w:szCs w:val="22"/>
        </w:rPr>
      </w:pPr>
      <w:r w:rsidRPr="00C61B4C">
        <w:rPr>
          <w:sz w:val="22"/>
          <w:szCs w:val="22"/>
        </w:rPr>
        <w:t xml:space="preserve">                                                                                                                           Таблиця 7 ( тис. грн.)</w:t>
      </w:r>
    </w:p>
    <w:tbl>
      <w:tblPr>
        <w:tblpPr w:leftFromText="180" w:rightFromText="180" w:vertAnchor="text" w:horzAnchor="margin" w:tblpXSpec="center" w:tblpY="108"/>
        <w:tblOverlap w:val="neve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415"/>
        <w:gridCol w:w="1305"/>
        <w:gridCol w:w="1332"/>
        <w:gridCol w:w="1332"/>
        <w:gridCol w:w="1421"/>
        <w:gridCol w:w="1297"/>
      </w:tblGrid>
      <w:tr w:rsidR="00C61B4C" w:rsidRPr="00C61B4C" w:rsidTr="00762349">
        <w:trPr>
          <w:trHeight w:val="967"/>
          <w:jc w:val="center"/>
        </w:trPr>
        <w:tc>
          <w:tcPr>
            <w:tcW w:w="1009" w:type="pct"/>
            <w:tcBorders>
              <w:top w:val="single" w:sz="8" w:space="0" w:color="auto"/>
              <w:left w:val="single" w:sz="8" w:space="0" w:color="auto"/>
              <w:bottom w:val="single" w:sz="8" w:space="0" w:color="auto"/>
              <w:right w:val="single" w:sz="8" w:space="0" w:color="auto"/>
            </w:tcBorders>
            <w:shd w:val="clear" w:color="auto" w:fill="auto"/>
            <w:vAlign w:val="center"/>
          </w:tcPr>
          <w:p w:rsidR="00C61B4C" w:rsidRPr="00762349" w:rsidRDefault="00C61B4C" w:rsidP="00C61B4C">
            <w:pPr>
              <w:jc w:val="center"/>
              <w:rPr>
                <w:rFonts w:ascii="Times New Roman" w:hAnsi="Times New Roman" w:cs="Times New Roman"/>
                <w:bCs/>
                <w:sz w:val="24"/>
                <w:szCs w:val="24"/>
              </w:rPr>
            </w:pPr>
            <w:r w:rsidRPr="00762349">
              <w:rPr>
                <w:rFonts w:ascii="Times New Roman" w:hAnsi="Times New Roman" w:cs="Times New Roman"/>
                <w:bCs/>
                <w:sz w:val="24"/>
                <w:szCs w:val="24"/>
              </w:rPr>
              <w:t>Найменування показника</w:t>
            </w:r>
          </w:p>
        </w:tc>
        <w:tc>
          <w:tcPr>
            <w:tcW w:w="697" w:type="pct"/>
            <w:tcBorders>
              <w:top w:val="single" w:sz="8" w:space="0" w:color="auto"/>
              <w:left w:val="nil"/>
              <w:bottom w:val="single" w:sz="8" w:space="0" w:color="auto"/>
              <w:right w:val="single" w:sz="8" w:space="0" w:color="auto"/>
            </w:tcBorders>
            <w:shd w:val="clear" w:color="auto" w:fill="auto"/>
            <w:vAlign w:val="center"/>
          </w:tcPr>
          <w:p w:rsidR="00C61B4C" w:rsidRPr="00762349" w:rsidRDefault="00C61B4C" w:rsidP="00C61B4C">
            <w:pPr>
              <w:jc w:val="center"/>
              <w:rPr>
                <w:rFonts w:ascii="Times New Roman" w:hAnsi="Times New Roman" w:cs="Times New Roman"/>
                <w:bCs/>
                <w:sz w:val="24"/>
                <w:szCs w:val="24"/>
              </w:rPr>
            </w:pPr>
            <w:r w:rsidRPr="00762349">
              <w:rPr>
                <w:rFonts w:ascii="Times New Roman" w:hAnsi="Times New Roman" w:cs="Times New Roman"/>
                <w:bCs/>
                <w:sz w:val="24"/>
                <w:szCs w:val="24"/>
              </w:rPr>
              <w:t>факт 2018</w:t>
            </w:r>
          </w:p>
        </w:tc>
        <w:tc>
          <w:tcPr>
            <w:tcW w:w="643" w:type="pct"/>
            <w:tcBorders>
              <w:top w:val="single" w:sz="8" w:space="0" w:color="auto"/>
              <w:left w:val="nil"/>
              <w:bottom w:val="single" w:sz="8" w:space="0" w:color="auto"/>
              <w:right w:val="single" w:sz="8" w:space="0" w:color="auto"/>
            </w:tcBorders>
            <w:shd w:val="clear" w:color="auto" w:fill="auto"/>
            <w:vAlign w:val="center"/>
          </w:tcPr>
          <w:p w:rsidR="00C61B4C" w:rsidRPr="00762349" w:rsidRDefault="00C61B4C" w:rsidP="00C61B4C">
            <w:pPr>
              <w:jc w:val="center"/>
              <w:rPr>
                <w:rFonts w:ascii="Times New Roman" w:hAnsi="Times New Roman" w:cs="Times New Roman"/>
                <w:bCs/>
                <w:sz w:val="24"/>
                <w:szCs w:val="24"/>
              </w:rPr>
            </w:pPr>
            <w:r w:rsidRPr="00762349">
              <w:rPr>
                <w:rFonts w:ascii="Times New Roman" w:hAnsi="Times New Roman" w:cs="Times New Roman"/>
                <w:bCs/>
                <w:sz w:val="24"/>
                <w:szCs w:val="24"/>
              </w:rPr>
              <w:t>план 2019</w:t>
            </w:r>
          </w:p>
        </w:tc>
        <w:tc>
          <w:tcPr>
            <w:tcW w:w="656" w:type="pct"/>
            <w:tcBorders>
              <w:top w:val="single" w:sz="8" w:space="0" w:color="auto"/>
              <w:left w:val="nil"/>
              <w:bottom w:val="single" w:sz="8" w:space="0" w:color="auto"/>
              <w:right w:val="single" w:sz="8" w:space="0" w:color="auto"/>
            </w:tcBorders>
            <w:shd w:val="clear" w:color="auto" w:fill="auto"/>
            <w:vAlign w:val="center"/>
          </w:tcPr>
          <w:p w:rsidR="00C61B4C" w:rsidRPr="00762349" w:rsidRDefault="00C61B4C" w:rsidP="00C61B4C">
            <w:pPr>
              <w:jc w:val="center"/>
              <w:rPr>
                <w:rFonts w:ascii="Times New Roman" w:hAnsi="Times New Roman" w:cs="Times New Roman"/>
                <w:bCs/>
                <w:sz w:val="24"/>
                <w:szCs w:val="24"/>
              </w:rPr>
            </w:pPr>
            <w:r w:rsidRPr="00762349">
              <w:rPr>
                <w:rFonts w:ascii="Times New Roman" w:hAnsi="Times New Roman" w:cs="Times New Roman"/>
                <w:bCs/>
                <w:sz w:val="24"/>
                <w:szCs w:val="24"/>
              </w:rPr>
              <w:t>факт 2019</w:t>
            </w:r>
          </w:p>
        </w:tc>
        <w:tc>
          <w:tcPr>
            <w:tcW w:w="656" w:type="pct"/>
            <w:tcBorders>
              <w:top w:val="single" w:sz="8" w:space="0" w:color="auto"/>
              <w:left w:val="nil"/>
              <w:bottom w:val="single" w:sz="8" w:space="0" w:color="auto"/>
              <w:right w:val="single" w:sz="8" w:space="0" w:color="auto"/>
            </w:tcBorders>
            <w:shd w:val="clear" w:color="auto" w:fill="auto"/>
            <w:vAlign w:val="center"/>
          </w:tcPr>
          <w:p w:rsidR="00C61B4C" w:rsidRPr="00C61B4C" w:rsidRDefault="00C61B4C" w:rsidP="00C61B4C">
            <w:pPr>
              <w:jc w:val="center"/>
              <w:rPr>
                <w:rFonts w:ascii="Times New Roman" w:hAnsi="Times New Roman" w:cs="Times New Roman"/>
                <w:bCs/>
                <w:sz w:val="20"/>
                <w:szCs w:val="20"/>
              </w:rPr>
            </w:pPr>
            <w:r w:rsidRPr="00C61B4C">
              <w:rPr>
                <w:rFonts w:ascii="Times New Roman" w:hAnsi="Times New Roman" w:cs="Times New Roman"/>
                <w:bCs/>
                <w:sz w:val="20"/>
                <w:szCs w:val="20"/>
              </w:rPr>
              <w:t>%, факт 2019/факт 2018</w:t>
            </w:r>
          </w:p>
        </w:tc>
        <w:tc>
          <w:tcPr>
            <w:tcW w:w="700" w:type="pct"/>
            <w:tcBorders>
              <w:top w:val="single" w:sz="8" w:space="0" w:color="auto"/>
              <w:left w:val="nil"/>
              <w:bottom w:val="single" w:sz="8" w:space="0" w:color="auto"/>
              <w:right w:val="single" w:sz="8" w:space="0" w:color="auto"/>
            </w:tcBorders>
            <w:shd w:val="clear" w:color="auto" w:fill="auto"/>
            <w:vAlign w:val="center"/>
          </w:tcPr>
          <w:p w:rsidR="00C61B4C" w:rsidRPr="00C61B4C" w:rsidRDefault="00C61B4C" w:rsidP="00C61B4C">
            <w:pPr>
              <w:jc w:val="center"/>
              <w:rPr>
                <w:rFonts w:ascii="Times New Roman" w:hAnsi="Times New Roman" w:cs="Times New Roman"/>
                <w:bCs/>
                <w:sz w:val="20"/>
                <w:szCs w:val="20"/>
              </w:rPr>
            </w:pPr>
            <w:r w:rsidRPr="00C61B4C">
              <w:rPr>
                <w:rFonts w:ascii="Times New Roman" w:hAnsi="Times New Roman" w:cs="Times New Roman"/>
                <w:bCs/>
                <w:sz w:val="20"/>
                <w:szCs w:val="20"/>
              </w:rPr>
              <w:t>%, факт 2019/план 2019</w:t>
            </w:r>
          </w:p>
        </w:tc>
        <w:tc>
          <w:tcPr>
            <w:tcW w:w="639" w:type="pct"/>
            <w:tcBorders>
              <w:top w:val="single" w:sz="8" w:space="0" w:color="auto"/>
              <w:left w:val="nil"/>
              <w:bottom w:val="single" w:sz="8" w:space="0" w:color="auto"/>
              <w:right w:val="single" w:sz="8" w:space="0" w:color="auto"/>
            </w:tcBorders>
            <w:shd w:val="clear" w:color="auto" w:fill="auto"/>
            <w:vAlign w:val="center"/>
          </w:tcPr>
          <w:p w:rsidR="00C61B4C" w:rsidRPr="00C61B4C" w:rsidRDefault="00C61B4C" w:rsidP="00C61B4C">
            <w:pPr>
              <w:jc w:val="center"/>
              <w:rPr>
                <w:rFonts w:ascii="Times New Roman" w:hAnsi="Times New Roman" w:cs="Times New Roman"/>
                <w:bCs/>
                <w:sz w:val="20"/>
                <w:szCs w:val="20"/>
              </w:rPr>
            </w:pPr>
            <w:r w:rsidRPr="00C61B4C">
              <w:rPr>
                <w:rFonts w:ascii="Times New Roman" w:hAnsi="Times New Roman" w:cs="Times New Roman"/>
                <w:bCs/>
                <w:sz w:val="20"/>
                <w:szCs w:val="20"/>
              </w:rPr>
              <w:t>структура плану 2020 року у долях</w:t>
            </w:r>
          </w:p>
        </w:tc>
      </w:tr>
      <w:tr w:rsidR="00043023" w:rsidRPr="00C61B4C" w:rsidTr="00043023">
        <w:trPr>
          <w:trHeight w:val="331"/>
          <w:jc w:val="center"/>
        </w:trPr>
        <w:tc>
          <w:tcPr>
            <w:tcW w:w="1009" w:type="pct"/>
            <w:tcBorders>
              <w:top w:val="nil"/>
              <w:left w:val="single" w:sz="8" w:space="0" w:color="auto"/>
              <w:bottom w:val="single" w:sz="8" w:space="0" w:color="auto"/>
              <w:right w:val="single" w:sz="8" w:space="0" w:color="auto"/>
            </w:tcBorders>
            <w:shd w:val="clear" w:color="auto" w:fill="auto"/>
            <w:vAlign w:val="center"/>
          </w:tcPr>
          <w:p w:rsidR="00043023" w:rsidRPr="00C61B4C" w:rsidRDefault="00043023" w:rsidP="00043023">
            <w:pPr>
              <w:rPr>
                <w:rFonts w:ascii="Times New Roman" w:hAnsi="Times New Roman" w:cs="Times New Roman"/>
                <w:b/>
                <w:bCs/>
                <w:sz w:val="24"/>
                <w:szCs w:val="24"/>
              </w:rPr>
            </w:pPr>
            <w:r w:rsidRPr="00C61B4C">
              <w:rPr>
                <w:rFonts w:ascii="Times New Roman" w:hAnsi="Times New Roman" w:cs="Times New Roman"/>
                <w:b/>
                <w:bCs/>
                <w:sz w:val="24"/>
                <w:szCs w:val="24"/>
              </w:rPr>
              <w:t>Витрати усього</w:t>
            </w:r>
          </w:p>
        </w:tc>
        <w:tc>
          <w:tcPr>
            <w:tcW w:w="697"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
                <w:bCs/>
                <w:sz w:val="24"/>
                <w:szCs w:val="24"/>
              </w:rPr>
            </w:pPr>
            <w:r w:rsidRPr="00043023">
              <w:rPr>
                <w:rFonts w:ascii="Times New Roman" w:hAnsi="Times New Roman" w:cs="Times New Roman"/>
                <w:b/>
                <w:bCs/>
                <w:sz w:val="24"/>
                <w:szCs w:val="24"/>
              </w:rPr>
              <w:t>4 692 205</w:t>
            </w:r>
          </w:p>
        </w:tc>
        <w:tc>
          <w:tcPr>
            <w:tcW w:w="643"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
                <w:bCs/>
                <w:sz w:val="24"/>
                <w:szCs w:val="24"/>
              </w:rPr>
            </w:pPr>
            <w:r w:rsidRPr="00043023">
              <w:rPr>
                <w:rFonts w:ascii="Times New Roman" w:hAnsi="Times New Roman" w:cs="Times New Roman"/>
                <w:b/>
                <w:bCs/>
                <w:sz w:val="24"/>
                <w:szCs w:val="24"/>
              </w:rPr>
              <w:t>5 426 416</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
                <w:bCs/>
                <w:sz w:val="24"/>
                <w:szCs w:val="24"/>
              </w:rPr>
            </w:pPr>
            <w:r w:rsidRPr="00043023">
              <w:rPr>
                <w:rFonts w:ascii="Times New Roman" w:hAnsi="Times New Roman" w:cs="Times New Roman"/>
                <w:b/>
                <w:bCs/>
                <w:sz w:val="24"/>
                <w:szCs w:val="24"/>
              </w:rPr>
              <w:t>5 652 877</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
                <w:bCs/>
                <w:sz w:val="24"/>
                <w:szCs w:val="24"/>
              </w:rPr>
            </w:pPr>
            <w:r w:rsidRPr="00043023">
              <w:rPr>
                <w:rFonts w:ascii="Times New Roman" w:hAnsi="Times New Roman" w:cs="Times New Roman"/>
                <w:b/>
                <w:bCs/>
                <w:sz w:val="24"/>
                <w:szCs w:val="24"/>
              </w:rPr>
              <w:t>120</w:t>
            </w:r>
          </w:p>
        </w:tc>
        <w:tc>
          <w:tcPr>
            <w:tcW w:w="700"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
                <w:bCs/>
                <w:sz w:val="24"/>
                <w:szCs w:val="24"/>
              </w:rPr>
            </w:pPr>
            <w:r w:rsidRPr="00043023">
              <w:rPr>
                <w:rFonts w:ascii="Times New Roman" w:hAnsi="Times New Roman" w:cs="Times New Roman"/>
                <w:b/>
                <w:bCs/>
                <w:sz w:val="24"/>
                <w:szCs w:val="24"/>
              </w:rPr>
              <w:t>104</w:t>
            </w:r>
          </w:p>
        </w:tc>
        <w:tc>
          <w:tcPr>
            <w:tcW w:w="639" w:type="pct"/>
            <w:tcBorders>
              <w:top w:val="nil"/>
              <w:left w:val="nil"/>
              <w:bottom w:val="single" w:sz="8" w:space="0" w:color="auto"/>
              <w:right w:val="single" w:sz="8" w:space="0" w:color="auto"/>
            </w:tcBorders>
            <w:shd w:val="clear" w:color="000000" w:fill="FFFFFF"/>
            <w:vAlign w:val="center"/>
          </w:tcPr>
          <w:p w:rsidR="00043023" w:rsidRPr="00043023" w:rsidRDefault="00043023" w:rsidP="00043023">
            <w:pPr>
              <w:jc w:val="center"/>
              <w:rPr>
                <w:rFonts w:ascii="Times New Roman" w:hAnsi="Times New Roman" w:cs="Times New Roman"/>
                <w:b/>
                <w:bCs/>
                <w:sz w:val="24"/>
                <w:szCs w:val="24"/>
              </w:rPr>
            </w:pPr>
            <w:r w:rsidRPr="00043023">
              <w:rPr>
                <w:rFonts w:ascii="Times New Roman" w:hAnsi="Times New Roman" w:cs="Times New Roman"/>
                <w:b/>
                <w:bCs/>
                <w:sz w:val="24"/>
                <w:szCs w:val="24"/>
              </w:rPr>
              <w:t>100,0</w:t>
            </w:r>
          </w:p>
        </w:tc>
      </w:tr>
      <w:tr w:rsidR="00043023" w:rsidRPr="00C61B4C" w:rsidTr="00043023">
        <w:trPr>
          <w:trHeight w:val="413"/>
          <w:jc w:val="center"/>
        </w:trPr>
        <w:tc>
          <w:tcPr>
            <w:tcW w:w="1009" w:type="pct"/>
            <w:tcBorders>
              <w:top w:val="nil"/>
              <w:left w:val="single" w:sz="8" w:space="0" w:color="auto"/>
              <w:bottom w:val="single" w:sz="8" w:space="0" w:color="auto"/>
              <w:right w:val="single" w:sz="8" w:space="0" w:color="auto"/>
            </w:tcBorders>
            <w:shd w:val="clear" w:color="auto" w:fill="auto"/>
            <w:vAlign w:val="center"/>
          </w:tcPr>
          <w:p w:rsidR="00043023" w:rsidRPr="00C61B4C" w:rsidRDefault="00043023" w:rsidP="00043023">
            <w:pPr>
              <w:rPr>
                <w:rFonts w:ascii="Times New Roman" w:hAnsi="Times New Roman" w:cs="Times New Roman"/>
                <w:sz w:val="24"/>
                <w:szCs w:val="24"/>
              </w:rPr>
            </w:pPr>
            <w:r w:rsidRPr="00C61B4C">
              <w:rPr>
                <w:rFonts w:ascii="Times New Roman" w:hAnsi="Times New Roman" w:cs="Times New Roman"/>
                <w:sz w:val="24"/>
                <w:szCs w:val="24"/>
              </w:rPr>
              <w:t>Собівартість</w:t>
            </w:r>
          </w:p>
        </w:tc>
        <w:tc>
          <w:tcPr>
            <w:tcW w:w="697"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2 862 951</w:t>
            </w:r>
          </w:p>
        </w:tc>
        <w:tc>
          <w:tcPr>
            <w:tcW w:w="643"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3 779 337</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3 906 941</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136</w:t>
            </w:r>
          </w:p>
        </w:tc>
        <w:tc>
          <w:tcPr>
            <w:tcW w:w="700"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103</w:t>
            </w:r>
          </w:p>
        </w:tc>
        <w:tc>
          <w:tcPr>
            <w:tcW w:w="639" w:type="pct"/>
            <w:tcBorders>
              <w:top w:val="nil"/>
              <w:left w:val="nil"/>
              <w:bottom w:val="single" w:sz="8" w:space="0" w:color="auto"/>
              <w:right w:val="single" w:sz="8" w:space="0" w:color="auto"/>
            </w:tcBorders>
            <w:shd w:val="clear" w:color="000000" w:fill="FFFFFF"/>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69,1</w:t>
            </w:r>
          </w:p>
        </w:tc>
      </w:tr>
      <w:tr w:rsidR="00043023" w:rsidRPr="00C61B4C" w:rsidTr="00043023">
        <w:trPr>
          <w:trHeight w:val="360"/>
          <w:jc w:val="center"/>
        </w:trPr>
        <w:tc>
          <w:tcPr>
            <w:tcW w:w="1009" w:type="pct"/>
            <w:tcBorders>
              <w:top w:val="nil"/>
              <w:left w:val="single" w:sz="8" w:space="0" w:color="auto"/>
              <w:bottom w:val="single" w:sz="8" w:space="0" w:color="auto"/>
              <w:right w:val="single" w:sz="8" w:space="0" w:color="auto"/>
            </w:tcBorders>
            <w:shd w:val="clear" w:color="auto" w:fill="auto"/>
            <w:vAlign w:val="center"/>
          </w:tcPr>
          <w:p w:rsidR="00043023" w:rsidRPr="00C61B4C" w:rsidRDefault="00043023" w:rsidP="00043023">
            <w:pPr>
              <w:rPr>
                <w:rFonts w:ascii="Times New Roman" w:hAnsi="Times New Roman" w:cs="Times New Roman"/>
                <w:sz w:val="24"/>
                <w:szCs w:val="24"/>
              </w:rPr>
            </w:pPr>
            <w:r w:rsidRPr="00C61B4C">
              <w:rPr>
                <w:rFonts w:ascii="Times New Roman" w:hAnsi="Times New Roman" w:cs="Times New Roman"/>
                <w:sz w:val="24"/>
                <w:szCs w:val="24"/>
              </w:rPr>
              <w:t>Адміністративні витрати</w:t>
            </w:r>
          </w:p>
        </w:tc>
        <w:tc>
          <w:tcPr>
            <w:tcW w:w="697"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722 853</w:t>
            </w:r>
          </w:p>
        </w:tc>
        <w:tc>
          <w:tcPr>
            <w:tcW w:w="643"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864 268</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873 972</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121</w:t>
            </w:r>
          </w:p>
        </w:tc>
        <w:tc>
          <w:tcPr>
            <w:tcW w:w="700"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101</w:t>
            </w:r>
          </w:p>
        </w:tc>
        <w:tc>
          <w:tcPr>
            <w:tcW w:w="639" w:type="pct"/>
            <w:tcBorders>
              <w:top w:val="nil"/>
              <w:left w:val="nil"/>
              <w:bottom w:val="single" w:sz="8" w:space="0" w:color="auto"/>
              <w:right w:val="single" w:sz="8" w:space="0" w:color="auto"/>
            </w:tcBorders>
            <w:shd w:val="clear" w:color="000000" w:fill="FFFFFF"/>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15,5</w:t>
            </w:r>
          </w:p>
        </w:tc>
      </w:tr>
      <w:tr w:rsidR="00043023" w:rsidRPr="00C61B4C" w:rsidTr="00043023">
        <w:trPr>
          <w:trHeight w:val="360"/>
          <w:jc w:val="center"/>
        </w:trPr>
        <w:tc>
          <w:tcPr>
            <w:tcW w:w="1009" w:type="pct"/>
            <w:tcBorders>
              <w:top w:val="nil"/>
              <w:left w:val="single" w:sz="8" w:space="0" w:color="auto"/>
              <w:bottom w:val="single" w:sz="8" w:space="0" w:color="auto"/>
              <w:right w:val="single" w:sz="8" w:space="0" w:color="auto"/>
            </w:tcBorders>
            <w:shd w:val="clear" w:color="auto" w:fill="auto"/>
            <w:vAlign w:val="center"/>
          </w:tcPr>
          <w:p w:rsidR="00043023" w:rsidRPr="00C61B4C" w:rsidRDefault="00043023" w:rsidP="00043023">
            <w:pPr>
              <w:rPr>
                <w:rFonts w:ascii="Times New Roman" w:hAnsi="Times New Roman" w:cs="Times New Roman"/>
                <w:sz w:val="24"/>
                <w:szCs w:val="24"/>
              </w:rPr>
            </w:pPr>
            <w:r w:rsidRPr="00C61B4C">
              <w:rPr>
                <w:rFonts w:ascii="Times New Roman" w:hAnsi="Times New Roman" w:cs="Times New Roman"/>
                <w:sz w:val="24"/>
                <w:szCs w:val="24"/>
              </w:rPr>
              <w:t>Інші операційні витрати</w:t>
            </w:r>
          </w:p>
        </w:tc>
        <w:tc>
          <w:tcPr>
            <w:tcW w:w="697"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499 703</w:t>
            </w:r>
          </w:p>
        </w:tc>
        <w:tc>
          <w:tcPr>
            <w:tcW w:w="643"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371 070</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469 884</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94</w:t>
            </w:r>
          </w:p>
        </w:tc>
        <w:tc>
          <w:tcPr>
            <w:tcW w:w="700"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127</w:t>
            </w:r>
          </w:p>
        </w:tc>
        <w:tc>
          <w:tcPr>
            <w:tcW w:w="639" w:type="pct"/>
            <w:tcBorders>
              <w:top w:val="nil"/>
              <w:left w:val="nil"/>
              <w:bottom w:val="single" w:sz="8" w:space="0" w:color="auto"/>
              <w:right w:val="single" w:sz="8" w:space="0" w:color="auto"/>
            </w:tcBorders>
            <w:shd w:val="clear" w:color="000000" w:fill="FFFFFF"/>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8,3</w:t>
            </w:r>
          </w:p>
        </w:tc>
      </w:tr>
      <w:tr w:rsidR="00043023" w:rsidRPr="00C61B4C" w:rsidTr="00043023">
        <w:trPr>
          <w:trHeight w:val="354"/>
          <w:jc w:val="center"/>
        </w:trPr>
        <w:tc>
          <w:tcPr>
            <w:tcW w:w="1009" w:type="pct"/>
            <w:tcBorders>
              <w:top w:val="nil"/>
              <w:left w:val="single" w:sz="8" w:space="0" w:color="auto"/>
              <w:bottom w:val="single" w:sz="8" w:space="0" w:color="auto"/>
              <w:right w:val="single" w:sz="8" w:space="0" w:color="auto"/>
            </w:tcBorders>
            <w:shd w:val="clear" w:color="auto" w:fill="auto"/>
            <w:vAlign w:val="center"/>
          </w:tcPr>
          <w:p w:rsidR="00043023" w:rsidRPr="00C61B4C" w:rsidRDefault="00043023" w:rsidP="00043023">
            <w:pPr>
              <w:rPr>
                <w:rFonts w:ascii="Times New Roman" w:hAnsi="Times New Roman" w:cs="Times New Roman"/>
                <w:sz w:val="24"/>
                <w:szCs w:val="24"/>
              </w:rPr>
            </w:pPr>
            <w:r w:rsidRPr="00C61B4C">
              <w:rPr>
                <w:rFonts w:ascii="Times New Roman" w:hAnsi="Times New Roman" w:cs="Times New Roman"/>
                <w:sz w:val="24"/>
                <w:szCs w:val="24"/>
              </w:rPr>
              <w:t>Інші витрати</w:t>
            </w:r>
          </w:p>
        </w:tc>
        <w:tc>
          <w:tcPr>
            <w:tcW w:w="697"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30 301</w:t>
            </w:r>
          </w:p>
        </w:tc>
        <w:tc>
          <w:tcPr>
            <w:tcW w:w="643"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11 141</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8 388</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28</w:t>
            </w:r>
          </w:p>
        </w:tc>
        <w:tc>
          <w:tcPr>
            <w:tcW w:w="700"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75</w:t>
            </w:r>
          </w:p>
        </w:tc>
        <w:tc>
          <w:tcPr>
            <w:tcW w:w="639" w:type="pct"/>
            <w:tcBorders>
              <w:top w:val="nil"/>
              <w:left w:val="nil"/>
              <w:bottom w:val="single" w:sz="8" w:space="0" w:color="auto"/>
              <w:right w:val="single" w:sz="8" w:space="0" w:color="auto"/>
            </w:tcBorders>
            <w:shd w:val="clear" w:color="000000" w:fill="FFFFFF"/>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0,1</w:t>
            </w:r>
          </w:p>
        </w:tc>
      </w:tr>
      <w:tr w:rsidR="00043023" w:rsidRPr="00C61B4C" w:rsidTr="00043023">
        <w:trPr>
          <w:trHeight w:val="462"/>
          <w:jc w:val="center"/>
        </w:trPr>
        <w:tc>
          <w:tcPr>
            <w:tcW w:w="1009" w:type="pct"/>
            <w:tcBorders>
              <w:top w:val="nil"/>
              <w:left w:val="single" w:sz="8" w:space="0" w:color="auto"/>
              <w:bottom w:val="single" w:sz="8" w:space="0" w:color="auto"/>
              <w:right w:val="single" w:sz="8" w:space="0" w:color="auto"/>
            </w:tcBorders>
            <w:shd w:val="clear" w:color="auto" w:fill="auto"/>
            <w:vAlign w:val="center"/>
          </w:tcPr>
          <w:p w:rsidR="00043023" w:rsidRPr="00C61B4C" w:rsidRDefault="00043023" w:rsidP="00043023">
            <w:pPr>
              <w:rPr>
                <w:rFonts w:ascii="Times New Roman" w:hAnsi="Times New Roman" w:cs="Times New Roman"/>
                <w:sz w:val="24"/>
                <w:szCs w:val="24"/>
              </w:rPr>
            </w:pPr>
            <w:r w:rsidRPr="00C61B4C">
              <w:rPr>
                <w:rFonts w:ascii="Times New Roman" w:hAnsi="Times New Roman" w:cs="Times New Roman"/>
                <w:sz w:val="24"/>
                <w:szCs w:val="24"/>
              </w:rPr>
              <w:t>Фінансові витрати</w:t>
            </w:r>
          </w:p>
        </w:tc>
        <w:tc>
          <w:tcPr>
            <w:tcW w:w="697"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4</w:t>
            </w:r>
            <w:r>
              <w:rPr>
                <w:rFonts w:ascii="Times New Roman" w:hAnsi="Times New Roman" w:cs="Times New Roman"/>
                <w:sz w:val="24"/>
                <w:szCs w:val="24"/>
              </w:rPr>
              <w:t xml:space="preserve"> </w:t>
            </w:r>
            <w:r w:rsidRPr="00043023">
              <w:rPr>
                <w:rFonts w:ascii="Times New Roman" w:hAnsi="Times New Roman" w:cs="Times New Roman"/>
                <w:sz w:val="24"/>
                <w:szCs w:val="24"/>
              </w:rPr>
              <w:t>989</w:t>
            </w:r>
          </w:p>
        </w:tc>
        <w:tc>
          <w:tcPr>
            <w:tcW w:w="643"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10 074</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10 247</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205</w:t>
            </w:r>
          </w:p>
        </w:tc>
        <w:tc>
          <w:tcPr>
            <w:tcW w:w="700"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102</w:t>
            </w:r>
          </w:p>
        </w:tc>
        <w:tc>
          <w:tcPr>
            <w:tcW w:w="639" w:type="pct"/>
            <w:tcBorders>
              <w:top w:val="nil"/>
              <w:left w:val="nil"/>
              <w:bottom w:val="single" w:sz="8" w:space="0" w:color="auto"/>
              <w:right w:val="single" w:sz="8" w:space="0" w:color="auto"/>
            </w:tcBorders>
            <w:shd w:val="clear" w:color="000000" w:fill="FFFFFF"/>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0,2</w:t>
            </w:r>
          </w:p>
        </w:tc>
      </w:tr>
      <w:tr w:rsidR="00043023" w:rsidRPr="00C61B4C" w:rsidTr="00043023">
        <w:trPr>
          <w:trHeight w:val="161"/>
          <w:jc w:val="center"/>
        </w:trPr>
        <w:tc>
          <w:tcPr>
            <w:tcW w:w="1009" w:type="pct"/>
            <w:tcBorders>
              <w:top w:val="nil"/>
              <w:left w:val="single" w:sz="8" w:space="0" w:color="auto"/>
              <w:bottom w:val="single" w:sz="8" w:space="0" w:color="auto"/>
              <w:right w:val="single" w:sz="8" w:space="0" w:color="auto"/>
            </w:tcBorders>
            <w:shd w:val="clear" w:color="auto" w:fill="auto"/>
            <w:vAlign w:val="center"/>
          </w:tcPr>
          <w:p w:rsidR="00043023" w:rsidRPr="00C61B4C" w:rsidRDefault="00043023" w:rsidP="00043023">
            <w:pPr>
              <w:rPr>
                <w:rFonts w:ascii="Times New Roman" w:hAnsi="Times New Roman" w:cs="Times New Roman"/>
                <w:sz w:val="24"/>
                <w:szCs w:val="24"/>
              </w:rPr>
            </w:pPr>
            <w:r w:rsidRPr="00C61B4C">
              <w:rPr>
                <w:rFonts w:ascii="Times New Roman" w:hAnsi="Times New Roman" w:cs="Times New Roman"/>
                <w:sz w:val="24"/>
                <w:szCs w:val="24"/>
              </w:rPr>
              <w:t>Податок на прибуток від звичайної діяльності</w:t>
            </w:r>
          </w:p>
        </w:tc>
        <w:tc>
          <w:tcPr>
            <w:tcW w:w="697"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571 408</w:t>
            </w:r>
          </w:p>
        </w:tc>
        <w:tc>
          <w:tcPr>
            <w:tcW w:w="643"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390 526</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sz w:val="24"/>
                <w:szCs w:val="24"/>
              </w:rPr>
            </w:pPr>
            <w:r w:rsidRPr="00043023">
              <w:rPr>
                <w:rFonts w:ascii="Times New Roman" w:hAnsi="Times New Roman" w:cs="Times New Roman"/>
                <w:sz w:val="24"/>
                <w:szCs w:val="24"/>
              </w:rPr>
              <w:t>383 445</w:t>
            </w:r>
          </w:p>
        </w:tc>
        <w:tc>
          <w:tcPr>
            <w:tcW w:w="656"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67</w:t>
            </w:r>
          </w:p>
        </w:tc>
        <w:tc>
          <w:tcPr>
            <w:tcW w:w="700" w:type="pct"/>
            <w:tcBorders>
              <w:top w:val="nil"/>
              <w:left w:val="nil"/>
              <w:bottom w:val="single" w:sz="8" w:space="0" w:color="auto"/>
              <w:right w:val="single" w:sz="8" w:space="0" w:color="auto"/>
            </w:tcBorders>
            <w:shd w:val="clear" w:color="auto" w:fill="auto"/>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98</w:t>
            </w:r>
          </w:p>
        </w:tc>
        <w:tc>
          <w:tcPr>
            <w:tcW w:w="639" w:type="pct"/>
            <w:tcBorders>
              <w:top w:val="nil"/>
              <w:left w:val="nil"/>
              <w:bottom w:val="single" w:sz="8" w:space="0" w:color="auto"/>
              <w:right w:val="single" w:sz="8" w:space="0" w:color="auto"/>
            </w:tcBorders>
            <w:shd w:val="clear" w:color="000000" w:fill="FFFFFF"/>
            <w:vAlign w:val="center"/>
          </w:tcPr>
          <w:p w:rsidR="00043023" w:rsidRPr="00043023" w:rsidRDefault="00043023" w:rsidP="00043023">
            <w:pPr>
              <w:jc w:val="center"/>
              <w:rPr>
                <w:rFonts w:ascii="Times New Roman" w:hAnsi="Times New Roman" w:cs="Times New Roman"/>
                <w:bCs/>
                <w:sz w:val="24"/>
                <w:szCs w:val="24"/>
              </w:rPr>
            </w:pPr>
            <w:r w:rsidRPr="00043023">
              <w:rPr>
                <w:rFonts w:ascii="Times New Roman" w:hAnsi="Times New Roman" w:cs="Times New Roman"/>
                <w:bCs/>
                <w:sz w:val="24"/>
                <w:szCs w:val="24"/>
              </w:rPr>
              <w:t>6,8</w:t>
            </w:r>
          </w:p>
        </w:tc>
      </w:tr>
    </w:tbl>
    <w:p w:rsidR="00FF3581" w:rsidRPr="00C61B4C" w:rsidRDefault="00FF3581" w:rsidP="00FF3581">
      <w:pPr>
        <w:spacing w:after="0" w:line="240" w:lineRule="auto"/>
        <w:ind w:left="1135" w:right="851"/>
        <w:jc w:val="center"/>
        <w:rPr>
          <w:rFonts w:ascii="Times New Roman" w:eastAsia="Times New Roman" w:hAnsi="Times New Roman" w:cs="Times New Roman"/>
          <w:b/>
          <w:color w:val="FF0000"/>
          <w:sz w:val="28"/>
          <w:szCs w:val="28"/>
          <w:lang w:eastAsia="ru-RU"/>
        </w:rPr>
      </w:pPr>
    </w:p>
    <w:p w:rsidR="00781C67" w:rsidRPr="00C61B4C" w:rsidRDefault="00781C67" w:rsidP="00FF3581">
      <w:pPr>
        <w:spacing w:after="0" w:line="240" w:lineRule="auto"/>
        <w:ind w:left="1135" w:right="851"/>
        <w:jc w:val="center"/>
        <w:rPr>
          <w:rFonts w:ascii="Times New Roman" w:eastAsia="Times New Roman" w:hAnsi="Times New Roman" w:cs="Times New Roman"/>
          <w:b/>
          <w:color w:val="FF0000"/>
          <w:sz w:val="28"/>
          <w:szCs w:val="28"/>
          <w:lang w:eastAsia="ru-RU"/>
        </w:rPr>
      </w:pPr>
    </w:p>
    <w:p w:rsidR="00FF3581" w:rsidRPr="00781C67" w:rsidRDefault="00D3606C" w:rsidP="00D3606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FF3581" w:rsidRPr="00781C67">
        <w:rPr>
          <w:rFonts w:ascii="Times New Roman" w:eastAsia="Times New Roman" w:hAnsi="Times New Roman" w:cs="Times New Roman"/>
          <w:b/>
          <w:sz w:val="28"/>
          <w:szCs w:val="28"/>
          <w:lang w:eastAsia="ru-RU"/>
        </w:rPr>
        <w:t>. Собівартість реалізованих послуг (товарів, робіт)</w:t>
      </w:r>
    </w:p>
    <w:p w:rsidR="00FF3581" w:rsidRPr="00C61B4C" w:rsidRDefault="00FF3581" w:rsidP="00FF3581">
      <w:pPr>
        <w:pStyle w:val="a9"/>
        <w:spacing w:after="0" w:line="240" w:lineRule="auto"/>
        <w:ind w:left="1855" w:right="851"/>
        <w:rPr>
          <w:rFonts w:ascii="Times New Roman" w:eastAsia="Times New Roman" w:hAnsi="Times New Roman" w:cs="Times New Roman"/>
          <w:b/>
          <w:color w:val="FF0000"/>
          <w:sz w:val="28"/>
          <w:szCs w:val="28"/>
          <w:lang w:eastAsia="ru-RU"/>
        </w:rPr>
      </w:pPr>
    </w:p>
    <w:p w:rsidR="00FF3581" w:rsidRPr="001C7224" w:rsidRDefault="00FF3581" w:rsidP="00FF3581">
      <w:pPr>
        <w:pStyle w:val="a9"/>
        <w:spacing w:before="240" w:after="0" w:line="240" w:lineRule="auto"/>
        <w:ind w:left="0" w:firstLine="708"/>
        <w:jc w:val="both"/>
        <w:rPr>
          <w:rFonts w:ascii="Times New Roman" w:hAnsi="Times New Roman" w:cs="Times New Roman"/>
          <w:sz w:val="28"/>
          <w:szCs w:val="28"/>
          <w:lang w:val="ru-RU" w:eastAsia="ru-RU"/>
        </w:rPr>
      </w:pPr>
      <w:r w:rsidRPr="002C3B37">
        <w:rPr>
          <w:rFonts w:ascii="Times New Roman" w:eastAsia="Times New Roman" w:hAnsi="Times New Roman" w:cs="Times New Roman"/>
          <w:sz w:val="28"/>
          <w:szCs w:val="28"/>
          <w:lang w:eastAsia="ru-RU"/>
        </w:rPr>
        <w:t xml:space="preserve">Витрати на собівартість реалізованих послуг (товарів, робіт) за </w:t>
      </w:r>
      <w:r w:rsidRPr="002C3B37">
        <w:rPr>
          <w:rFonts w:ascii="Times New Roman" w:hAnsi="Times New Roman" w:cs="Times New Roman"/>
          <w:sz w:val="28"/>
          <w:szCs w:val="28"/>
          <w:lang w:eastAsia="ru-RU"/>
        </w:rPr>
        <w:t>201</w:t>
      </w:r>
      <w:r w:rsidRPr="002C3B37">
        <w:rPr>
          <w:rFonts w:ascii="Times New Roman" w:hAnsi="Times New Roman" w:cs="Times New Roman"/>
          <w:sz w:val="28"/>
          <w:szCs w:val="28"/>
          <w:lang w:val="ru-RU" w:eastAsia="ru-RU"/>
        </w:rPr>
        <w:t>9</w:t>
      </w:r>
      <w:r w:rsidRPr="002C3B37">
        <w:rPr>
          <w:rFonts w:ascii="Times New Roman" w:hAnsi="Times New Roman" w:cs="Times New Roman"/>
          <w:sz w:val="28"/>
          <w:szCs w:val="28"/>
          <w:lang w:eastAsia="ru-RU"/>
        </w:rPr>
        <w:t xml:space="preserve"> р</w:t>
      </w:r>
      <w:r w:rsidR="000039F6" w:rsidRPr="002C3B37">
        <w:rPr>
          <w:rFonts w:ascii="Times New Roman" w:hAnsi="Times New Roman" w:cs="Times New Roman"/>
          <w:sz w:val="28"/>
          <w:szCs w:val="28"/>
          <w:lang w:eastAsia="ru-RU"/>
        </w:rPr>
        <w:t>і</w:t>
      </w:r>
      <w:r w:rsidRPr="002C3B37">
        <w:rPr>
          <w:rFonts w:ascii="Times New Roman" w:hAnsi="Times New Roman" w:cs="Times New Roman"/>
          <w:sz w:val="28"/>
          <w:szCs w:val="28"/>
          <w:lang w:eastAsia="ru-RU"/>
        </w:rPr>
        <w:t>к</w:t>
      </w:r>
      <w:r w:rsidRPr="002C3B37">
        <w:rPr>
          <w:bCs/>
          <w:iCs/>
          <w:szCs w:val="28"/>
        </w:rPr>
        <w:t xml:space="preserve"> </w:t>
      </w:r>
      <w:r w:rsidRPr="002C3B37">
        <w:rPr>
          <w:rFonts w:ascii="Times New Roman" w:eastAsia="Times New Roman" w:hAnsi="Times New Roman" w:cs="Times New Roman"/>
          <w:sz w:val="28"/>
          <w:szCs w:val="28"/>
          <w:lang w:eastAsia="ru-RU"/>
        </w:rPr>
        <w:t xml:space="preserve">склали </w:t>
      </w:r>
      <w:r w:rsidR="000039F6" w:rsidRPr="002C3B37">
        <w:rPr>
          <w:rFonts w:ascii="Times New Roman" w:hAnsi="Times New Roman" w:cs="Times New Roman"/>
          <w:b/>
          <w:bCs/>
          <w:sz w:val="28"/>
          <w:szCs w:val="28"/>
        </w:rPr>
        <w:t xml:space="preserve">3 906 941 </w:t>
      </w:r>
      <w:r w:rsidRPr="002C3B37">
        <w:rPr>
          <w:rFonts w:ascii="Times New Roman" w:eastAsia="Times New Roman" w:hAnsi="Times New Roman" w:cs="Times New Roman"/>
          <w:sz w:val="28"/>
          <w:szCs w:val="28"/>
          <w:lang w:eastAsia="ru-RU"/>
        </w:rPr>
        <w:t>тис. грн</w:t>
      </w:r>
      <w:r w:rsidRPr="002C3B37">
        <w:rPr>
          <w:rFonts w:ascii="Times New Roman" w:eastAsia="Times New Roman" w:hAnsi="Times New Roman" w:cs="Times New Roman"/>
          <w:sz w:val="28"/>
          <w:szCs w:val="28"/>
          <w:lang w:val="ru-RU" w:eastAsia="ru-RU"/>
        </w:rPr>
        <w:t>.</w:t>
      </w:r>
      <w:r w:rsidRPr="002C3B37">
        <w:rPr>
          <w:rFonts w:ascii="Times New Roman" w:eastAsia="Times New Roman" w:hAnsi="Times New Roman" w:cs="Times New Roman"/>
          <w:sz w:val="28"/>
          <w:szCs w:val="28"/>
          <w:lang w:eastAsia="ru-RU"/>
        </w:rPr>
        <w:t xml:space="preserve"> </w:t>
      </w:r>
      <w:r w:rsidRPr="002C3B37">
        <w:rPr>
          <w:rFonts w:ascii="Times New Roman" w:eastAsia="Times New Roman" w:hAnsi="Times New Roman" w:cs="Times New Roman"/>
          <w:bCs/>
          <w:noProof/>
          <w:sz w:val="28"/>
          <w:szCs w:val="28"/>
          <w:lang w:eastAsia="ru-RU"/>
        </w:rPr>
        <w:t xml:space="preserve">що становить   </w:t>
      </w:r>
      <w:r w:rsidR="000039F6" w:rsidRPr="002C3B37">
        <w:rPr>
          <w:rFonts w:ascii="Times New Roman" w:eastAsia="Times New Roman" w:hAnsi="Times New Roman" w:cs="Times New Roman"/>
          <w:b/>
          <w:bCs/>
          <w:noProof/>
          <w:sz w:val="28"/>
          <w:szCs w:val="28"/>
          <w:lang w:eastAsia="ru-RU"/>
        </w:rPr>
        <w:t>103%</w:t>
      </w:r>
      <w:r w:rsidR="000039F6" w:rsidRPr="002C3B37">
        <w:rPr>
          <w:rFonts w:ascii="Times New Roman" w:eastAsia="Times New Roman" w:hAnsi="Times New Roman" w:cs="Times New Roman"/>
          <w:bCs/>
          <w:noProof/>
          <w:sz w:val="28"/>
          <w:szCs w:val="28"/>
          <w:lang w:eastAsia="ru-RU"/>
        </w:rPr>
        <w:t xml:space="preserve"> до планового показника 2019 р</w:t>
      </w:r>
      <w:r w:rsidR="001C7224">
        <w:rPr>
          <w:rFonts w:ascii="Times New Roman" w:eastAsia="Times New Roman" w:hAnsi="Times New Roman" w:cs="Times New Roman"/>
          <w:bCs/>
          <w:noProof/>
          <w:sz w:val="28"/>
          <w:szCs w:val="28"/>
          <w:lang w:eastAsia="ru-RU"/>
        </w:rPr>
        <w:t>о</w:t>
      </w:r>
      <w:r w:rsidR="000039F6" w:rsidRPr="002C3B37">
        <w:rPr>
          <w:rFonts w:ascii="Times New Roman" w:eastAsia="Times New Roman" w:hAnsi="Times New Roman" w:cs="Times New Roman"/>
          <w:bCs/>
          <w:noProof/>
          <w:sz w:val="28"/>
          <w:szCs w:val="28"/>
          <w:lang w:eastAsia="ru-RU"/>
        </w:rPr>
        <w:t>к</w:t>
      </w:r>
      <w:r w:rsidR="001C7224">
        <w:rPr>
          <w:rFonts w:ascii="Times New Roman" w:eastAsia="Times New Roman" w:hAnsi="Times New Roman" w:cs="Times New Roman"/>
          <w:bCs/>
          <w:noProof/>
          <w:sz w:val="28"/>
          <w:szCs w:val="28"/>
          <w:lang w:eastAsia="ru-RU"/>
        </w:rPr>
        <w:t>у та</w:t>
      </w:r>
      <w:r w:rsidRPr="002C3B37">
        <w:rPr>
          <w:rFonts w:ascii="Times New Roman" w:eastAsia="Times New Roman" w:hAnsi="Times New Roman" w:cs="Times New Roman"/>
          <w:bCs/>
          <w:noProof/>
          <w:sz w:val="28"/>
          <w:szCs w:val="28"/>
          <w:lang w:eastAsia="ru-RU"/>
        </w:rPr>
        <w:t xml:space="preserve"> 13</w:t>
      </w:r>
      <w:r w:rsidR="002C3B37" w:rsidRPr="002C3B37">
        <w:rPr>
          <w:rFonts w:ascii="Times New Roman" w:eastAsia="Times New Roman" w:hAnsi="Times New Roman" w:cs="Times New Roman"/>
          <w:bCs/>
          <w:noProof/>
          <w:sz w:val="28"/>
          <w:szCs w:val="28"/>
          <w:lang w:eastAsia="ru-RU"/>
        </w:rPr>
        <w:t>6</w:t>
      </w:r>
      <w:r w:rsidRPr="002C3B37">
        <w:rPr>
          <w:rFonts w:ascii="Times New Roman" w:eastAsia="Times New Roman" w:hAnsi="Times New Roman" w:cs="Times New Roman"/>
          <w:bCs/>
          <w:noProof/>
          <w:sz w:val="28"/>
          <w:szCs w:val="28"/>
          <w:lang w:eastAsia="ru-RU"/>
        </w:rPr>
        <w:t xml:space="preserve"> % до фактичного показника за</w:t>
      </w:r>
      <w:r w:rsidRPr="002C3B37">
        <w:rPr>
          <w:rFonts w:ascii="Times New Roman" w:eastAsia="Times New Roman" w:hAnsi="Times New Roman" w:cs="Times New Roman"/>
          <w:bCs/>
          <w:noProof/>
          <w:sz w:val="28"/>
          <w:szCs w:val="28"/>
          <w:lang w:val="ru-RU" w:eastAsia="ru-RU"/>
        </w:rPr>
        <w:t xml:space="preserve"> </w:t>
      </w:r>
      <w:r w:rsidRPr="002C3B37">
        <w:rPr>
          <w:rFonts w:ascii="Times New Roman" w:hAnsi="Times New Roman" w:cs="Times New Roman"/>
          <w:sz w:val="28"/>
          <w:szCs w:val="28"/>
          <w:lang w:eastAsia="ru-RU"/>
        </w:rPr>
        <w:t>2018 р</w:t>
      </w:r>
      <w:r w:rsidR="002C3B37" w:rsidRPr="002C3B37">
        <w:rPr>
          <w:rFonts w:ascii="Times New Roman" w:hAnsi="Times New Roman" w:cs="Times New Roman"/>
          <w:sz w:val="28"/>
          <w:szCs w:val="28"/>
          <w:lang w:eastAsia="ru-RU"/>
        </w:rPr>
        <w:t>ік</w:t>
      </w:r>
      <w:r w:rsidRPr="002C3B37">
        <w:rPr>
          <w:rFonts w:ascii="Times New Roman" w:hAnsi="Times New Roman" w:cs="Times New Roman"/>
          <w:sz w:val="28"/>
          <w:szCs w:val="28"/>
          <w:lang w:val="ru-RU" w:eastAsia="ru-RU"/>
        </w:rPr>
        <w:t>.</w:t>
      </w:r>
    </w:p>
    <w:p w:rsidR="00C61B4C" w:rsidRPr="00D3606C" w:rsidRDefault="00C61B4C" w:rsidP="00C61B4C">
      <w:pPr>
        <w:pStyle w:val="a9"/>
        <w:spacing w:before="240" w:after="0" w:line="240" w:lineRule="auto"/>
        <w:ind w:left="0" w:firstLine="708"/>
        <w:jc w:val="right"/>
        <w:rPr>
          <w:rFonts w:ascii="Times New Roman" w:hAnsi="Times New Roman" w:cs="Times New Roman"/>
          <w:sz w:val="24"/>
          <w:szCs w:val="24"/>
          <w:lang w:val="ru-RU" w:eastAsia="ru-RU"/>
        </w:rPr>
      </w:pPr>
      <w:r w:rsidRPr="00D3606C">
        <w:rPr>
          <w:rFonts w:ascii="Times New Roman" w:hAnsi="Times New Roman" w:cs="Times New Roman"/>
          <w:sz w:val="24"/>
          <w:szCs w:val="24"/>
          <w:lang w:val="ru-RU" w:eastAsia="ru-RU"/>
        </w:rPr>
        <w:t>Таблиця 8</w:t>
      </w:r>
      <w:r w:rsidR="00D3606C" w:rsidRPr="00D3606C">
        <w:rPr>
          <w:rFonts w:ascii="Times New Roman" w:hAnsi="Times New Roman" w:cs="Times New Roman"/>
          <w:sz w:val="24"/>
          <w:szCs w:val="24"/>
          <w:lang w:val="ru-RU" w:eastAsia="ru-RU"/>
        </w:rPr>
        <w:t xml:space="preserve"> </w:t>
      </w:r>
      <w:r w:rsidR="00D3606C" w:rsidRPr="00D3606C">
        <w:rPr>
          <w:rFonts w:ascii="Times New Roman" w:hAnsi="Times New Roman" w:cs="Times New Roman"/>
          <w:sz w:val="24"/>
          <w:szCs w:val="24"/>
        </w:rPr>
        <w:t>( тис. грн.)</w:t>
      </w:r>
    </w:p>
    <w:tbl>
      <w:tblPr>
        <w:tblW w:w="9830" w:type="dxa"/>
        <w:tblLook w:val="04A0" w:firstRow="1" w:lastRow="0" w:firstColumn="1" w:lastColumn="0" w:noHBand="0" w:noVBand="1"/>
      </w:tblPr>
      <w:tblGrid>
        <w:gridCol w:w="3486"/>
        <w:gridCol w:w="1270"/>
        <w:gridCol w:w="1272"/>
        <w:gridCol w:w="1392"/>
        <w:gridCol w:w="1205"/>
        <w:gridCol w:w="1205"/>
      </w:tblGrid>
      <w:tr w:rsidR="00C61B4C" w:rsidRPr="00C61B4C" w:rsidTr="00A664EA">
        <w:trPr>
          <w:trHeight w:val="781"/>
          <w:tblHeader/>
        </w:trPr>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4C" w:rsidRPr="00C61B4C" w:rsidRDefault="00C61B4C" w:rsidP="00C61B4C">
            <w:pPr>
              <w:spacing w:after="0" w:line="240" w:lineRule="auto"/>
              <w:jc w:val="center"/>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Показник</w:t>
            </w:r>
          </w:p>
        </w:tc>
        <w:tc>
          <w:tcPr>
            <w:tcW w:w="1270" w:type="dxa"/>
            <w:tcBorders>
              <w:top w:val="single" w:sz="4" w:space="0" w:color="auto"/>
              <w:left w:val="single" w:sz="4" w:space="0" w:color="auto"/>
              <w:bottom w:val="single" w:sz="4" w:space="0" w:color="auto"/>
              <w:right w:val="single" w:sz="4" w:space="0" w:color="auto"/>
            </w:tcBorders>
          </w:tcPr>
          <w:p w:rsidR="00C61B4C" w:rsidRPr="00C61B4C" w:rsidRDefault="00C61B4C" w:rsidP="00C61B4C">
            <w:pPr>
              <w:spacing w:after="0" w:line="240" w:lineRule="auto"/>
              <w:jc w:val="center"/>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Факт                        2018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jc w:val="center"/>
              <w:rPr>
                <w:rFonts w:ascii="Times New Roman" w:eastAsia="Times New Roman" w:hAnsi="Times New Roman" w:cs="Times New Roman"/>
                <w:sz w:val="20"/>
                <w:szCs w:val="20"/>
                <w:lang w:val="en-US" w:eastAsia="uk-UA"/>
              </w:rPr>
            </w:pPr>
            <w:r w:rsidRPr="00C61B4C">
              <w:rPr>
                <w:rFonts w:ascii="Times New Roman" w:eastAsia="Times New Roman" w:hAnsi="Times New Roman" w:cs="Times New Roman"/>
                <w:sz w:val="20"/>
                <w:szCs w:val="20"/>
                <w:lang w:eastAsia="uk-UA"/>
              </w:rPr>
              <w:t>План</w:t>
            </w:r>
            <w:r w:rsidRPr="00C61B4C">
              <w:rPr>
                <w:rFonts w:ascii="Times New Roman" w:hAnsi="Times New Roman" w:cs="Times New Roman"/>
                <w:sz w:val="20"/>
                <w:szCs w:val="20"/>
                <w:lang w:eastAsia="ru-RU"/>
              </w:rPr>
              <w:t xml:space="preserve"> </w:t>
            </w:r>
            <w:r w:rsidRPr="00C61B4C">
              <w:rPr>
                <w:rFonts w:ascii="Times New Roman" w:eastAsia="Times New Roman" w:hAnsi="Times New Roman" w:cs="Times New Roman"/>
                <w:sz w:val="20"/>
                <w:szCs w:val="20"/>
                <w:lang w:eastAsia="uk-UA"/>
              </w:rPr>
              <w:t>201</w:t>
            </w:r>
            <w:r w:rsidRPr="00C61B4C">
              <w:rPr>
                <w:rFonts w:ascii="Times New Roman" w:eastAsia="Times New Roman" w:hAnsi="Times New Roman" w:cs="Times New Roman"/>
                <w:sz w:val="20"/>
                <w:szCs w:val="20"/>
                <w:lang w:val="en-US" w:eastAsia="uk-UA"/>
              </w:rPr>
              <w:t>9</w:t>
            </w:r>
          </w:p>
          <w:p w:rsidR="00C61B4C" w:rsidRPr="00C61B4C" w:rsidRDefault="00C61B4C" w:rsidP="00C61B4C">
            <w:pPr>
              <w:spacing w:after="0" w:line="240" w:lineRule="auto"/>
              <w:jc w:val="center"/>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 xml:space="preserve"> </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jc w:val="center"/>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Факт                        2019</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C61B4C" w:rsidRPr="00C61B4C" w:rsidRDefault="00C61B4C" w:rsidP="00C61B4C">
            <w:pPr>
              <w:jc w:val="center"/>
              <w:rPr>
                <w:rFonts w:ascii="Times New Roman" w:hAnsi="Times New Roman" w:cs="Times New Roman"/>
                <w:bCs/>
                <w:sz w:val="20"/>
                <w:szCs w:val="20"/>
              </w:rPr>
            </w:pPr>
            <w:r w:rsidRPr="00C61B4C">
              <w:rPr>
                <w:rFonts w:ascii="Times New Roman" w:hAnsi="Times New Roman" w:cs="Times New Roman"/>
                <w:bCs/>
                <w:sz w:val="20"/>
                <w:szCs w:val="20"/>
              </w:rPr>
              <w:t>%, факт 2019/факт 2018</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C61B4C" w:rsidRPr="00C61B4C" w:rsidRDefault="00C61B4C" w:rsidP="00C61B4C">
            <w:pPr>
              <w:jc w:val="center"/>
              <w:rPr>
                <w:rFonts w:ascii="Times New Roman" w:hAnsi="Times New Roman" w:cs="Times New Roman"/>
                <w:bCs/>
                <w:sz w:val="20"/>
                <w:szCs w:val="20"/>
              </w:rPr>
            </w:pPr>
            <w:r w:rsidRPr="00C61B4C">
              <w:rPr>
                <w:rFonts w:ascii="Times New Roman" w:hAnsi="Times New Roman" w:cs="Times New Roman"/>
                <w:bCs/>
                <w:sz w:val="20"/>
                <w:szCs w:val="20"/>
              </w:rPr>
              <w:t>%, факт 2019/план 2019</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b/>
                <w:bCs/>
                <w:sz w:val="20"/>
                <w:szCs w:val="20"/>
                <w:lang w:eastAsia="uk-UA"/>
              </w:rPr>
            </w:pPr>
            <w:r w:rsidRPr="00C61B4C">
              <w:rPr>
                <w:rFonts w:ascii="Times New Roman" w:eastAsia="Times New Roman" w:hAnsi="Times New Roman" w:cs="Times New Roman"/>
                <w:b/>
                <w:bCs/>
                <w:sz w:val="20"/>
                <w:szCs w:val="20"/>
                <w:lang w:eastAsia="uk-UA"/>
              </w:rPr>
              <w:t>Собівартість реалізованої продукції (товарів, робіт, послуг)</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b/>
                <w:bCs/>
                <w:sz w:val="20"/>
                <w:szCs w:val="20"/>
              </w:rPr>
            </w:pPr>
            <w:r w:rsidRPr="00A664EA">
              <w:rPr>
                <w:rFonts w:ascii="Times New Roman" w:hAnsi="Times New Roman" w:cs="Times New Roman"/>
                <w:b/>
                <w:bCs/>
                <w:sz w:val="20"/>
                <w:szCs w:val="20"/>
              </w:rPr>
              <w:t>2 862 951</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b/>
                <w:bCs/>
                <w:sz w:val="20"/>
                <w:szCs w:val="20"/>
              </w:rPr>
            </w:pPr>
            <w:r w:rsidRPr="00A664EA">
              <w:rPr>
                <w:rFonts w:ascii="Times New Roman" w:hAnsi="Times New Roman" w:cs="Times New Roman"/>
                <w:b/>
                <w:bCs/>
                <w:sz w:val="20"/>
                <w:szCs w:val="20"/>
              </w:rPr>
              <w:t>3 779 337</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b/>
                <w:bCs/>
                <w:sz w:val="20"/>
                <w:szCs w:val="20"/>
              </w:rPr>
            </w:pPr>
            <w:r w:rsidRPr="00A664EA">
              <w:rPr>
                <w:rFonts w:ascii="Times New Roman" w:hAnsi="Times New Roman" w:cs="Times New Roman"/>
                <w:b/>
                <w:bCs/>
                <w:sz w:val="20"/>
                <w:szCs w:val="20"/>
              </w:rPr>
              <w:t>3 906 941</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136</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b/>
                <w:bCs/>
                <w:sz w:val="20"/>
                <w:szCs w:val="20"/>
              </w:rPr>
            </w:pPr>
            <w:r w:rsidRPr="00A664EA">
              <w:rPr>
                <w:rFonts w:ascii="Times New Roman" w:hAnsi="Times New Roman" w:cs="Times New Roman"/>
                <w:b/>
                <w:bCs/>
                <w:sz w:val="20"/>
                <w:szCs w:val="20"/>
              </w:rPr>
              <w:t>103</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Витрати на сировину та основні матеріали</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72 622</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51 818</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63 742</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88</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123</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 xml:space="preserve">Витрати на паливо </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146 593</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136 980</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143 554</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98</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105</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Витрати на електроенергію</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38 301</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40 516</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37 850</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99</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93</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Витрати на оплату праці</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1 238 048</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1 350 984</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1 358 539</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110</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101</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Відрахування на соціальні заходи</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249 974</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269 103</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272 088</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109</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101</w:t>
            </w:r>
          </w:p>
        </w:tc>
      </w:tr>
      <w:tr w:rsidR="00C61B4C" w:rsidRPr="00C61B4C" w:rsidTr="00A664EA">
        <w:trPr>
          <w:trHeight w:val="781"/>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Витрати, що здійснюються для підтримання об’єкта в робочому стані (проведення ремонту, технічного огляду, нагляду, обслуговування тощо)</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262 282</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310 581</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351 717</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134</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113</w:t>
            </w:r>
          </w:p>
        </w:tc>
      </w:tr>
      <w:tr w:rsidR="00C61B4C" w:rsidRPr="00C61B4C" w:rsidTr="00A664EA">
        <w:trPr>
          <w:trHeight w:val="626"/>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Амортизація основних засобів і нематеріальних активів</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407 753</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424 691</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429 202</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105</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101</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lastRenderedPageBreak/>
              <w:t>Інші витрати (розшифрувати)</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447 378</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1 194 664</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1 250 249</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A664EA"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у 2.7 раза</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105</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водолазне обстеження, промірні роботи</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1 905</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2 560</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2 384</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125</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93</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днопоглиблення каналів та акваторій</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23 538</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758 383</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794 727</w:t>
            </w:r>
          </w:p>
        </w:tc>
        <w:tc>
          <w:tcPr>
            <w:tcW w:w="1205" w:type="dxa"/>
            <w:tcBorders>
              <w:top w:val="nil"/>
              <w:left w:val="single" w:sz="4" w:space="0" w:color="auto"/>
              <w:bottom w:val="single" w:sz="4" w:space="0" w:color="auto"/>
              <w:right w:val="single" w:sz="4" w:space="0" w:color="auto"/>
            </w:tcBorders>
            <w:shd w:val="clear" w:color="000000" w:fill="FFFFFF"/>
            <w:vAlign w:val="center"/>
          </w:tcPr>
          <w:p w:rsidR="00C61B4C" w:rsidRPr="00464205" w:rsidRDefault="00A664EA"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у багато разів</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105</w:t>
            </w:r>
          </w:p>
        </w:tc>
      </w:tr>
      <w:tr w:rsidR="00C61B4C" w:rsidRPr="00C61B4C" w:rsidTr="00A664EA">
        <w:trPr>
          <w:trHeight w:val="42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інші супутні витрати пов'язані  з днопоглибленням</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9 618</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11 837</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18 145</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189</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153</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обслуговування засобів навігаційного забезпечення</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47 647</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62 261</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66 772</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140</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107</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оренда та (або) залучення плавзасобів, буксирів, кранів, земснарядів тощо</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12 857</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17 960</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13 825</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108</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77</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послуги з охорони, забезпечення відеоспостереження тощо</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105 607</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98 484</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95 300</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90</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97</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охорона навколишнього середовища</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11 998</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7 961</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9 558</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80</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120</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оцінка основних засобів, паспортизація будівель, споруд</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3 593</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4 261</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4 180</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116</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98</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утримання території та приміщень</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17 597</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21 864</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21 138</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120</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97</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використання техніки, інфраструктури та інші послуги сторонніх організацій</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10 332</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9 089</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5 909</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57</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65</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оренда та/або утримання причалів</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4 126</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4 682</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4 953</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120</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106</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відрядження</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8 135</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7 778</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8 548</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105</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110</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підготовка кадрів</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1 510</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1 011</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1 632</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108</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161</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навчання з питань перевезення небезпечних вантажів</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173</w:t>
            </w:r>
          </w:p>
        </w:tc>
        <w:tc>
          <w:tcPr>
            <w:tcW w:w="1272"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284</w:t>
            </w:r>
          </w:p>
        </w:tc>
        <w:tc>
          <w:tcPr>
            <w:tcW w:w="1392" w:type="dxa"/>
            <w:tcBorders>
              <w:top w:val="nil"/>
              <w:left w:val="nil"/>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76</w:t>
            </w:r>
          </w:p>
        </w:tc>
        <w:tc>
          <w:tcPr>
            <w:tcW w:w="1205" w:type="dxa"/>
            <w:tcBorders>
              <w:top w:val="nil"/>
              <w:left w:val="single" w:sz="4" w:space="0" w:color="auto"/>
              <w:bottom w:val="single" w:sz="4" w:space="0" w:color="auto"/>
              <w:right w:val="single" w:sz="4" w:space="0" w:color="auto"/>
            </w:tcBorders>
            <w:shd w:val="clear" w:color="000000" w:fill="FFFFFF"/>
            <w:vAlign w:val="center"/>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44</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27</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страхування</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2 906</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2 916</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2 596</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89</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89</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охорона праці</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1 505</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1 090</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1 261</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84</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116</w:t>
            </w:r>
          </w:p>
        </w:tc>
      </w:tr>
      <w:tr w:rsidR="00C61B4C" w:rsidRPr="00C61B4C" w:rsidTr="00A664EA">
        <w:trPr>
          <w:trHeight w:val="52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послуги зв'язку, Інтернет, періодичні видання, поштові послуги тощо</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3 612</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3 551</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3 508</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97</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99</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організаційно-технічні послуги</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983</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799</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1 084</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110</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136</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оренда приміщень</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2 846</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878</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508</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18</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58</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пожежнa безпекa</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926</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745</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885</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96</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119</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комунальні послуги</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5 419</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7 384</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6 355</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117</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86</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компенсація податку на землю</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12 648</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8 470</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7 477</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59</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88</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податки, невідшкодовані бюджетом</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79 415</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68 949</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88 201</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111</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128</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перерахування профкому</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58 562</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60 594</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62 960</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108</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104</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обов'язкові платежі та збори</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15 336</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17 263</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18 239</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119</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106</w:t>
            </w:r>
          </w:p>
        </w:tc>
      </w:tr>
      <w:tr w:rsidR="00C61B4C" w:rsidRPr="00C61B4C" w:rsidTr="00A664EA">
        <w:trPr>
          <w:trHeight w:val="259"/>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собівартість реалізованих товарів</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1 596</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1 207</w:t>
            </w:r>
          </w:p>
        </w:tc>
        <w:tc>
          <w:tcPr>
            <w:tcW w:w="1392"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1 225</w:t>
            </w:r>
          </w:p>
        </w:tc>
        <w:tc>
          <w:tcPr>
            <w:tcW w:w="1205" w:type="dxa"/>
            <w:tcBorders>
              <w:top w:val="nil"/>
              <w:left w:val="single" w:sz="4" w:space="0" w:color="auto"/>
              <w:bottom w:val="single" w:sz="4" w:space="0" w:color="auto"/>
              <w:right w:val="single" w:sz="4" w:space="0" w:color="auto"/>
            </w:tcBorders>
            <w:shd w:val="clear" w:color="000000" w:fill="FFFFFF"/>
            <w:vAlign w:val="center"/>
            <w:hideMark/>
          </w:tcPr>
          <w:p w:rsidR="00C61B4C" w:rsidRPr="00464205" w:rsidRDefault="00C61B4C"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77</w:t>
            </w:r>
          </w:p>
        </w:tc>
        <w:tc>
          <w:tcPr>
            <w:tcW w:w="1205" w:type="dxa"/>
            <w:tcBorders>
              <w:top w:val="nil"/>
              <w:left w:val="nil"/>
              <w:bottom w:val="single" w:sz="4" w:space="0" w:color="auto"/>
              <w:right w:val="single" w:sz="4" w:space="0" w:color="auto"/>
            </w:tcBorders>
            <w:shd w:val="clear" w:color="000000" w:fill="FFFFFF"/>
            <w:vAlign w:val="center"/>
            <w:hideMark/>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101</w:t>
            </w:r>
          </w:p>
        </w:tc>
      </w:tr>
      <w:tr w:rsidR="00C61B4C" w:rsidRPr="00C61B4C" w:rsidTr="00A664EA">
        <w:trPr>
          <w:trHeight w:val="259"/>
        </w:trPr>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C61B4C" w:rsidRPr="00C61B4C" w:rsidRDefault="00C61B4C" w:rsidP="00C61B4C">
            <w:pPr>
              <w:spacing w:after="0" w:line="240" w:lineRule="auto"/>
              <w:ind w:left="171"/>
              <w:rPr>
                <w:rFonts w:ascii="Times New Roman" w:eastAsia="Times New Roman" w:hAnsi="Times New Roman" w:cs="Times New Roman"/>
                <w:sz w:val="20"/>
                <w:szCs w:val="20"/>
                <w:lang w:eastAsia="uk-UA"/>
              </w:rPr>
            </w:pPr>
            <w:r w:rsidRPr="00C61B4C">
              <w:rPr>
                <w:rFonts w:ascii="Times New Roman" w:eastAsia="Times New Roman" w:hAnsi="Times New Roman" w:cs="Times New Roman"/>
                <w:sz w:val="20"/>
                <w:szCs w:val="20"/>
                <w:lang w:eastAsia="uk-UA"/>
              </w:rPr>
              <w:t>інші</w:t>
            </w:r>
          </w:p>
        </w:tc>
        <w:tc>
          <w:tcPr>
            <w:tcW w:w="1270"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2 988</w:t>
            </w:r>
          </w:p>
        </w:tc>
        <w:tc>
          <w:tcPr>
            <w:tcW w:w="1272" w:type="dxa"/>
            <w:tcBorders>
              <w:top w:val="nil"/>
              <w:left w:val="single" w:sz="4" w:space="0" w:color="auto"/>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12 403</w:t>
            </w:r>
          </w:p>
        </w:tc>
        <w:tc>
          <w:tcPr>
            <w:tcW w:w="1392" w:type="dxa"/>
            <w:tcBorders>
              <w:top w:val="nil"/>
              <w:left w:val="nil"/>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8 803</w:t>
            </w:r>
          </w:p>
        </w:tc>
        <w:tc>
          <w:tcPr>
            <w:tcW w:w="1205" w:type="dxa"/>
            <w:tcBorders>
              <w:top w:val="nil"/>
              <w:left w:val="single" w:sz="4" w:space="0" w:color="auto"/>
              <w:bottom w:val="single" w:sz="4" w:space="0" w:color="auto"/>
              <w:right w:val="single" w:sz="4" w:space="0" w:color="auto"/>
            </w:tcBorders>
            <w:shd w:val="clear" w:color="000000" w:fill="FFFFFF"/>
            <w:vAlign w:val="center"/>
          </w:tcPr>
          <w:p w:rsidR="00C61B4C" w:rsidRPr="00464205" w:rsidRDefault="00A664EA" w:rsidP="00C61B4C">
            <w:pPr>
              <w:jc w:val="center"/>
              <w:rPr>
                <w:rFonts w:ascii="Times New Roman" w:hAnsi="Times New Roman" w:cs="Times New Roman"/>
                <w:bCs/>
                <w:sz w:val="20"/>
                <w:szCs w:val="20"/>
              </w:rPr>
            </w:pPr>
            <w:r w:rsidRPr="00464205">
              <w:rPr>
                <w:rFonts w:ascii="Times New Roman" w:hAnsi="Times New Roman" w:cs="Times New Roman"/>
                <w:bCs/>
                <w:sz w:val="20"/>
                <w:szCs w:val="20"/>
              </w:rPr>
              <w:t>у 2,9 раза</w:t>
            </w:r>
          </w:p>
        </w:tc>
        <w:tc>
          <w:tcPr>
            <w:tcW w:w="1205" w:type="dxa"/>
            <w:tcBorders>
              <w:top w:val="nil"/>
              <w:left w:val="nil"/>
              <w:bottom w:val="single" w:sz="4" w:space="0" w:color="auto"/>
              <w:right w:val="single" w:sz="4" w:space="0" w:color="auto"/>
            </w:tcBorders>
            <w:shd w:val="clear" w:color="000000" w:fill="FFFFFF"/>
            <w:vAlign w:val="center"/>
          </w:tcPr>
          <w:p w:rsidR="00C61B4C" w:rsidRPr="00A664EA" w:rsidRDefault="00C61B4C" w:rsidP="00C61B4C">
            <w:pPr>
              <w:jc w:val="center"/>
              <w:rPr>
                <w:rFonts w:ascii="Times New Roman" w:hAnsi="Times New Roman" w:cs="Times New Roman"/>
                <w:sz w:val="20"/>
                <w:szCs w:val="20"/>
              </w:rPr>
            </w:pPr>
            <w:r w:rsidRPr="00A664EA">
              <w:rPr>
                <w:rFonts w:ascii="Times New Roman" w:hAnsi="Times New Roman" w:cs="Times New Roman"/>
                <w:sz w:val="20"/>
                <w:szCs w:val="20"/>
              </w:rPr>
              <w:t>71</w:t>
            </w:r>
          </w:p>
        </w:tc>
      </w:tr>
    </w:tbl>
    <w:p w:rsidR="00FF3581" w:rsidRPr="00C61B4C" w:rsidRDefault="00FF3581" w:rsidP="00FF3581">
      <w:pPr>
        <w:jc w:val="right"/>
        <w:rPr>
          <w:rFonts w:ascii="Times New Roman" w:hAnsi="Times New Roman" w:cs="Times New Roman"/>
          <w:color w:val="FF0000"/>
          <w:sz w:val="24"/>
          <w:szCs w:val="24"/>
        </w:rPr>
      </w:pPr>
    </w:p>
    <w:p w:rsidR="0061178C" w:rsidRPr="0061178C" w:rsidRDefault="00340FFF" w:rsidP="00FF3581">
      <w:pPr>
        <w:pStyle w:val="a9"/>
        <w:spacing w:after="0" w:line="240" w:lineRule="auto"/>
        <w:ind w:left="0" w:right="-141" w:firstLine="284"/>
        <w:jc w:val="both"/>
        <w:rPr>
          <w:noProof/>
          <w:lang w:eastAsia="uk-UA"/>
        </w:rPr>
      </w:pPr>
      <w:r>
        <w:rPr>
          <w:noProof/>
          <w:lang w:eastAsia="uk-UA"/>
        </w:rPr>
        <w:lastRenderedPageBreak/>
        <w:drawing>
          <wp:inline distT="0" distB="0" distL="0" distR="0" wp14:anchorId="1DDC4044" wp14:editId="43993A10">
            <wp:extent cx="6196853" cy="4525579"/>
            <wp:effectExtent l="0" t="0" r="13970" b="8890"/>
            <wp:docPr id="2" name="Диаграмма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433FE40-0F00-4F4E-8E18-5327480CFA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364" w:type="dxa"/>
        <w:jc w:val="center"/>
        <w:tblLayout w:type="fixed"/>
        <w:tblLook w:val="04A0" w:firstRow="1" w:lastRow="0" w:firstColumn="1" w:lastColumn="0" w:noHBand="0" w:noVBand="1"/>
      </w:tblPr>
      <w:tblGrid>
        <w:gridCol w:w="1400"/>
        <w:gridCol w:w="868"/>
        <w:gridCol w:w="813"/>
        <w:gridCol w:w="747"/>
        <w:gridCol w:w="823"/>
        <w:gridCol w:w="736"/>
        <w:gridCol w:w="709"/>
        <w:gridCol w:w="992"/>
        <w:gridCol w:w="992"/>
        <w:gridCol w:w="709"/>
        <w:gridCol w:w="569"/>
        <w:gridCol w:w="6"/>
      </w:tblGrid>
      <w:tr w:rsidR="00647899" w:rsidRPr="0061178C" w:rsidTr="001C7224">
        <w:trPr>
          <w:trHeight w:val="342"/>
          <w:jc w:val="center"/>
        </w:trPr>
        <w:tc>
          <w:tcPr>
            <w:tcW w:w="9364" w:type="dxa"/>
            <w:gridSpan w:val="12"/>
            <w:tcBorders>
              <w:bottom w:val="single" w:sz="4" w:space="0" w:color="auto"/>
            </w:tcBorders>
            <w:shd w:val="clear" w:color="auto" w:fill="auto"/>
            <w:noWrap/>
            <w:vAlign w:val="bottom"/>
          </w:tcPr>
          <w:p w:rsidR="00FF3581" w:rsidRPr="0061178C" w:rsidRDefault="00FF3581" w:rsidP="00FF3581">
            <w:pPr>
              <w:spacing w:after="0" w:line="240" w:lineRule="auto"/>
              <w:jc w:val="right"/>
              <w:rPr>
                <w:rFonts w:ascii="Times New Roman" w:eastAsia="Times New Roman" w:hAnsi="Times New Roman" w:cs="Times New Roman"/>
                <w:sz w:val="24"/>
                <w:szCs w:val="24"/>
                <w:lang w:eastAsia="uk-UA"/>
              </w:rPr>
            </w:pPr>
            <w:r w:rsidRPr="0061178C">
              <w:rPr>
                <w:rFonts w:ascii="Times New Roman" w:eastAsia="Times New Roman" w:hAnsi="Times New Roman" w:cs="Times New Roman"/>
                <w:sz w:val="24"/>
                <w:szCs w:val="24"/>
                <w:lang w:eastAsia="uk-UA"/>
              </w:rPr>
              <w:t>Таблиця 9 (тис.грн)</w:t>
            </w:r>
          </w:p>
        </w:tc>
      </w:tr>
      <w:tr w:rsidR="001C7224" w:rsidRPr="0061178C" w:rsidTr="001C7224">
        <w:trPr>
          <w:gridAfter w:val="1"/>
          <w:wAfter w:w="6" w:type="dxa"/>
          <w:trHeight w:val="342"/>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 </w:t>
            </w:r>
          </w:p>
        </w:tc>
        <w:tc>
          <w:tcPr>
            <w:tcW w:w="868" w:type="dxa"/>
            <w:vMerge w:val="restart"/>
            <w:tcBorders>
              <w:top w:val="single" w:sz="4" w:space="0" w:color="auto"/>
              <w:left w:val="nil"/>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 xml:space="preserve">2018 факт </w:t>
            </w:r>
          </w:p>
        </w:tc>
        <w:tc>
          <w:tcPr>
            <w:tcW w:w="3828" w:type="dxa"/>
            <w:gridSpan w:val="5"/>
            <w:tcBorders>
              <w:top w:val="single" w:sz="4" w:space="0" w:color="auto"/>
              <w:left w:val="nil"/>
              <w:bottom w:val="single" w:sz="4" w:space="0" w:color="auto"/>
              <w:right w:val="single" w:sz="4" w:space="0" w:color="auto"/>
            </w:tcBorders>
            <w:shd w:val="clear" w:color="auto" w:fill="auto"/>
            <w:vAlign w:val="center"/>
          </w:tcPr>
          <w:p w:rsidR="001C7224" w:rsidRPr="0061178C" w:rsidRDefault="001C7224" w:rsidP="001C7224">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фактори</w:t>
            </w:r>
          </w:p>
        </w:tc>
        <w:tc>
          <w:tcPr>
            <w:tcW w:w="992" w:type="dxa"/>
            <w:vMerge w:val="restart"/>
            <w:tcBorders>
              <w:top w:val="single" w:sz="4" w:space="0" w:color="auto"/>
              <w:left w:val="nil"/>
              <w:right w:val="single" w:sz="4" w:space="0" w:color="auto"/>
            </w:tcBorders>
            <w:shd w:val="clear" w:color="auto" w:fill="auto"/>
            <w:vAlign w:val="center"/>
            <w:hideMark/>
          </w:tcPr>
          <w:p w:rsidR="001C7224" w:rsidRPr="0061178C" w:rsidRDefault="001C7224" w:rsidP="001C7224">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2019 факт</w:t>
            </w:r>
          </w:p>
        </w:tc>
        <w:tc>
          <w:tcPr>
            <w:tcW w:w="992" w:type="dxa"/>
            <w:vMerge w:val="restart"/>
            <w:tcBorders>
              <w:top w:val="single" w:sz="4" w:space="0" w:color="auto"/>
              <w:left w:val="nil"/>
              <w:right w:val="single" w:sz="4" w:space="0" w:color="auto"/>
            </w:tcBorders>
            <w:shd w:val="clear" w:color="auto" w:fill="auto"/>
            <w:vAlign w:val="center"/>
          </w:tcPr>
          <w:p w:rsidR="001C7224" w:rsidRDefault="001C7224" w:rsidP="001C7224">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2019  у зіставних показниках, без врахування факторів якіх не було у І півріччі 2018 року</w:t>
            </w:r>
          </w:p>
        </w:tc>
        <w:tc>
          <w:tcPr>
            <w:tcW w:w="709" w:type="dxa"/>
            <w:vMerge w:val="restart"/>
            <w:tcBorders>
              <w:top w:val="single" w:sz="4" w:space="0" w:color="auto"/>
              <w:left w:val="nil"/>
              <w:right w:val="single" w:sz="4" w:space="0" w:color="auto"/>
            </w:tcBorders>
            <w:shd w:val="clear" w:color="auto" w:fill="auto"/>
            <w:vAlign w:val="center"/>
          </w:tcPr>
          <w:p w:rsidR="001C7224" w:rsidRDefault="001C7224" w:rsidP="001C7224">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,2019 /2018</w:t>
            </w:r>
          </w:p>
        </w:tc>
        <w:tc>
          <w:tcPr>
            <w:tcW w:w="569" w:type="dxa"/>
            <w:vMerge w:val="restart"/>
            <w:tcBorders>
              <w:top w:val="single" w:sz="4" w:space="0" w:color="auto"/>
              <w:left w:val="nil"/>
              <w:right w:val="single" w:sz="4" w:space="0" w:color="auto"/>
            </w:tcBorders>
            <w:shd w:val="clear" w:color="auto" w:fill="auto"/>
            <w:vAlign w:val="center"/>
          </w:tcPr>
          <w:p w:rsidR="001C7224" w:rsidRDefault="001C7224" w:rsidP="001C7224">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2019 у зістав.показ../ 2018</w:t>
            </w:r>
          </w:p>
        </w:tc>
      </w:tr>
      <w:tr w:rsidR="001C7224" w:rsidRPr="0061178C" w:rsidTr="001C7224">
        <w:trPr>
          <w:gridAfter w:val="1"/>
          <w:wAfter w:w="6" w:type="dxa"/>
          <w:trHeight w:val="1222"/>
          <w:jc w:val="center"/>
        </w:trPr>
        <w:tc>
          <w:tcPr>
            <w:tcW w:w="14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7224" w:rsidRPr="0061178C" w:rsidRDefault="001C7224" w:rsidP="00FF3581">
            <w:pPr>
              <w:spacing w:after="0" w:line="240" w:lineRule="auto"/>
              <w:rPr>
                <w:rFonts w:ascii="Times New Roman" w:eastAsia="Times New Roman" w:hAnsi="Times New Roman" w:cs="Times New Roman"/>
                <w:sz w:val="16"/>
                <w:szCs w:val="16"/>
                <w:lang w:eastAsia="uk-UA"/>
              </w:rPr>
            </w:pPr>
          </w:p>
        </w:tc>
        <w:tc>
          <w:tcPr>
            <w:tcW w:w="868" w:type="dxa"/>
            <w:vMerge/>
            <w:tcBorders>
              <w:top w:val="single" w:sz="4" w:space="0" w:color="auto"/>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ФДФ</w:t>
            </w:r>
          </w:p>
        </w:tc>
        <w:tc>
          <w:tcPr>
            <w:tcW w:w="747" w:type="dxa"/>
            <w:tcBorders>
              <w:top w:val="single" w:sz="4" w:space="0" w:color="auto"/>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перенесення витрат ВМР та ЦЗ</w:t>
            </w:r>
          </w:p>
        </w:tc>
        <w:tc>
          <w:tcPr>
            <w:tcW w:w="823" w:type="dxa"/>
            <w:tcBorders>
              <w:top w:val="single" w:sz="4" w:space="0" w:color="auto"/>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прийняття нових плавзасобів</w:t>
            </w:r>
          </w:p>
        </w:tc>
        <w:tc>
          <w:tcPr>
            <w:tcW w:w="736" w:type="dxa"/>
            <w:tcBorders>
              <w:top w:val="single" w:sz="4" w:space="0" w:color="auto"/>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днопоглиблення</w:t>
            </w:r>
          </w:p>
        </w:tc>
        <w:tc>
          <w:tcPr>
            <w:tcW w:w="709" w:type="dxa"/>
            <w:tcBorders>
              <w:top w:val="single" w:sz="4" w:space="0" w:color="auto"/>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інші</w:t>
            </w:r>
          </w:p>
        </w:tc>
        <w:tc>
          <w:tcPr>
            <w:tcW w:w="992" w:type="dxa"/>
            <w:vMerge/>
            <w:tcBorders>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p>
        </w:tc>
        <w:tc>
          <w:tcPr>
            <w:tcW w:w="992" w:type="dxa"/>
            <w:vMerge/>
            <w:tcBorders>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p>
        </w:tc>
        <w:tc>
          <w:tcPr>
            <w:tcW w:w="709" w:type="dxa"/>
            <w:vMerge/>
            <w:tcBorders>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p>
        </w:tc>
        <w:tc>
          <w:tcPr>
            <w:tcW w:w="569" w:type="dxa"/>
            <w:vMerge/>
            <w:tcBorders>
              <w:left w:val="nil"/>
              <w:bottom w:val="single" w:sz="4" w:space="0" w:color="auto"/>
              <w:right w:val="single" w:sz="4" w:space="0" w:color="auto"/>
            </w:tcBorders>
            <w:shd w:val="clear" w:color="auto" w:fill="auto"/>
            <w:vAlign w:val="center"/>
          </w:tcPr>
          <w:p w:rsidR="001C7224" w:rsidRPr="0061178C" w:rsidRDefault="001C7224" w:rsidP="00FF3581">
            <w:pPr>
              <w:spacing w:after="0" w:line="240" w:lineRule="auto"/>
              <w:jc w:val="center"/>
              <w:rPr>
                <w:rFonts w:ascii="Times New Roman" w:eastAsia="Times New Roman" w:hAnsi="Times New Roman" w:cs="Times New Roman"/>
                <w:sz w:val="16"/>
                <w:szCs w:val="16"/>
                <w:lang w:eastAsia="uk-UA"/>
              </w:rPr>
            </w:pPr>
          </w:p>
        </w:tc>
      </w:tr>
      <w:tr w:rsidR="001C7224" w:rsidRPr="0061178C" w:rsidTr="001C7224">
        <w:trPr>
          <w:gridAfter w:val="1"/>
          <w:wAfter w:w="6" w:type="dxa"/>
          <w:trHeight w:val="44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rPr>
                <w:rFonts w:ascii="Times New Roman" w:eastAsia="Times New Roman" w:hAnsi="Times New Roman" w:cs="Times New Roman"/>
                <w:b/>
                <w:bCs/>
                <w:sz w:val="16"/>
                <w:szCs w:val="16"/>
                <w:lang w:eastAsia="uk-UA"/>
              </w:rPr>
            </w:pPr>
            <w:r w:rsidRPr="0061178C">
              <w:rPr>
                <w:rFonts w:ascii="Times New Roman" w:eastAsia="Times New Roman" w:hAnsi="Times New Roman" w:cs="Times New Roman"/>
                <w:b/>
                <w:bCs/>
                <w:sz w:val="16"/>
                <w:szCs w:val="16"/>
                <w:lang w:eastAsia="uk-UA"/>
              </w:rPr>
              <w:t>Собівартість реалізованої продукції (товарів, робіт, послуг)</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b/>
                <w:bCs/>
                <w:sz w:val="16"/>
                <w:szCs w:val="16"/>
              </w:rPr>
            </w:pPr>
            <w:r w:rsidRPr="0061178C">
              <w:rPr>
                <w:rFonts w:ascii="Times New Roman" w:hAnsi="Times New Roman" w:cs="Times New Roman"/>
                <w:b/>
                <w:bCs/>
                <w:sz w:val="16"/>
                <w:szCs w:val="16"/>
              </w:rPr>
              <w:t>2 862 951</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1C7224" w:rsidRPr="0061178C" w:rsidRDefault="001C7224" w:rsidP="001C7224">
            <w:pPr>
              <w:rPr>
                <w:rFonts w:ascii="Times New Roman" w:hAnsi="Times New Roman" w:cs="Times New Roman"/>
                <w:b/>
                <w:bCs/>
                <w:sz w:val="16"/>
                <w:szCs w:val="16"/>
              </w:rPr>
            </w:pPr>
            <w:r w:rsidRPr="0061178C">
              <w:rPr>
                <w:rFonts w:ascii="Times New Roman" w:hAnsi="Times New Roman" w:cs="Times New Roman"/>
                <w:b/>
                <w:bCs/>
                <w:sz w:val="16"/>
                <w:szCs w:val="16"/>
              </w:rPr>
              <w:t>109 245</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b/>
                <w:bCs/>
                <w:sz w:val="16"/>
                <w:szCs w:val="16"/>
              </w:rPr>
            </w:pPr>
            <w:r w:rsidRPr="0061178C">
              <w:rPr>
                <w:rFonts w:ascii="Times New Roman" w:hAnsi="Times New Roman" w:cs="Times New Roman"/>
                <w:b/>
                <w:bCs/>
                <w:sz w:val="16"/>
                <w:szCs w:val="16"/>
              </w:rPr>
              <w:t>40 487</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b/>
                <w:bCs/>
                <w:sz w:val="16"/>
                <w:szCs w:val="16"/>
              </w:rPr>
            </w:pPr>
            <w:r w:rsidRPr="0061178C">
              <w:rPr>
                <w:rFonts w:ascii="Times New Roman" w:hAnsi="Times New Roman" w:cs="Times New Roman"/>
                <w:b/>
                <w:bCs/>
                <w:sz w:val="16"/>
                <w:szCs w:val="16"/>
              </w:rPr>
              <w:t>17 861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b/>
                <w:bCs/>
                <w:sz w:val="15"/>
                <w:szCs w:val="15"/>
              </w:rPr>
            </w:pPr>
            <w:r w:rsidRPr="0061178C">
              <w:rPr>
                <w:rFonts w:ascii="Times New Roman" w:hAnsi="Times New Roman" w:cs="Times New Roman"/>
                <w:b/>
                <w:bCs/>
                <w:sz w:val="15"/>
                <w:szCs w:val="15"/>
              </w:rPr>
              <w:t>737 370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
                <w:bCs/>
                <w:sz w:val="15"/>
                <w:szCs w:val="15"/>
              </w:rPr>
            </w:pPr>
            <w:r w:rsidRPr="001C7224">
              <w:rPr>
                <w:rFonts w:ascii="Times New Roman" w:hAnsi="Times New Roman" w:cs="Times New Roman"/>
                <w:b/>
                <w:bCs/>
                <w:sz w:val="15"/>
                <w:szCs w:val="15"/>
              </w:rPr>
              <w:t>139 027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b/>
                <w:bCs/>
                <w:sz w:val="16"/>
                <w:szCs w:val="16"/>
              </w:rPr>
            </w:pPr>
            <w:r w:rsidRPr="0061178C">
              <w:rPr>
                <w:rFonts w:ascii="Times New Roman" w:hAnsi="Times New Roman" w:cs="Times New Roman"/>
                <w:b/>
                <w:bCs/>
                <w:sz w:val="16"/>
                <w:szCs w:val="16"/>
              </w:rPr>
              <w:t>3 906 941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b/>
                <w:bCs/>
                <w:sz w:val="16"/>
                <w:szCs w:val="16"/>
              </w:rPr>
            </w:pPr>
            <w:r w:rsidRPr="0061178C">
              <w:rPr>
                <w:rFonts w:ascii="Times New Roman" w:hAnsi="Times New Roman" w:cs="Times New Roman"/>
                <w:b/>
                <w:bCs/>
                <w:sz w:val="16"/>
                <w:szCs w:val="16"/>
              </w:rPr>
              <w:t>2 982 853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b/>
                <w:bCs/>
                <w:sz w:val="16"/>
                <w:szCs w:val="16"/>
              </w:rPr>
            </w:pPr>
            <w:r w:rsidRPr="0061178C">
              <w:rPr>
                <w:rFonts w:ascii="Times New Roman" w:hAnsi="Times New Roman" w:cs="Times New Roman"/>
                <w:b/>
                <w:bCs/>
                <w:sz w:val="16"/>
                <w:szCs w:val="16"/>
              </w:rPr>
              <w:t>136</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b/>
                <w:bCs/>
                <w:sz w:val="16"/>
                <w:szCs w:val="16"/>
              </w:rPr>
            </w:pPr>
            <w:r w:rsidRPr="0061178C">
              <w:rPr>
                <w:rFonts w:ascii="Times New Roman" w:hAnsi="Times New Roman" w:cs="Times New Roman"/>
                <w:b/>
                <w:bCs/>
                <w:sz w:val="16"/>
                <w:szCs w:val="16"/>
              </w:rPr>
              <w:t>104</w:t>
            </w:r>
          </w:p>
        </w:tc>
      </w:tr>
      <w:tr w:rsidR="001C7224" w:rsidRPr="0061178C" w:rsidTr="001C7224">
        <w:trPr>
          <w:gridAfter w:val="1"/>
          <w:wAfter w:w="6" w:type="dxa"/>
          <w:trHeight w:val="219"/>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Витрати на сировину та основні матеріали</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72 622</w:t>
            </w:r>
          </w:p>
        </w:tc>
        <w:tc>
          <w:tcPr>
            <w:tcW w:w="81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294</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360</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128</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-9 662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63 742</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62 960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88</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87</w:t>
            </w:r>
          </w:p>
        </w:tc>
      </w:tr>
      <w:tr w:rsidR="001C7224" w:rsidRPr="0061178C" w:rsidTr="001C7224">
        <w:trPr>
          <w:gridAfter w:val="1"/>
          <w:wAfter w:w="6" w:type="dxa"/>
          <w:trHeight w:val="323"/>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Витрати на паливо</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146 593</w:t>
            </w:r>
          </w:p>
        </w:tc>
        <w:tc>
          <w:tcPr>
            <w:tcW w:w="81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9 004</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233</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1 425</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-13 701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143 554</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132 892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98</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91</w:t>
            </w:r>
          </w:p>
        </w:tc>
      </w:tr>
      <w:tr w:rsidR="001C7224" w:rsidRPr="0061178C" w:rsidTr="001C7224">
        <w:trPr>
          <w:gridAfter w:val="1"/>
          <w:wAfter w:w="6" w:type="dxa"/>
          <w:trHeight w:val="219"/>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Витрати на електроенергію</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38 301</w:t>
            </w:r>
          </w:p>
        </w:tc>
        <w:tc>
          <w:tcPr>
            <w:tcW w:w="81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0</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293</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0</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-757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37 850</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37 557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99</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98</w:t>
            </w:r>
          </w:p>
        </w:tc>
      </w:tr>
      <w:tr w:rsidR="001C7224" w:rsidRPr="0061178C" w:rsidTr="001C7224">
        <w:trPr>
          <w:gridAfter w:val="1"/>
          <w:wAfter w:w="6" w:type="dxa"/>
          <w:trHeight w:val="323"/>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Витрати на оплату праці</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1 238 048</w:t>
            </w:r>
          </w:p>
        </w:tc>
        <w:tc>
          <w:tcPr>
            <w:tcW w:w="81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28 551</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28 475</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13 049</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50 416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1 358 539</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1 288 464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110</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104</w:t>
            </w:r>
          </w:p>
        </w:tc>
      </w:tr>
      <w:tr w:rsidR="001C7224" w:rsidRPr="0061178C" w:rsidTr="001C7224">
        <w:trPr>
          <w:gridAfter w:val="1"/>
          <w:wAfter w:w="6" w:type="dxa"/>
          <w:trHeight w:val="323"/>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Відрахування на соціальні заходи</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249 974</w:t>
            </w:r>
          </w:p>
        </w:tc>
        <w:tc>
          <w:tcPr>
            <w:tcW w:w="81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5 585</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6 535</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2 916</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7 078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272 088</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257 052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109</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103</w:t>
            </w:r>
          </w:p>
        </w:tc>
      </w:tr>
      <w:tr w:rsidR="001C7224" w:rsidRPr="0061178C" w:rsidTr="001C7224">
        <w:trPr>
          <w:gridAfter w:val="1"/>
          <w:wAfter w:w="6" w:type="dxa"/>
          <w:trHeight w:val="688"/>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hAnsi="Times New Roman" w:cs="Times New Roman"/>
                <w:sz w:val="16"/>
                <w:szCs w:val="16"/>
              </w:rPr>
              <w:t>Ремонт, тех.огляд, обслуговування тощо</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262 282</w:t>
            </w:r>
          </w:p>
        </w:tc>
        <w:tc>
          <w:tcPr>
            <w:tcW w:w="81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27 649</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630</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27</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61 129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351 717</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323 411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134</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123</w:t>
            </w:r>
          </w:p>
        </w:tc>
      </w:tr>
      <w:tr w:rsidR="001C7224" w:rsidRPr="0061178C" w:rsidTr="001C7224">
        <w:trPr>
          <w:gridAfter w:val="1"/>
          <w:wAfter w:w="6" w:type="dxa"/>
          <w:trHeight w:val="323"/>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Амортизація</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407 753</w:t>
            </w:r>
          </w:p>
        </w:tc>
        <w:tc>
          <w:tcPr>
            <w:tcW w:w="813" w:type="dxa"/>
            <w:tcBorders>
              <w:top w:val="nil"/>
              <w:left w:val="nil"/>
              <w:bottom w:val="nil"/>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2 318</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820</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673</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17 637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429 202</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425 391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105</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104</w:t>
            </w:r>
          </w:p>
        </w:tc>
      </w:tr>
      <w:tr w:rsidR="001C7224" w:rsidRPr="0061178C" w:rsidTr="001C7224">
        <w:trPr>
          <w:gridAfter w:val="1"/>
          <w:wAfter w:w="6" w:type="dxa"/>
          <w:trHeight w:val="44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днопоглиблення каналів та акваторій та інші супутні витрати</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35 061</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42 825</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5"/>
                <w:szCs w:val="15"/>
              </w:rPr>
            </w:pPr>
            <w:r w:rsidRPr="0061178C">
              <w:rPr>
                <w:rFonts w:ascii="Times New Roman" w:hAnsi="Times New Roman" w:cs="Times New Roman"/>
                <w:sz w:val="15"/>
                <w:szCs w:val="15"/>
              </w:rPr>
              <w:t>737 370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815 256</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35 061</w:t>
            </w:r>
          </w:p>
        </w:tc>
        <w:tc>
          <w:tcPr>
            <w:tcW w:w="70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1 855</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100</w:t>
            </w:r>
          </w:p>
        </w:tc>
      </w:tr>
      <w:tr w:rsidR="001C7224" w:rsidRPr="0061178C" w:rsidTr="001C7224">
        <w:trPr>
          <w:gridAfter w:val="1"/>
          <w:wAfter w:w="6" w:type="dxa"/>
          <w:trHeight w:val="219"/>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C7224" w:rsidRPr="0061178C" w:rsidRDefault="001C7224" w:rsidP="001C7224">
            <w:pPr>
              <w:spacing w:after="0" w:line="240" w:lineRule="auto"/>
              <w:rPr>
                <w:rFonts w:ascii="Times New Roman" w:eastAsia="Times New Roman" w:hAnsi="Times New Roman" w:cs="Times New Roman"/>
                <w:sz w:val="16"/>
                <w:szCs w:val="16"/>
                <w:lang w:eastAsia="uk-UA"/>
              </w:rPr>
            </w:pPr>
            <w:r w:rsidRPr="0061178C">
              <w:rPr>
                <w:rFonts w:ascii="Times New Roman" w:eastAsia="Times New Roman" w:hAnsi="Times New Roman" w:cs="Times New Roman"/>
                <w:sz w:val="16"/>
                <w:szCs w:val="16"/>
                <w:lang w:eastAsia="uk-UA"/>
              </w:rPr>
              <w:t>інші</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412 317</w:t>
            </w:r>
          </w:p>
        </w:tc>
        <w:tc>
          <w:tcPr>
            <w:tcW w:w="81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right"/>
              <w:rPr>
                <w:rFonts w:ascii="Times New Roman" w:hAnsi="Times New Roman" w:cs="Times New Roman"/>
                <w:sz w:val="16"/>
                <w:szCs w:val="16"/>
              </w:rPr>
            </w:pPr>
            <w:r w:rsidRPr="0061178C">
              <w:rPr>
                <w:rFonts w:ascii="Times New Roman" w:hAnsi="Times New Roman" w:cs="Times New Roman"/>
                <w:sz w:val="16"/>
                <w:szCs w:val="16"/>
              </w:rPr>
              <w:t>-6 981</w:t>
            </w:r>
          </w:p>
        </w:tc>
        <w:tc>
          <w:tcPr>
            <w:tcW w:w="747"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2 411</w:t>
            </w:r>
          </w:p>
        </w:tc>
        <w:tc>
          <w:tcPr>
            <w:tcW w:w="823"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-357</w:t>
            </w:r>
          </w:p>
        </w:tc>
        <w:tc>
          <w:tcPr>
            <w:tcW w:w="736"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26 888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434 993</w:t>
            </w:r>
          </w:p>
        </w:tc>
        <w:tc>
          <w:tcPr>
            <w:tcW w:w="992" w:type="dxa"/>
            <w:tcBorders>
              <w:top w:val="nil"/>
              <w:left w:val="nil"/>
              <w:bottom w:val="single" w:sz="4" w:space="0" w:color="auto"/>
              <w:right w:val="single" w:sz="4" w:space="0" w:color="auto"/>
            </w:tcBorders>
            <w:shd w:val="clear" w:color="auto" w:fill="auto"/>
            <w:vAlign w:val="bottom"/>
            <w:hideMark/>
          </w:tcPr>
          <w:p w:rsidR="001C7224" w:rsidRPr="001C7224" w:rsidRDefault="001C7224" w:rsidP="001C7224">
            <w:pPr>
              <w:jc w:val="center"/>
              <w:rPr>
                <w:rFonts w:ascii="Times New Roman" w:hAnsi="Times New Roman" w:cs="Times New Roman"/>
                <w:bCs/>
                <w:sz w:val="16"/>
                <w:szCs w:val="16"/>
              </w:rPr>
            </w:pPr>
            <w:r w:rsidRPr="001C7224">
              <w:rPr>
                <w:rFonts w:ascii="Times New Roman" w:hAnsi="Times New Roman" w:cs="Times New Roman"/>
                <w:bCs/>
                <w:sz w:val="16"/>
                <w:szCs w:val="16"/>
              </w:rPr>
              <w:t>420 795</w:t>
            </w:r>
          </w:p>
        </w:tc>
        <w:tc>
          <w:tcPr>
            <w:tcW w:w="70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105</w:t>
            </w:r>
          </w:p>
        </w:tc>
        <w:tc>
          <w:tcPr>
            <w:tcW w:w="569" w:type="dxa"/>
            <w:tcBorders>
              <w:top w:val="nil"/>
              <w:left w:val="nil"/>
              <w:bottom w:val="single" w:sz="4" w:space="0" w:color="auto"/>
              <w:right w:val="single" w:sz="4" w:space="0" w:color="auto"/>
            </w:tcBorders>
            <w:shd w:val="clear" w:color="auto" w:fill="auto"/>
            <w:noWrap/>
            <w:vAlign w:val="bottom"/>
            <w:hideMark/>
          </w:tcPr>
          <w:p w:rsidR="001C7224" w:rsidRPr="0061178C" w:rsidRDefault="001C7224" w:rsidP="001C7224">
            <w:pPr>
              <w:jc w:val="center"/>
              <w:rPr>
                <w:rFonts w:ascii="Times New Roman" w:hAnsi="Times New Roman" w:cs="Times New Roman"/>
                <w:sz w:val="16"/>
                <w:szCs w:val="16"/>
              </w:rPr>
            </w:pPr>
            <w:r w:rsidRPr="0061178C">
              <w:rPr>
                <w:rFonts w:ascii="Times New Roman" w:hAnsi="Times New Roman" w:cs="Times New Roman"/>
                <w:sz w:val="16"/>
                <w:szCs w:val="16"/>
              </w:rPr>
              <w:t>99</w:t>
            </w:r>
          </w:p>
        </w:tc>
      </w:tr>
    </w:tbl>
    <w:p w:rsidR="00175035" w:rsidRDefault="00175035" w:rsidP="00175035">
      <w:pPr>
        <w:spacing w:after="0" w:line="240" w:lineRule="auto"/>
        <w:ind w:firstLine="709"/>
        <w:jc w:val="both"/>
        <w:rPr>
          <w:rFonts w:ascii="Times New Roman" w:eastAsia="Times New Roman" w:hAnsi="Times New Roman" w:cs="Times New Roman"/>
          <w:color w:val="FF0000"/>
          <w:sz w:val="28"/>
          <w:szCs w:val="28"/>
          <w:lang w:eastAsia="ru-RU"/>
        </w:rPr>
      </w:pPr>
    </w:p>
    <w:p w:rsidR="004064C6" w:rsidRPr="00340FFF" w:rsidRDefault="001C7224" w:rsidP="00175035">
      <w:pPr>
        <w:spacing w:after="0" w:line="240" w:lineRule="auto"/>
        <w:ind w:firstLine="709"/>
        <w:jc w:val="both"/>
        <w:rPr>
          <w:rFonts w:ascii="Times New Roman" w:eastAsia="Times New Roman" w:hAnsi="Times New Roman" w:cs="Times New Roman"/>
          <w:sz w:val="28"/>
          <w:szCs w:val="28"/>
          <w:lang w:eastAsia="ru-RU"/>
        </w:rPr>
      </w:pPr>
      <w:r w:rsidRPr="00340FFF">
        <w:rPr>
          <w:rFonts w:ascii="Times New Roman" w:eastAsia="Times New Roman" w:hAnsi="Times New Roman" w:cs="Times New Roman"/>
          <w:sz w:val="28"/>
          <w:szCs w:val="28"/>
          <w:lang w:eastAsia="ru-RU"/>
        </w:rPr>
        <w:t xml:space="preserve">Зростання </w:t>
      </w:r>
      <w:r w:rsidRPr="00340FFF">
        <w:rPr>
          <w:rFonts w:ascii="Times New Roman" w:hAnsi="Times New Roman" w:cs="Times New Roman"/>
          <w:sz w:val="28"/>
          <w:szCs w:val="28"/>
        </w:rPr>
        <w:t xml:space="preserve">витрат у складі собівартості у 2019 року відносно фактичного показника 2018 року  </w:t>
      </w:r>
      <w:r w:rsidR="00340FFF">
        <w:rPr>
          <w:rFonts w:ascii="Times New Roman" w:hAnsi="Times New Roman" w:cs="Times New Roman"/>
          <w:sz w:val="28"/>
          <w:szCs w:val="28"/>
        </w:rPr>
        <w:t xml:space="preserve">36% або </w:t>
      </w:r>
      <w:r w:rsidRPr="00340FFF">
        <w:rPr>
          <w:rFonts w:ascii="Times New Roman" w:hAnsi="Times New Roman" w:cs="Times New Roman"/>
          <w:sz w:val="28"/>
          <w:szCs w:val="28"/>
        </w:rPr>
        <w:t xml:space="preserve">на </w:t>
      </w:r>
      <w:r w:rsidRPr="00340FFF">
        <w:rPr>
          <w:rFonts w:ascii="Times New Roman" w:hAnsi="Times New Roman" w:cs="Times New Roman"/>
          <w:sz w:val="28"/>
          <w:szCs w:val="28"/>
          <w:lang w:val="ru-RU"/>
        </w:rPr>
        <w:t>1 043 990</w:t>
      </w:r>
      <w:r w:rsidRPr="00340FFF">
        <w:rPr>
          <w:rFonts w:ascii="Times New Roman" w:hAnsi="Times New Roman" w:cs="Times New Roman"/>
          <w:sz w:val="28"/>
          <w:szCs w:val="28"/>
        </w:rPr>
        <w:t xml:space="preserve"> тис.</w:t>
      </w:r>
      <w:r w:rsidRPr="00340FFF">
        <w:rPr>
          <w:rFonts w:ascii="Times New Roman" w:hAnsi="Times New Roman" w:cs="Times New Roman"/>
          <w:sz w:val="28"/>
          <w:szCs w:val="28"/>
          <w:lang w:val="ru-RU"/>
        </w:rPr>
        <w:t xml:space="preserve"> </w:t>
      </w:r>
      <w:r w:rsidRPr="00340FFF">
        <w:rPr>
          <w:rFonts w:ascii="Times New Roman" w:hAnsi="Times New Roman" w:cs="Times New Roman"/>
          <w:sz w:val="28"/>
          <w:szCs w:val="28"/>
        </w:rPr>
        <w:t>грн. відбулось за рахунок</w:t>
      </w:r>
      <w:r w:rsidR="004064C6" w:rsidRPr="00340FFF">
        <w:rPr>
          <w:rFonts w:ascii="Times New Roman" w:hAnsi="Times New Roman" w:cs="Times New Roman"/>
          <w:sz w:val="28"/>
          <w:szCs w:val="28"/>
        </w:rPr>
        <w:t xml:space="preserve"> наступних факторів.</w:t>
      </w:r>
      <w:r w:rsidRPr="00340FFF">
        <w:rPr>
          <w:rFonts w:ascii="Times New Roman" w:hAnsi="Times New Roman" w:cs="Times New Roman"/>
          <w:sz w:val="28"/>
          <w:szCs w:val="28"/>
        </w:rPr>
        <w:t xml:space="preserve"> </w:t>
      </w:r>
    </w:p>
    <w:p w:rsidR="001C7224" w:rsidRDefault="004064C6" w:rsidP="00175035">
      <w:pPr>
        <w:pStyle w:val="a9"/>
        <w:spacing w:after="0" w:line="240" w:lineRule="auto"/>
        <w:ind w:left="0" w:firstLine="709"/>
        <w:jc w:val="both"/>
        <w:rPr>
          <w:rFonts w:ascii="Times New Roman" w:eastAsia="Times New Roman" w:hAnsi="Times New Roman" w:cs="Times New Roman"/>
          <w:sz w:val="28"/>
          <w:szCs w:val="28"/>
          <w:lang w:eastAsia="ru-RU"/>
        </w:rPr>
      </w:pPr>
      <w:r w:rsidRPr="00340FFF">
        <w:rPr>
          <w:rFonts w:ascii="Times New Roman" w:eastAsia="Times New Roman" w:hAnsi="Times New Roman" w:cs="Times New Roman"/>
          <w:sz w:val="28"/>
          <w:szCs w:val="28"/>
          <w:lang w:eastAsia="ru-RU"/>
        </w:rPr>
        <w:t>З</w:t>
      </w:r>
      <w:r w:rsidR="00AD5355" w:rsidRPr="00340FFF">
        <w:rPr>
          <w:rFonts w:ascii="Times New Roman" w:eastAsia="Times New Roman" w:hAnsi="Times New Roman" w:cs="Times New Roman"/>
          <w:sz w:val="28"/>
          <w:szCs w:val="28"/>
          <w:lang w:eastAsia="ru-RU"/>
        </w:rPr>
        <w:t xml:space="preserve">більшення обсягу </w:t>
      </w:r>
      <w:r w:rsidR="001C7224" w:rsidRPr="00340FFF">
        <w:rPr>
          <w:rFonts w:ascii="Times New Roman" w:eastAsia="Times New Roman" w:hAnsi="Times New Roman" w:cs="Times New Roman"/>
          <w:sz w:val="28"/>
          <w:szCs w:val="28"/>
          <w:lang w:eastAsia="ru-RU"/>
        </w:rPr>
        <w:t>виконання днопоглиблювальних робіт та інш</w:t>
      </w:r>
      <w:r w:rsidRPr="00340FFF">
        <w:rPr>
          <w:rFonts w:ascii="Times New Roman" w:eastAsia="Times New Roman" w:hAnsi="Times New Roman" w:cs="Times New Roman"/>
          <w:sz w:val="28"/>
          <w:szCs w:val="28"/>
          <w:lang w:eastAsia="ru-RU"/>
        </w:rPr>
        <w:t>их</w:t>
      </w:r>
      <w:r w:rsidR="001C7224" w:rsidRPr="00340FFF">
        <w:rPr>
          <w:rFonts w:ascii="Times New Roman" w:eastAsia="Times New Roman" w:hAnsi="Times New Roman" w:cs="Times New Roman"/>
          <w:sz w:val="28"/>
          <w:szCs w:val="28"/>
          <w:lang w:eastAsia="ru-RU"/>
        </w:rPr>
        <w:t xml:space="preserve"> супутні</w:t>
      </w:r>
      <w:r w:rsidR="00AD5355" w:rsidRPr="00340FFF">
        <w:rPr>
          <w:rFonts w:ascii="Times New Roman" w:eastAsia="Times New Roman" w:hAnsi="Times New Roman" w:cs="Times New Roman"/>
          <w:sz w:val="28"/>
          <w:szCs w:val="28"/>
          <w:lang w:eastAsia="ru-RU"/>
        </w:rPr>
        <w:t>х</w:t>
      </w:r>
      <w:r w:rsidR="001C7224" w:rsidRPr="00340FFF">
        <w:rPr>
          <w:rFonts w:ascii="Times New Roman" w:eastAsia="Times New Roman" w:hAnsi="Times New Roman" w:cs="Times New Roman"/>
          <w:sz w:val="28"/>
          <w:szCs w:val="28"/>
          <w:lang w:eastAsia="ru-RU"/>
        </w:rPr>
        <w:t xml:space="preserve"> </w:t>
      </w:r>
      <w:r w:rsidR="00AD5355" w:rsidRPr="00340FFF">
        <w:rPr>
          <w:rFonts w:ascii="Times New Roman" w:eastAsia="Times New Roman" w:hAnsi="Times New Roman" w:cs="Times New Roman"/>
          <w:sz w:val="28"/>
          <w:szCs w:val="28"/>
          <w:lang w:eastAsia="ru-RU"/>
        </w:rPr>
        <w:t>робі</w:t>
      </w:r>
      <w:r w:rsidR="001C7224" w:rsidRPr="00340FFF">
        <w:rPr>
          <w:rFonts w:ascii="Times New Roman" w:eastAsia="Times New Roman" w:hAnsi="Times New Roman" w:cs="Times New Roman"/>
          <w:sz w:val="28"/>
          <w:szCs w:val="28"/>
          <w:lang w:eastAsia="ru-RU"/>
        </w:rPr>
        <w:t>т</w:t>
      </w:r>
      <w:r w:rsidRPr="00340FFF">
        <w:rPr>
          <w:rFonts w:ascii="Times New Roman" w:eastAsia="Times New Roman" w:hAnsi="Times New Roman" w:cs="Times New Roman"/>
          <w:sz w:val="28"/>
          <w:szCs w:val="28"/>
          <w:lang w:eastAsia="ru-RU"/>
        </w:rPr>
        <w:t xml:space="preserve">, </w:t>
      </w:r>
      <w:r w:rsidR="00AD5355" w:rsidRPr="00340FFF">
        <w:rPr>
          <w:rFonts w:ascii="Times New Roman" w:eastAsia="Times New Roman" w:hAnsi="Times New Roman" w:cs="Times New Roman"/>
          <w:sz w:val="28"/>
          <w:szCs w:val="28"/>
          <w:lang w:eastAsia="ru-RU"/>
        </w:rPr>
        <w:t>2018 рік</w:t>
      </w:r>
      <w:r w:rsidR="001C7224" w:rsidRPr="00340FFF">
        <w:rPr>
          <w:rFonts w:ascii="Times New Roman" w:eastAsia="Times New Roman" w:hAnsi="Times New Roman" w:cs="Times New Roman"/>
          <w:sz w:val="28"/>
          <w:szCs w:val="28"/>
          <w:lang w:eastAsia="ru-RU"/>
        </w:rPr>
        <w:t xml:space="preserve"> </w:t>
      </w:r>
      <w:r w:rsidRPr="00340FFF">
        <w:rPr>
          <w:rFonts w:ascii="Times New Roman" w:eastAsia="Times New Roman" w:hAnsi="Times New Roman" w:cs="Times New Roman"/>
          <w:sz w:val="28"/>
          <w:szCs w:val="28"/>
          <w:lang w:eastAsia="ru-RU"/>
        </w:rPr>
        <w:t>–</w:t>
      </w:r>
      <w:r w:rsidR="001C7224" w:rsidRPr="00340FFF">
        <w:rPr>
          <w:rFonts w:ascii="Times New Roman" w:eastAsia="Times New Roman" w:hAnsi="Times New Roman" w:cs="Times New Roman"/>
          <w:sz w:val="28"/>
          <w:szCs w:val="28"/>
          <w:lang w:eastAsia="ru-RU"/>
        </w:rPr>
        <w:t xml:space="preserve"> </w:t>
      </w:r>
      <w:r w:rsidRPr="00340FFF">
        <w:rPr>
          <w:rFonts w:ascii="Times New Roman" w:eastAsia="Times New Roman" w:hAnsi="Times New Roman" w:cs="Times New Roman"/>
          <w:sz w:val="28"/>
          <w:szCs w:val="28"/>
          <w:lang w:eastAsia="ru-RU"/>
        </w:rPr>
        <w:t xml:space="preserve">142 </w:t>
      </w:r>
      <w:r>
        <w:rPr>
          <w:rFonts w:ascii="Times New Roman" w:eastAsia="Times New Roman" w:hAnsi="Times New Roman" w:cs="Times New Roman"/>
          <w:sz w:val="28"/>
          <w:szCs w:val="28"/>
          <w:lang w:eastAsia="ru-RU"/>
        </w:rPr>
        <w:t>тис.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2019 рік – 4 424 тис.</w:t>
      </w:r>
      <w:r w:rsidRPr="004064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призвело до  з</w:t>
      </w:r>
      <w:r w:rsidR="001C7224" w:rsidRPr="004064C6">
        <w:rPr>
          <w:rFonts w:ascii="Times New Roman" w:eastAsia="Times New Roman" w:hAnsi="Times New Roman" w:cs="Times New Roman"/>
          <w:sz w:val="28"/>
          <w:szCs w:val="28"/>
          <w:lang w:eastAsia="ru-RU"/>
        </w:rPr>
        <w:t>більшення</w:t>
      </w:r>
      <w:r>
        <w:rPr>
          <w:rFonts w:ascii="Times New Roman" w:eastAsia="Times New Roman" w:hAnsi="Times New Roman" w:cs="Times New Roman"/>
          <w:sz w:val="28"/>
          <w:szCs w:val="28"/>
          <w:lang w:eastAsia="ru-RU"/>
        </w:rPr>
        <w:t xml:space="preserve"> витрат</w:t>
      </w:r>
      <w:r w:rsidR="001C7224" w:rsidRPr="004064C6">
        <w:rPr>
          <w:rFonts w:ascii="Times New Roman" w:eastAsia="Times New Roman" w:hAnsi="Times New Roman" w:cs="Times New Roman"/>
          <w:sz w:val="28"/>
          <w:szCs w:val="28"/>
          <w:lang w:eastAsia="ru-RU"/>
        </w:rPr>
        <w:t xml:space="preserve"> на 737 370 тис. грн.  У</w:t>
      </w:r>
      <w:r w:rsidR="001C7224" w:rsidRPr="004064C6">
        <w:rPr>
          <w:rFonts w:ascii="Times New Roman" w:hAnsi="Times New Roman" w:cs="Times New Roman"/>
          <w:sz w:val="28"/>
          <w:szCs w:val="28"/>
          <w:lang w:eastAsia="ru-RU"/>
        </w:rPr>
        <w:t xml:space="preserve"> </w:t>
      </w:r>
      <w:r w:rsidR="001C7224" w:rsidRPr="004064C6">
        <w:rPr>
          <w:rFonts w:ascii="Times New Roman" w:eastAsia="Times New Roman" w:hAnsi="Times New Roman" w:cs="Times New Roman"/>
          <w:sz w:val="28"/>
          <w:szCs w:val="28"/>
          <w:lang w:eastAsia="ru-RU"/>
        </w:rPr>
        <w:t>2018 році днопоглиблювальні роботи та відповідно витрати відбулись у не значному обсязі 35 061</w:t>
      </w:r>
      <w:r>
        <w:rPr>
          <w:rFonts w:ascii="Times New Roman" w:eastAsia="Times New Roman" w:hAnsi="Times New Roman" w:cs="Times New Roman"/>
          <w:sz w:val="28"/>
          <w:szCs w:val="28"/>
          <w:lang w:eastAsia="ru-RU"/>
        </w:rPr>
        <w:t xml:space="preserve"> тис. грн.</w:t>
      </w:r>
    </w:p>
    <w:p w:rsidR="004064C6" w:rsidRDefault="004064C6" w:rsidP="001750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Збільшення витрат </w:t>
      </w:r>
      <w:r w:rsidRPr="004064C6">
        <w:rPr>
          <w:rFonts w:ascii="Times New Roman" w:eastAsia="Times New Roman" w:hAnsi="Times New Roman" w:cs="Times New Roman"/>
          <w:sz w:val="28"/>
          <w:szCs w:val="28"/>
          <w:lang w:eastAsia="ru-RU"/>
        </w:rPr>
        <w:t>філі</w:t>
      </w:r>
      <w:r>
        <w:rPr>
          <w:rFonts w:ascii="Times New Roman" w:eastAsia="Times New Roman" w:hAnsi="Times New Roman" w:cs="Times New Roman"/>
          <w:sz w:val="28"/>
          <w:szCs w:val="28"/>
          <w:lang w:eastAsia="ru-RU"/>
        </w:rPr>
        <w:t>ї</w:t>
      </w:r>
      <w:r w:rsidRPr="004064C6">
        <w:rPr>
          <w:rFonts w:ascii="Times New Roman" w:eastAsia="Times New Roman" w:hAnsi="Times New Roman" w:cs="Times New Roman"/>
          <w:sz w:val="28"/>
          <w:szCs w:val="28"/>
          <w:lang w:eastAsia="ru-RU"/>
        </w:rPr>
        <w:t xml:space="preserve"> «Днопоглиблювальний флот» (ФДФ) – на 109 245 тис. грн. Філія утворена </w:t>
      </w:r>
      <w:r>
        <w:rPr>
          <w:rFonts w:ascii="Times New Roman" w:eastAsia="Times New Roman" w:hAnsi="Times New Roman" w:cs="Times New Roman"/>
          <w:sz w:val="28"/>
          <w:szCs w:val="28"/>
          <w:lang w:eastAsia="ru-RU"/>
        </w:rPr>
        <w:t xml:space="preserve">2018 році, впродовж року </w:t>
      </w:r>
      <w:r w:rsidRPr="004064C6">
        <w:rPr>
          <w:rFonts w:ascii="Times New Roman" w:eastAsia="Times New Roman" w:hAnsi="Times New Roman" w:cs="Times New Roman"/>
          <w:sz w:val="28"/>
          <w:szCs w:val="28"/>
          <w:lang w:eastAsia="ru-RU"/>
        </w:rPr>
        <w:t xml:space="preserve">проходило формування філії та витрати  були не значні </w:t>
      </w:r>
      <w:r w:rsidRPr="004064C6">
        <w:rPr>
          <w:rFonts w:ascii="Times New Roman" w:eastAsia="Times New Roman" w:hAnsi="Times New Roman" w:cs="Times New Roman"/>
          <w:sz w:val="28"/>
          <w:szCs w:val="28"/>
          <w:lang w:eastAsia="uk-UA"/>
        </w:rPr>
        <w:t>15 461 тис. грн</w:t>
      </w:r>
      <w:r w:rsidRPr="004064C6">
        <w:rPr>
          <w:rFonts w:ascii="Times New Roman" w:eastAsia="Times New Roman" w:hAnsi="Times New Roman" w:cs="Times New Roman"/>
          <w:sz w:val="28"/>
          <w:szCs w:val="28"/>
          <w:lang w:eastAsia="ru-RU"/>
        </w:rPr>
        <w:t>.</w:t>
      </w:r>
    </w:p>
    <w:p w:rsidR="004064C6" w:rsidRPr="003C5C27" w:rsidRDefault="004064C6" w:rsidP="00340FFF">
      <w:pPr>
        <w:pStyle w:val="a9"/>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C5C27">
        <w:rPr>
          <w:rFonts w:ascii="Times New Roman" w:eastAsia="Times New Roman" w:hAnsi="Times New Roman" w:cs="Times New Roman"/>
          <w:sz w:val="28"/>
          <w:szCs w:val="28"/>
          <w:lang w:eastAsia="ru-RU"/>
        </w:rPr>
        <w:t>еренесення</w:t>
      </w:r>
      <w:r>
        <w:rPr>
          <w:rFonts w:ascii="Times New Roman" w:eastAsia="Times New Roman" w:hAnsi="Times New Roman" w:cs="Times New Roman"/>
          <w:sz w:val="28"/>
          <w:szCs w:val="28"/>
          <w:lang w:eastAsia="ru-RU"/>
        </w:rPr>
        <w:t xml:space="preserve"> </w:t>
      </w:r>
      <w:r w:rsidRPr="003C5C27">
        <w:rPr>
          <w:rFonts w:ascii="Times New Roman" w:eastAsia="Times New Roman" w:hAnsi="Times New Roman" w:cs="Times New Roman"/>
          <w:sz w:val="28"/>
          <w:szCs w:val="28"/>
          <w:lang w:eastAsia="ru-RU"/>
        </w:rPr>
        <w:t>з інших операційних витрат до складу собівартості витрат на забезпечення роботи підрозділів мобілізаційної роботи та цивільного захисту (</w:t>
      </w:r>
      <w:r>
        <w:rPr>
          <w:rFonts w:ascii="Times New Roman" w:eastAsia="Times New Roman" w:hAnsi="Times New Roman" w:cs="Times New Roman"/>
          <w:sz w:val="28"/>
          <w:szCs w:val="28"/>
          <w:lang w:eastAsia="uk-UA"/>
        </w:rPr>
        <w:t>ВМР та ЦЗ)</w:t>
      </w:r>
      <w:r w:rsidRPr="003C5C27">
        <w:rPr>
          <w:rFonts w:ascii="Times New Roman" w:eastAsia="Times New Roman" w:hAnsi="Times New Roman" w:cs="Times New Roman"/>
          <w:sz w:val="28"/>
          <w:szCs w:val="28"/>
          <w:lang w:eastAsia="ru-RU"/>
        </w:rPr>
        <w:t xml:space="preserve">.  У звітному періоді зазначені витрати склали </w:t>
      </w:r>
      <w:r>
        <w:rPr>
          <w:rFonts w:ascii="Times New Roman" w:eastAsia="Times New Roman" w:hAnsi="Times New Roman" w:cs="Times New Roman"/>
          <w:sz w:val="28"/>
          <w:szCs w:val="28"/>
          <w:lang w:eastAsia="ru-RU"/>
        </w:rPr>
        <w:t>40 487 тис. грн.</w:t>
      </w:r>
    </w:p>
    <w:p w:rsidR="00402559" w:rsidRDefault="00402559" w:rsidP="00175035">
      <w:pPr>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Витр</w:t>
      </w:r>
      <w:r w:rsidR="00340FF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ти на утримання основних засобів (плавзасобів тощо), які було передано на баланс </w:t>
      </w:r>
      <w:r w:rsidRPr="00402559">
        <w:rPr>
          <w:rFonts w:ascii="Times New Roman" w:eastAsia="Times New Roman" w:hAnsi="Times New Roman" w:cs="Times New Roman"/>
          <w:sz w:val="28"/>
          <w:szCs w:val="28"/>
          <w:lang w:eastAsia="ru-RU"/>
        </w:rPr>
        <w:t xml:space="preserve">Одеської та Миколаївської філій ДП «АМПУ» </w:t>
      </w:r>
      <w:r w:rsidR="00175035">
        <w:rPr>
          <w:rFonts w:ascii="Times New Roman" w:eastAsia="Times New Roman" w:hAnsi="Times New Roman" w:cs="Times New Roman"/>
          <w:sz w:val="28"/>
          <w:szCs w:val="28"/>
          <w:lang w:eastAsia="ru-RU"/>
        </w:rPr>
        <w:t>наприкінці</w:t>
      </w:r>
      <w:r w:rsidRPr="00402559">
        <w:rPr>
          <w:rFonts w:ascii="Times New Roman" w:eastAsia="Times New Roman" w:hAnsi="Times New Roman" w:cs="Times New Roman"/>
          <w:sz w:val="28"/>
          <w:szCs w:val="28"/>
          <w:lang w:eastAsia="ru-RU"/>
        </w:rPr>
        <w:t xml:space="preserve"> 2018 року, отже витрат на утримання зазначених основних засобів у  2018 року не було. У звітному періоді зазначені витрати склали 17 861 тис. </w:t>
      </w:r>
      <w:r>
        <w:rPr>
          <w:rFonts w:ascii="Times New Roman" w:eastAsia="Times New Roman" w:hAnsi="Times New Roman" w:cs="Times New Roman"/>
          <w:sz w:val="28"/>
          <w:szCs w:val="28"/>
          <w:lang w:eastAsia="ru-RU"/>
        </w:rPr>
        <w:t>грн.</w:t>
      </w:r>
    </w:p>
    <w:p w:rsidR="00175035" w:rsidRPr="0062272A" w:rsidRDefault="00175035" w:rsidP="00175035">
      <w:pPr>
        <w:widowControl w:val="0"/>
        <w:autoSpaceDE w:val="0"/>
        <w:autoSpaceDN w:val="0"/>
        <w:adjustRightInd w:val="0"/>
        <w:spacing w:after="0"/>
        <w:ind w:right="-141" w:firstLine="567"/>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Збільшення </w:t>
      </w:r>
      <w:r w:rsidR="00402559" w:rsidRPr="00175035">
        <w:rPr>
          <w:rFonts w:ascii="Times New Roman" w:eastAsia="Times New Roman" w:hAnsi="Times New Roman" w:cs="Times New Roman"/>
          <w:sz w:val="28"/>
          <w:szCs w:val="28"/>
          <w:lang w:eastAsia="ru-RU"/>
        </w:rPr>
        <w:t>інш</w:t>
      </w:r>
      <w:r>
        <w:rPr>
          <w:rFonts w:ascii="Times New Roman" w:eastAsia="Times New Roman" w:hAnsi="Times New Roman" w:cs="Times New Roman"/>
          <w:sz w:val="28"/>
          <w:szCs w:val="28"/>
          <w:lang w:eastAsia="ru-RU"/>
        </w:rPr>
        <w:t>их витрат</w:t>
      </w:r>
      <w:r w:rsidR="00402559" w:rsidRPr="00175035">
        <w:rPr>
          <w:rFonts w:ascii="Times New Roman" w:eastAsia="Times New Roman" w:hAnsi="Times New Roman" w:cs="Times New Roman"/>
          <w:sz w:val="28"/>
          <w:szCs w:val="28"/>
          <w:lang w:eastAsia="ru-RU"/>
        </w:rPr>
        <w:t xml:space="preserve"> – 139 027 тис. грн.</w:t>
      </w:r>
      <w:r w:rsidR="00402559" w:rsidRPr="00175035">
        <w:rPr>
          <w:rFonts w:ascii="Times New Roman" w:hAnsi="Times New Roman" w:cs="Times New Roman"/>
          <w:noProof/>
          <w:sz w:val="28"/>
          <w:szCs w:val="28"/>
          <w:lang w:eastAsia="uk-UA"/>
        </w:rPr>
        <w:t xml:space="preserve"> у т.ч. 60 705 тис. грн. витрати </w:t>
      </w:r>
      <w:r w:rsidR="00402559" w:rsidRPr="00175035">
        <w:rPr>
          <w:rFonts w:ascii="Times New Roman" w:eastAsia="Times New Roman" w:hAnsi="Times New Roman" w:cs="Times New Roman"/>
          <w:sz w:val="28"/>
          <w:szCs w:val="28"/>
          <w:lang w:eastAsia="uk-UA"/>
        </w:rPr>
        <w:t>що здійснюються для підтримання об’єкта в робочому стані (проведення ремонту, технічного огляду, нагляду, обслуговування тощо), 19 125 тис.грн.</w:t>
      </w:r>
      <w:r w:rsidR="00402559" w:rsidRPr="00175035">
        <w:rPr>
          <w:rFonts w:ascii="Times New Roman" w:eastAsia="Times New Roman" w:hAnsi="Times New Roman" w:cs="Times New Roman"/>
          <w:sz w:val="28"/>
          <w:szCs w:val="28"/>
          <w:lang w:eastAsia="ru-RU"/>
        </w:rPr>
        <w:t xml:space="preserve"> витрати на обслуговування засобів навігаційного забезпечення та інші витрати які є</w:t>
      </w:r>
      <w:r w:rsidRPr="00175035">
        <w:rPr>
          <w:rFonts w:ascii="Times New Roman" w:eastAsia="Times New Roman" w:hAnsi="Times New Roman" w:cs="Times New Roman"/>
          <w:sz w:val="28"/>
          <w:szCs w:val="28"/>
          <w:lang w:eastAsia="ru-RU"/>
        </w:rPr>
        <w:t xml:space="preserve"> </w:t>
      </w:r>
      <w:r w:rsidRPr="00175035">
        <w:rPr>
          <w:rFonts w:ascii="Times New Roman" w:hAnsi="Times New Roman" w:cs="Times New Roman"/>
          <w:sz w:val="28"/>
          <w:szCs w:val="28"/>
          <w:lang w:eastAsia="ar-SA"/>
        </w:rPr>
        <w:t xml:space="preserve">необхідними </w:t>
      </w:r>
      <w:r w:rsidRPr="0062272A">
        <w:rPr>
          <w:rFonts w:ascii="Times New Roman" w:eastAsia="Calibri" w:hAnsi="Times New Roman" w:cs="Times New Roman"/>
          <w:sz w:val="28"/>
          <w:szCs w:val="28"/>
          <w:shd w:val="clear" w:color="auto" w:fill="FFFFFF"/>
        </w:rPr>
        <w:t>для належного утримання та забезпечення ефективного використання державного майна, переданого відокремленим підрозділам ДП «АМПУ» у господарське відання, у тому числі ремонту гідротехнічних споруд, інших об’єктів портової інфраструктури, розташованих у межах території та акваторії морського порту, забезпечення безпеки мореплавства, та інших функцій  на виконання вимог  ст. 15 Закону України «Про морські порти України».</w:t>
      </w:r>
    </w:p>
    <w:p w:rsidR="00175035" w:rsidRPr="00175035" w:rsidRDefault="00175035" w:rsidP="00175035">
      <w:pPr>
        <w:widowControl w:val="0"/>
        <w:suppressAutoHyphens/>
        <w:autoSpaceDE w:val="0"/>
        <w:autoSpaceDN w:val="0"/>
        <w:adjustRightInd w:val="0"/>
        <w:spacing w:after="0" w:line="240" w:lineRule="auto"/>
        <w:ind w:right="-141" w:firstLine="709"/>
        <w:jc w:val="both"/>
        <w:rPr>
          <w:rFonts w:ascii="Times New Roman" w:eastAsia="Calibri" w:hAnsi="Times New Roman" w:cs="Times New Roman"/>
          <w:color w:val="FF0000"/>
          <w:sz w:val="28"/>
          <w:szCs w:val="28"/>
          <w:shd w:val="clear" w:color="auto" w:fill="FFFFFF"/>
        </w:rPr>
      </w:pPr>
      <w:r w:rsidRPr="00175035">
        <w:rPr>
          <w:rFonts w:ascii="Times New Roman" w:hAnsi="Times New Roman" w:cs="Times New Roman"/>
          <w:sz w:val="28"/>
          <w:szCs w:val="28"/>
          <w:lang w:eastAsia="ar-SA"/>
        </w:rPr>
        <w:t xml:space="preserve">Також слід зазначити </w:t>
      </w:r>
      <w:r w:rsidRPr="00175035">
        <w:rPr>
          <w:rFonts w:ascii="Times New Roman" w:eastAsia="Calibri" w:hAnsi="Times New Roman" w:cs="Times New Roman"/>
          <w:sz w:val="28"/>
          <w:szCs w:val="28"/>
          <w:shd w:val="clear" w:color="auto" w:fill="FFFFFF"/>
        </w:rPr>
        <w:t xml:space="preserve">що у 2018 році плановий показник за цією статтею витрат виконано на 65% </w:t>
      </w:r>
      <w:r w:rsidRPr="00175035">
        <w:rPr>
          <w:rFonts w:ascii="Times New Roman" w:hAnsi="Times New Roman" w:cs="Times New Roman"/>
          <w:sz w:val="28"/>
          <w:szCs w:val="28"/>
        </w:rPr>
        <w:t>за рахунок зміщення графіку робіт запланованих, в цілому це зумовлено 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w:t>
      </w:r>
      <w:r w:rsidRPr="00175035">
        <w:rPr>
          <w:rFonts w:ascii="Times New Roman" w:hAnsi="Times New Roman" w:cs="Times New Roman"/>
          <w:color w:val="FF0000"/>
          <w:sz w:val="28"/>
          <w:szCs w:val="28"/>
        </w:rPr>
        <w:t>.</w:t>
      </w:r>
    </w:p>
    <w:p w:rsidR="00402559" w:rsidRDefault="00402559" w:rsidP="00340FFF">
      <w:pPr>
        <w:pStyle w:val="a9"/>
        <w:spacing w:after="0" w:line="240" w:lineRule="auto"/>
        <w:ind w:left="0" w:right="-141" w:firstLine="709"/>
        <w:jc w:val="both"/>
        <w:rPr>
          <w:rFonts w:ascii="Times New Roman" w:eastAsia="Times New Roman" w:hAnsi="Times New Roman" w:cs="Times New Roman"/>
          <w:b/>
          <w:sz w:val="28"/>
          <w:szCs w:val="28"/>
          <w:lang w:eastAsia="ru-RU"/>
        </w:rPr>
      </w:pPr>
      <w:r w:rsidRPr="0088452E">
        <w:rPr>
          <w:rFonts w:ascii="Times New Roman" w:eastAsia="Times New Roman" w:hAnsi="Times New Roman" w:cs="Times New Roman"/>
          <w:sz w:val="28"/>
          <w:szCs w:val="28"/>
          <w:lang w:eastAsia="ru-RU"/>
        </w:rPr>
        <w:t xml:space="preserve">Таким чином вбачається, що  зростання витрат у складі собівартості за </w:t>
      </w:r>
      <w:r w:rsidRPr="0088452E">
        <w:rPr>
          <w:rFonts w:ascii="Times New Roman" w:hAnsi="Times New Roman" w:cs="Times New Roman"/>
          <w:sz w:val="28"/>
          <w:szCs w:val="28"/>
        </w:rPr>
        <w:t xml:space="preserve">2019 рік </w:t>
      </w:r>
      <w:r w:rsidRPr="0088452E">
        <w:rPr>
          <w:rFonts w:ascii="Times New Roman" w:hAnsi="Times New Roman" w:cs="Times New Roman"/>
          <w:b/>
          <w:sz w:val="28"/>
          <w:szCs w:val="28"/>
        </w:rPr>
        <w:t xml:space="preserve">відносно фактичного показника 2018 року  </w:t>
      </w:r>
      <w:r w:rsidRPr="0088452E">
        <w:rPr>
          <w:rFonts w:ascii="Times New Roman" w:eastAsia="Times New Roman" w:hAnsi="Times New Roman" w:cs="Times New Roman"/>
          <w:sz w:val="28"/>
          <w:szCs w:val="28"/>
          <w:lang w:eastAsia="ru-RU"/>
        </w:rPr>
        <w:t xml:space="preserve">виникли у наслідок появи обставин, які були відсутні у відповідному періоді 2018 року. При приведені до зіставних показників, без врахування зазначених витрат, собівартість 2019 </w:t>
      </w:r>
      <w:r w:rsidRPr="0061178C">
        <w:rPr>
          <w:rFonts w:ascii="Times New Roman" w:eastAsia="Times New Roman" w:hAnsi="Times New Roman" w:cs="Times New Roman"/>
          <w:sz w:val="28"/>
          <w:szCs w:val="28"/>
          <w:lang w:eastAsia="ru-RU"/>
        </w:rPr>
        <w:t>року</w:t>
      </w:r>
      <w:r w:rsidRPr="0061178C">
        <w:rPr>
          <w:rFonts w:ascii="Times New Roman" w:eastAsia="Times New Roman" w:hAnsi="Times New Roman" w:cs="Times New Roman"/>
          <w:b/>
          <w:sz w:val="28"/>
          <w:szCs w:val="28"/>
          <w:lang w:eastAsia="ru-RU"/>
        </w:rPr>
        <w:t xml:space="preserve"> скла</w:t>
      </w:r>
      <w:r w:rsidR="00340FFF">
        <w:rPr>
          <w:rFonts w:ascii="Times New Roman" w:eastAsia="Times New Roman" w:hAnsi="Times New Roman" w:cs="Times New Roman"/>
          <w:b/>
          <w:sz w:val="28"/>
          <w:szCs w:val="28"/>
          <w:lang w:eastAsia="ru-RU"/>
        </w:rPr>
        <w:t xml:space="preserve">ла би </w:t>
      </w:r>
      <w:r w:rsidRPr="0061178C">
        <w:rPr>
          <w:rFonts w:ascii="Times New Roman" w:eastAsia="Times New Roman" w:hAnsi="Times New Roman" w:cs="Times New Roman"/>
          <w:b/>
          <w:bCs/>
          <w:sz w:val="28"/>
          <w:szCs w:val="28"/>
          <w:lang w:eastAsia="uk-UA"/>
        </w:rPr>
        <w:t xml:space="preserve">2 982 853 </w:t>
      </w:r>
      <w:r>
        <w:rPr>
          <w:rFonts w:ascii="Times New Roman" w:eastAsia="Times New Roman" w:hAnsi="Times New Roman" w:cs="Times New Roman"/>
          <w:b/>
          <w:bCs/>
          <w:sz w:val="28"/>
          <w:szCs w:val="28"/>
          <w:lang w:eastAsia="uk-UA"/>
        </w:rPr>
        <w:t>тис.</w:t>
      </w:r>
      <w:r w:rsidR="00340FFF">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грн.</w:t>
      </w:r>
      <w:r w:rsidR="00340FFF">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eastAsia="uk-UA"/>
        </w:rPr>
        <w:t xml:space="preserve"> що</w:t>
      </w:r>
      <w:r w:rsidRPr="0061178C">
        <w:rPr>
          <w:rFonts w:ascii="Times New Roman" w:eastAsia="Times New Roman" w:hAnsi="Times New Roman" w:cs="Times New Roman"/>
          <w:b/>
          <w:bCs/>
          <w:sz w:val="28"/>
          <w:szCs w:val="28"/>
          <w:lang w:eastAsia="uk-UA"/>
        </w:rPr>
        <w:t xml:space="preserve"> </w:t>
      </w:r>
      <w:r w:rsidRPr="0061178C">
        <w:rPr>
          <w:rFonts w:ascii="Times New Roman" w:eastAsia="Times New Roman" w:hAnsi="Times New Roman" w:cs="Times New Roman"/>
          <w:b/>
          <w:sz w:val="28"/>
          <w:szCs w:val="28"/>
          <w:lang w:eastAsia="ru-RU"/>
        </w:rPr>
        <w:t xml:space="preserve"> становить 104%</w:t>
      </w:r>
      <w:r>
        <w:rPr>
          <w:rFonts w:ascii="Times New Roman" w:eastAsia="Times New Roman" w:hAnsi="Times New Roman" w:cs="Times New Roman"/>
          <w:b/>
          <w:sz w:val="28"/>
          <w:szCs w:val="28"/>
          <w:lang w:eastAsia="ru-RU"/>
        </w:rPr>
        <w:t xml:space="preserve"> </w:t>
      </w:r>
      <w:r w:rsidRPr="0088452E">
        <w:rPr>
          <w:rFonts w:ascii="Times New Roman" w:hAnsi="Times New Roman" w:cs="Times New Roman"/>
          <w:b/>
          <w:sz w:val="28"/>
          <w:szCs w:val="28"/>
        </w:rPr>
        <w:t>відносно фактичного показника 2018</w:t>
      </w:r>
      <w:r>
        <w:rPr>
          <w:rFonts w:ascii="Times New Roman" w:hAnsi="Times New Roman" w:cs="Times New Roman"/>
          <w:b/>
          <w:sz w:val="28"/>
          <w:szCs w:val="28"/>
        </w:rPr>
        <w:t xml:space="preserve"> </w:t>
      </w:r>
      <w:r w:rsidRPr="0088452E">
        <w:rPr>
          <w:rFonts w:ascii="Times New Roman" w:hAnsi="Times New Roman" w:cs="Times New Roman"/>
          <w:b/>
          <w:sz w:val="28"/>
          <w:szCs w:val="28"/>
        </w:rPr>
        <w:t>року</w:t>
      </w:r>
      <w:r w:rsidRPr="0061178C">
        <w:rPr>
          <w:rFonts w:ascii="Times New Roman" w:eastAsia="Times New Roman" w:hAnsi="Times New Roman" w:cs="Times New Roman"/>
          <w:b/>
          <w:sz w:val="28"/>
          <w:szCs w:val="28"/>
          <w:lang w:eastAsia="ru-RU"/>
        </w:rPr>
        <w:t xml:space="preserve"> (</w:t>
      </w:r>
      <w:r w:rsidRPr="0061178C">
        <w:rPr>
          <w:rFonts w:ascii="Times New Roman" w:eastAsia="Times New Roman" w:hAnsi="Times New Roman" w:cs="Times New Roman"/>
          <w:sz w:val="28"/>
          <w:szCs w:val="28"/>
          <w:lang w:eastAsia="ru-RU"/>
        </w:rPr>
        <w:t>таблиця 9)</w:t>
      </w:r>
      <w:r w:rsidRPr="0061178C">
        <w:rPr>
          <w:rFonts w:ascii="Times New Roman" w:eastAsia="Times New Roman" w:hAnsi="Times New Roman" w:cs="Times New Roman"/>
          <w:b/>
          <w:sz w:val="28"/>
          <w:szCs w:val="28"/>
          <w:lang w:eastAsia="ru-RU"/>
        </w:rPr>
        <w:t>.</w:t>
      </w:r>
    </w:p>
    <w:p w:rsidR="00402559" w:rsidRPr="00402559" w:rsidRDefault="00402559" w:rsidP="00402559">
      <w:pPr>
        <w:spacing w:after="0" w:line="240" w:lineRule="auto"/>
        <w:ind w:right="-141"/>
        <w:jc w:val="both"/>
        <w:rPr>
          <w:rFonts w:ascii="Times New Roman" w:eastAsia="Times New Roman" w:hAnsi="Times New Roman" w:cs="Times New Roman"/>
          <w:sz w:val="28"/>
          <w:szCs w:val="28"/>
          <w:lang w:eastAsia="ru-RU"/>
        </w:rPr>
      </w:pPr>
    </w:p>
    <w:p w:rsidR="00FF3581" w:rsidRPr="007F24D5" w:rsidRDefault="00FF3581" w:rsidP="00FF3581">
      <w:pPr>
        <w:spacing w:after="0" w:line="240" w:lineRule="auto"/>
        <w:ind w:right="-141"/>
        <w:jc w:val="center"/>
        <w:rPr>
          <w:rFonts w:ascii="Times New Roman" w:eastAsia="Times New Roman" w:hAnsi="Times New Roman" w:cs="Times New Roman"/>
          <w:color w:val="FF0000"/>
          <w:sz w:val="28"/>
          <w:szCs w:val="28"/>
          <w:lang w:val="ru-RU" w:eastAsia="ru-RU"/>
        </w:rPr>
      </w:pPr>
    </w:p>
    <w:p w:rsidR="00FF3581" w:rsidRDefault="00FF3581" w:rsidP="00FF3581">
      <w:pPr>
        <w:spacing w:after="0" w:line="240" w:lineRule="auto"/>
        <w:ind w:right="-141"/>
        <w:jc w:val="center"/>
        <w:rPr>
          <w:rFonts w:ascii="Times New Roman" w:eastAsia="Times New Roman" w:hAnsi="Times New Roman" w:cs="Times New Roman"/>
          <w:color w:val="FF0000"/>
          <w:sz w:val="28"/>
          <w:szCs w:val="28"/>
          <w:lang w:val="ru-RU" w:eastAsia="ru-RU"/>
        </w:rPr>
      </w:pPr>
    </w:p>
    <w:p w:rsidR="00FE3367" w:rsidRDefault="00FE3367" w:rsidP="00FF3581">
      <w:pPr>
        <w:spacing w:after="0" w:line="240" w:lineRule="auto"/>
        <w:ind w:right="-141"/>
        <w:jc w:val="center"/>
        <w:rPr>
          <w:rFonts w:ascii="Times New Roman" w:eastAsia="Times New Roman" w:hAnsi="Times New Roman" w:cs="Times New Roman"/>
          <w:color w:val="FF0000"/>
          <w:sz w:val="28"/>
          <w:szCs w:val="28"/>
          <w:lang w:val="ru-RU" w:eastAsia="ru-RU"/>
        </w:rPr>
      </w:pPr>
    </w:p>
    <w:p w:rsidR="00FE3367" w:rsidRDefault="00FE3367" w:rsidP="00FF3581">
      <w:pPr>
        <w:spacing w:after="0" w:line="240" w:lineRule="auto"/>
        <w:ind w:right="-141"/>
        <w:jc w:val="center"/>
        <w:rPr>
          <w:rFonts w:ascii="Times New Roman" w:eastAsia="Times New Roman" w:hAnsi="Times New Roman" w:cs="Times New Roman"/>
          <w:color w:val="FF0000"/>
          <w:sz w:val="28"/>
          <w:szCs w:val="28"/>
          <w:lang w:val="ru-RU" w:eastAsia="ru-RU"/>
        </w:rPr>
      </w:pPr>
    </w:p>
    <w:p w:rsidR="00FE3367" w:rsidRDefault="00FE3367" w:rsidP="00FF3581">
      <w:pPr>
        <w:spacing w:after="0" w:line="240" w:lineRule="auto"/>
        <w:ind w:right="-141"/>
        <w:jc w:val="center"/>
        <w:rPr>
          <w:rFonts w:ascii="Times New Roman" w:eastAsia="Times New Roman" w:hAnsi="Times New Roman" w:cs="Times New Roman"/>
          <w:color w:val="FF0000"/>
          <w:sz w:val="28"/>
          <w:szCs w:val="28"/>
          <w:lang w:val="ru-RU" w:eastAsia="ru-RU"/>
        </w:rPr>
      </w:pPr>
    </w:p>
    <w:p w:rsidR="00FE3367" w:rsidRPr="007F24D5" w:rsidRDefault="00FE3367" w:rsidP="00FF3581">
      <w:pPr>
        <w:spacing w:after="0" w:line="240" w:lineRule="auto"/>
        <w:ind w:right="-141"/>
        <w:jc w:val="center"/>
        <w:rPr>
          <w:rFonts w:ascii="Times New Roman" w:eastAsia="Times New Roman" w:hAnsi="Times New Roman" w:cs="Times New Roman"/>
          <w:color w:val="FF0000"/>
          <w:sz w:val="28"/>
          <w:szCs w:val="28"/>
          <w:lang w:val="ru-RU" w:eastAsia="ru-RU"/>
        </w:rPr>
      </w:pPr>
    </w:p>
    <w:p w:rsidR="00E5515B" w:rsidRPr="00A66407" w:rsidRDefault="00E5515B" w:rsidP="00E5515B">
      <w:pPr>
        <w:spacing w:after="0" w:line="240" w:lineRule="auto"/>
        <w:ind w:left="1135"/>
        <w:jc w:val="center"/>
        <w:rPr>
          <w:rFonts w:ascii="Times New Roman" w:eastAsia="Times New Roman" w:hAnsi="Times New Roman" w:cs="Times New Roman"/>
          <w:b/>
          <w:sz w:val="28"/>
          <w:szCs w:val="28"/>
          <w:lang w:eastAsia="ru-RU"/>
        </w:rPr>
      </w:pPr>
      <w:r w:rsidRPr="00A66407">
        <w:rPr>
          <w:rFonts w:ascii="Times New Roman" w:eastAsia="Times New Roman" w:hAnsi="Times New Roman" w:cs="Times New Roman"/>
          <w:b/>
          <w:sz w:val="28"/>
          <w:szCs w:val="28"/>
          <w:lang w:eastAsia="ru-RU"/>
        </w:rPr>
        <w:lastRenderedPageBreak/>
        <w:t>2.2. Адміністративні витрати</w:t>
      </w:r>
    </w:p>
    <w:p w:rsidR="00E5515B" w:rsidRPr="00C61B4C" w:rsidRDefault="00E5515B" w:rsidP="00E5515B">
      <w:pPr>
        <w:spacing w:after="0" w:line="240" w:lineRule="auto"/>
        <w:ind w:left="1068"/>
        <w:jc w:val="both"/>
        <w:rPr>
          <w:rFonts w:ascii="Times New Roman" w:eastAsia="Times New Roman" w:hAnsi="Times New Roman" w:cs="Times New Roman"/>
          <w:b/>
          <w:bCs/>
          <w:iCs/>
          <w:color w:val="FF0000"/>
          <w:sz w:val="28"/>
          <w:szCs w:val="28"/>
        </w:rPr>
      </w:pPr>
    </w:p>
    <w:p w:rsidR="00A66407" w:rsidRDefault="00A66407" w:rsidP="00A66407">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За 2019 </w:t>
      </w:r>
      <w:r w:rsidRPr="001610E8">
        <w:rPr>
          <w:rFonts w:ascii="Times New Roman" w:eastAsia="Times New Roman" w:hAnsi="Times New Roman" w:cs="Times New Roman"/>
          <w:bCs/>
          <w:iCs/>
          <w:sz w:val="28"/>
          <w:szCs w:val="28"/>
        </w:rPr>
        <w:t xml:space="preserve">рік адміністративні витрати ДП «АМПУ» склали </w:t>
      </w:r>
      <w:r w:rsidRPr="0065175A">
        <w:rPr>
          <w:rFonts w:ascii="Times New Roman" w:eastAsia="Times New Roman" w:hAnsi="Times New Roman" w:cs="Times New Roman"/>
          <w:b/>
          <w:bCs/>
          <w:iCs/>
          <w:sz w:val="28"/>
          <w:szCs w:val="28"/>
        </w:rPr>
        <w:t>873 972</w:t>
      </w:r>
      <w:r w:rsidRPr="001610E8">
        <w:rPr>
          <w:rFonts w:ascii="Times New Roman" w:eastAsia="Times New Roman" w:hAnsi="Times New Roman" w:cs="Times New Roman"/>
          <w:bCs/>
          <w:iCs/>
          <w:sz w:val="28"/>
          <w:szCs w:val="28"/>
        </w:rPr>
        <w:t xml:space="preserve"> тис. грн., що на </w:t>
      </w:r>
      <w:r w:rsidRPr="0065175A">
        <w:rPr>
          <w:rFonts w:ascii="Times New Roman" w:eastAsia="Times New Roman" w:hAnsi="Times New Roman" w:cs="Times New Roman"/>
          <w:b/>
          <w:bCs/>
          <w:iCs/>
          <w:sz w:val="28"/>
          <w:szCs w:val="28"/>
        </w:rPr>
        <w:t>9 704</w:t>
      </w:r>
      <w:r>
        <w:rPr>
          <w:rFonts w:ascii="Times New Roman" w:eastAsia="Times New Roman" w:hAnsi="Times New Roman" w:cs="Times New Roman"/>
          <w:bCs/>
          <w:iCs/>
          <w:sz w:val="28"/>
          <w:szCs w:val="28"/>
        </w:rPr>
        <w:t xml:space="preserve"> тис. грн. (або на </w:t>
      </w:r>
      <w:r w:rsidRPr="0065175A">
        <w:rPr>
          <w:rFonts w:ascii="Times New Roman" w:eastAsia="Times New Roman" w:hAnsi="Times New Roman" w:cs="Times New Roman"/>
          <w:bCs/>
          <w:iCs/>
          <w:sz w:val="28"/>
          <w:szCs w:val="28"/>
        </w:rPr>
        <w:t>1</w:t>
      </w:r>
      <w:r w:rsidRPr="001610E8">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перевищує плановий показник 2019</w:t>
      </w:r>
      <w:r w:rsidRPr="001610E8">
        <w:rPr>
          <w:rFonts w:ascii="Times New Roman" w:eastAsia="Times New Roman" w:hAnsi="Times New Roman" w:cs="Times New Roman"/>
          <w:bCs/>
          <w:iCs/>
          <w:sz w:val="28"/>
          <w:szCs w:val="28"/>
        </w:rPr>
        <w:t xml:space="preserve"> року</w:t>
      </w:r>
      <w:r>
        <w:rPr>
          <w:rFonts w:ascii="Times New Roman" w:eastAsia="Times New Roman" w:hAnsi="Times New Roman" w:cs="Times New Roman"/>
          <w:bCs/>
          <w:iCs/>
          <w:sz w:val="28"/>
          <w:szCs w:val="28"/>
        </w:rPr>
        <w:t>.</w:t>
      </w:r>
      <w:r w:rsidRPr="001610E8">
        <w:rPr>
          <w:rFonts w:ascii="Times New Roman" w:eastAsia="Times New Roman" w:hAnsi="Times New Roman" w:cs="Times New Roman"/>
          <w:bCs/>
          <w:iCs/>
          <w:sz w:val="28"/>
          <w:szCs w:val="28"/>
        </w:rPr>
        <w:t xml:space="preserve"> </w:t>
      </w:r>
    </w:p>
    <w:p w:rsidR="00FE3367" w:rsidRDefault="00FE3367" w:rsidP="00A66407">
      <w:pPr>
        <w:pStyle w:val="a9"/>
        <w:ind w:left="0" w:firstLine="567"/>
        <w:jc w:val="center"/>
        <w:rPr>
          <w:rFonts w:ascii="Times New Roman" w:eastAsia="Times New Roman" w:hAnsi="Times New Roman" w:cs="Times New Roman"/>
          <w:b/>
          <w:bCs/>
          <w:iCs/>
          <w:sz w:val="28"/>
          <w:szCs w:val="28"/>
        </w:rPr>
      </w:pPr>
    </w:p>
    <w:p w:rsidR="00A66407" w:rsidRPr="0096019A" w:rsidRDefault="00A66407" w:rsidP="00A66407">
      <w:pPr>
        <w:pStyle w:val="a9"/>
        <w:ind w:left="0" w:firstLine="567"/>
        <w:jc w:val="center"/>
        <w:rPr>
          <w:rFonts w:ascii="Times New Roman" w:eastAsia="Times New Roman" w:hAnsi="Times New Roman" w:cs="Times New Roman"/>
          <w:b/>
          <w:bCs/>
          <w:iCs/>
          <w:sz w:val="28"/>
          <w:szCs w:val="28"/>
        </w:rPr>
      </w:pPr>
      <w:r w:rsidRPr="0096019A">
        <w:rPr>
          <w:rFonts w:ascii="Times New Roman" w:eastAsia="Times New Roman" w:hAnsi="Times New Roman" w:cs="Times New Roman"/>
          <w:b/>
          <w:bCs/>
          <w:iCs/>
          <w:sz w:val="28"/>
          <w:szCs w:val="28"/>
        </w:rPr>
        <w:t>Структура адміністративних витрат</w:t>
      </w:r>
    </w:p>
    <w:p w:rsidR="00A66407" w:rsidRPr="00D3606C" w:rsidRDefault="00A66407" w:rsidP="00A66407">
      <w:pPr>
        <w:pStyle w:val="a3"/>
        <w:spacing w:line="240" w:lineRule="auto"/>
        <w:ind w:firstLine="708"/>
        <w:contextualSpacing/>
        <w:jc w:val="center"/>
        <w:rPr>
          <w:sz w:val="24"/>
        </w:rPr>
      </w:pPr>
      <w:r w:rsidRPr="00D3606C">
        <w:rPr>
          <w:sz w:val="24"/>
        </w:rPr>
        <w:t xml:space="preserve">                                                                                                       </w:t>
      </w:r>
      <w:r w:rsidR="00D3606C">
        <w:rPr>
          <w:sz w:val="24"/>
        </w:rPr>
        <w:t xml:space="preserve">        </w:t>
      </w:r>
      <w:r w:rsidRPr="00D3606C">
        <w:rPr>
          <w:sz w:val="24"/>
        </w:rPr>
        <w:t xml:space="preserve">   Таблиця 10 ( тис. грн.)</w:t>
      </w:r>
    </w:p>
    <w:tbl>
      <w:tblPr>
        <w:tblStyle w:val="ad"/>
        <w:tblW w:w="9875" w:type="dxa"/>
        <w:jc w:val="center"/>
        <w:tblLook w:val="04A0" w:firstRow="1" w:lastRow="0" w:firstColumn="1" w:lastColumn="0" w:noHBand="0" w:noVBand="1"/>
      </w:tblPr>
      <w:tblGrid>
        <w:gridCol w:w="3681"/>
        <w:gridCol w:w="1276"/>
        <w:gridCol w:w="1275"/>
        <w:gridCol w:w="1276"/>
        <w:gridCol w:w="1134"/>
        <w:gridCol w:w="1233"/>
      </w:tblGrid>
      <w:tr w:rsidR="00A66407" w:rsidRPr="007211B6" w:rsidTr="00E33D93">
        <w:trPr>
          <w:trHeight w:val="567"/>
          <w:tblHeader/>
          <w:jc w:val="center"/>
        </w:trPr>
        <w:tc>
          <w:tcPr>
            <w:tcW w:w="3681" w:type="dxa"/>
            <w:vAlign w:val="center"/>
          </w:tcPr>
          <w:p w:rsidR="00A66407" w:rsidRPr="002B383C" w:rsidRDefault="00A66407" w:rsidP="00E33D93">
            <w:pPr>
              <w:jc w:val="center"/>
              <w:rPr>
                <w:rFonts w:ascii="Times New Roman" w:hAnsi="Times New Roman" w:cs="Times New Roman"/>
                <w:iCs/>
                <w:sz w:val="20"/>
                <w:szCs w:val="20"/>
              </w:rPr>
            </w:pPr>
            <w:r w:rsidRPr="002B383C">
              <w:rPr>
                <w:rFonts w:ascii="Times New Roman" w:hAnsi="Times New Roman" w:cs="Times New Roman"/>
                <w:iCs/>
                <w:sz w:val="20"/>
                <w:szCs w:val="20"/>
              </w:rPr>
              <w:t>Показники</w:t>
            </w:r>
          </w:p>
        </w:tc>
        <w:tc>
          <w:tcPr>
            <w:tcW w:w="1276" w:type="dxa"/>
            <w:vAlign w:val="center"/>
          </w:tcPr>
          <w:p w:rsidR="00A66407" w:rsidRPr="0047639A" w:rsidRDefault="00A66407" w:rsidP="00E33D93">
            <w:pPr>
              <w:jc w:val="center"/>
              <w:rPr>
                <w:rFonts w:ascii="Times New Roman" w:hAnsi="Times New Roman" w:cs="Times New Roman"/>
                <w:b/>
                <w:iCs/>
                <w:sz w:val="20"/>
                <w:szCs w:val="20"/>
              </w:rPr>
            </w:pPr>
            <w:r w:rsidRPr="0047639A">
              <w:rPr>
                <w:rFonts w:ascii="Times New Roman" w:hAnsi="Times New Roman" w:cs="Times New Roman"/>
                <w:b/>
                <w:iCs/>
                <w:sz w:val="20"/>
                <w:szCs w:val="20"/>
              </w:rPr>
              <w:t>факт</w:t>
            </w:r>
          </w:p>
          <w:p w:rsidR="00A66407" w:rsidRPr="0047639A" w:rsidRDefault="00A66407" w:rsidP="00E33D93">
            <w:pPr>
              <w:jc w:val="center"/>
              <w:rPr>
                <w:rFonts w:ascii="Times New Roman" w:hAnsi="Times New Roman" w:cs="Times New Roman"/>
                <w:b/>
                <w:iCs/>
                <w:sz w:val="20"/>
                <w:szCs w:val="20"/>
              </w:rPr>
            </w:pPr>
            <w:r w:rsidRPr="0047639A">
              <w:rPr>
                <w:rFonts w:ascii="Times New Roman" w:hAnsi="Times New Roman" w:cs="Times New Roman"/>
                <w:b/>
                <w:iCs/>
                <w:sz w:val="20"/>
                <w:szCs w:val="20"/>
              </w:rPr>
              <w:t>201</w:t>
            </w:r>
            <w:r>
              <w:rPr>
                <w:rFonts w:ascii="Times New Roman" w:hAnsi="Times New Roman" w:cs="Times New Roman"/>
                <w:b/>
                <w:iCs/>
                <w:sz w:val="20"/>
                <w:szCs w:val="20"/>
              </w:rPr>
              <w:t>8</w:t>
            </w:r>
            <w:r w:rsidRPr="0047639A">
              <w:rPr>
                <w:rFonts w:ascii="Times New Roman" w:hAnsi="Times New Roman" w:cs="Times New Roman"/>
                <w:b/>
                <w:iCs/>
                <w:sz w:val="20"/>
                <w:szCs w:val="20"/>
              </w:rPr>
              <w:t xml:space="preserve"> року</w:t>
            </w:r>
          </w:p>
        </w:tc>
        <w:tc>
          <w:tcPr>
            <w:tcW w:w="1275" w:type="dxa"/>
            <w:vAlign w:val="center"/>
          </w:tcPr>
          <w:p w:rsidR="00A66407" w:rsidRPr="0047639A" w:rsidRDefault="00A66407" w:rsidP="00E33D93">
            <w:pPr>
              <w:jc w:val="center"/>
              <w:rPr>
                <w:rFonts w:ascii="Times New Roman" w:hAnsi="Times New Roman" w:cs="Times New Roman"/>
                <w:b/>
                <w:iCs/>
                <w:sz w:val="20"/>
                <w:szCs w:val="20"/>
              </w:rPr>
            </w:pPr>
            <w:r w:rsidRPr="0047639A">
              <w:rPr>
                <w:rFonts w:ascii="Times New Roman" w:hAnsi="Times New Roman" w:cs="Times New Roman"/>
                <w:b/>
                <w:iCs/>
                <w:sz w:val="20"/>
                <w:szCs w:val="20"/>
              </w:rPr>
              <w:t>план</w:t>
            </w:r>
          </w:p>
          <w:p w:rsidR="00A66407" w:rsidRPr="0047639A" w:rsidRDefault="00A66407" w:rsidP="00E33D93">
            <w:pPr>
              <w:jc w:val="center"/>
              <w:rPr>
                <w:rFonts w:ascii="Times New Roman" w:hAnsi="Times New Roman" w:cs="Times New Roman"/>
                <w:b/>
                <w:iCs/>
                <w:sz w:val="20"/>
                <w:szCs w:val="20"/>
              </w:rPr>
            </w:pPr>
            <w:r>
              <w:rPr>
                <w:rFonts w:ascii="Times New Roman" w:hAnsi="Times New Roman" w:cs="Times New Roman"/>
                <w:b/>
                <w:iCs/>
                <w:sz w:val="20"/>
                <w:szCs w:val="20"/>
              </w:rPr>
              <w:t>2019</w:t>
            </w:r>
            <w:r w:rsidRPr="0047639A">
              <w:rPr>
                <w:rFonts w:ascii="Times New Roman" w:hAnsi="Times New Roman" w:cs="Times New Roman"/>
                <w:b/>
                <w:iCs/>
                <w:sz w:val="20"/>
                <w:szCs w:val="20"/>
              </w:rPr>
              <w:t xml:space="preserve">    року</w:t>
            </w:r>
          </w:p>
        </w:tc>
        <w:tc>
          <w:tcPr>
            <w:tcW w:w="1276" w:type="dxa"/>
            <w:vAlign w:val="center"/>
          </w:tcPr>
          <w:p w:rsidR="00A66407" w:rsidRPr="0047639A" w:rsidRDefault="00A66407" w:rsidP="00E33D93">
            <w:pPr>
              <w:jc w:val="center"/>
              <w:rPr>
                <w:rFonts w:ascii="Times New Roman" w:hAnsi="Times New Roman" w:cs="Times New Roman"/>
                <w:b/>
                <w:iCs/>
                <w:sz w:val="20"/>
                <w:szCs w:val="20"/>
              </w:rPr>
            </w:pPr>
            <w:r w:rsidRPr="0047639A">
              <w:rPr>
                <w:rFonts w:ascii="Times New Roman" w:hAnsi="Times New Roman" w:cs="Times New Roman"/>
                <w:b/>
                <w:iCs/>
                <w:sz w:val="20"/>
                <w:szCs w:val="20"/>
              </w:rPr>
              <w:t>факт</w:t>
            </w:r>
          </w:p>
          <w:p w:rsidR="00A66407" w:rsidRPr="0047639A" w:rsidRDefault="00A66407" w:rsidP="00E33D93">
            <w:pPr>
              <w:jc w:val="center"/>
              <w:rPr>
                <w:rFonts w:ascii="Times New Roman" w:hAnsi="Times New Roman" w:cs="Times New Roman"/>
                <w:b/>
                <w:iCs/>
                <w:sz w:val="20"/>
                <w:szCs w:val="20"/>
              </w:rPr>
            </w:pPr>
            <w:r>
              <w:rPr>
                <w:rFonts w:ascii="Times New Roman" w:hAnsi="Times New Roman" w:cs="Times New Roman"/>
                <w:b/>
                <w:iCs/>
                <w:sz w:val="20"/>
                <w:szCs w:val="20"/>
              </w:rPr>
              <w:t>2019</w:t>
            </w:r>
            <w:r w:rsidRPr="0047639A">
              <w:rPr>
                <w:rFonts w:ascii="Times New Roman" w:hAnsi="Times New Roman" w:cs="Times New Roman"/>
                <w:b/>
                <w:iCs/>
                <w:sz w:val="20"/>
                <w:szCs w:val="20"/>
              </w:rPr>
              <w:t xml:space="preserve">  року</w:t>
            </w:r>
          </w:p>
        </w:tc>
        <w:tc>
          <w:tcPr>
            <w:tcW w:w="1134" w:type="dxa"/>
            <w:vAlign w:val="center"/>
          </w:tcPr>
          <w:p w:rsidR="00A66407" w:rsidRPr="0047639A" w:rsidRDefault="00A66407" w:rsidP="00E33D93">
            <w:pPr>
              <w:contextualSpacing/>
              <w:jc w:val="center"/>
              <w:rPr>
                <w:rFonts w:ascii="Times New Roman" w:hAnsi="Times New Roman" w:cs="Times New Roman"/>
                <w:b/>
                <w:iCs/>
                <w:sz w:val="20"/>
                <w:szCs w:val="20"/>
              </w:rPr>
            </w:pPr>
            <w:r w:rsidRPr="0047639A">
              <w:rPr>
                <w:rFonts w:ascii="Times New Roman" w:hAnsi="Times New Roman" w:cs="Times New Roman"/>
                <w:b/>
                <w:iCs/>
                <w:sz w:val="20"/>
                <w:szCs w:val="20"/>
              </w:rPr>
              <w:t>%,</w:t>
            </w:r>
          </w:p>
          <w:p w:rsidR="00A66407" w:rsidRPr="0047639A" w:rsidRDefault="00A66407" w:rsidP="00E33D93">
            <w:pPr>
              <w:contextualSpacing/>
              <w:jc w:val="center"/>
              <w:rPr>
                <w:rFonts w:ascii="Times New Roman" w:hAnsi="Times New Roman" w:cs="Times New Roman"/>
                <w:b/>
                <w:iCs/>
                <w:sz w:val="20"/>
                <w:szCs w:val="20"/>
              </w:rPr>
            </w:pPr>
            <w:r>
              <w:rPr>
                <w:rFonts w:ascii="Times New Roman" w:hAnsi="Times New Roman" w:cs="Times New Roman"/>
                <w:b/>
                <w:iCs/>
                <w:sz w:val="20"/>
                <w:szCs w:val="20"/>
              </w:rPr>
              <w:t>факт 2019</w:t>
            </w:r>
            <w:r w:rsidRPr="0047639A">
              <w:rPr>
                <w:rFonts w:ascii="Times New Roman" w:hAnsi="Times New Roman" w:cs="Times New Roman"/>
                <w:b/>
                <w:iCs/>
                <w:sz w:val="20"/>
                <w:szCs w:val="20"/>
              </w:rPr>
              <w:t>/план</w:t>
            </w:r>
            <w:r w:rsidRPr="0047639A">
              <w:rPr>
                <w:rFonts w:ascii="Times New Roman" w:hAnsi="Times New Roman" w:cs="Times New Roman"/>
                <w:b/>
                <w:sz w:val="20"/>
                <w:szCs w:val="20"/>
                <w:lang w:val="ru-RU" w:eastAsia="ru-RU"/>
              </w:rPr>
              <w:t xml:space="preserve"> </w:t>
            </w:r>
            <w:r>
              <w:rPr>
                <w:rFonts w:ascii="Times New Roman" w:hAnsi="Times New Roman" w:cs="Times New Roman"/>
                <w:b/>
                <w:iCs/>
                <w:sz w:val="20"/>
                <w:szCs w:val="20"/>
              </w:rPr>
              <w:t>2019</w:t>
            </w:r>
          </w:p>
        </w:tc>
        <w:tc>
          <w:tcPr>
            <w:tcW w:w="1233" w:type="dxa"/>
            <w:vAlign w:val="center"/>
          </w:tcPr>
          <w:p w:rsidR="00A66407" w:rsidRPr="0047639A" w:rsidRDefault="00A66407" w:rsidP="00E33D93">
            <w:pPr>
              <w:contextualSpacing/>
              <w:jc w:val="center"/>
              <w:rPr>
                <w:rFonts w:ascii="Times New Roman" w:hAnsi="Times New Roman" w:cs="Times New Roman"/>
                <w:b/>
                <w:iCs/>
                <w:sz w:val="20"/>
                <w:szCs w:val="20"/>
              </w:rPr>
            </w:pPr>
            <w:r w:rsidRPr="0047639A">
              <w:rPr>
                <w:rFonts w:ascii="Times New Roman" w:hAnsi="Times New Roman" w:cs="Times New Roman"/>
                <w:b/>
                <w:iCs/>
                <w:sz w:val="20"/>
                <w:szCs w:val="20"/>
              </w:rPr>
              <w:t>%,</w:t>
            </w:r>
          </w:p>
          <w:p w:rsidR="00A66407" w:rsidRPr="0047639A" w:rsidRDefault="00A66407" w:rsidP="00E33D93">
            <w:pPr>
              <w:jc w:val="center"/>
              <w:rPr>
                <w:rFonts w:ascii="Times New Roman" w:hAnsi="Times New Roman" w:cs="Times New Roman"/>
                <w:b/>
                <w:iCs/>
                <w:sz w:val="20"/>
                <w:szCs w:val="20"/>
              </w:rPr>
            </w:pPr>
            <w:r>
              <w:rPr>
                <w:rFonts w:ascii="Times New Roman" w:hAnsi="Times New Roman" w:cs="Times New Roman"/>
                <w:b/>
                <w:iCs/>
                <w:sz w:val="20"/>
                <w:szCs w:val="20"/>
              </w:rPr>
              <w:t>факт 2019</w:t>
            </w:r>
            <w:r w:rsidRPr="0047639A">
              <w:rPr>
                <w:rFonts w:ascii="Times New Roman" w:hAnsi="Times New Roman" w:cs="Times New Roman"/>
                <w:b/>
                <w:iCs/>
                <w:sz w:val="20"/>
                <w:szCs w:val="20"/>
              </w:rPr>
              <w:t>/факт</w:t>
            </w:r>
            <w:r w:rsidRPr="0047639A">
              <w:rPr>
                <w:rFonts w:ascii="Times New Roman" w:hAnsi="Times New Roman" w:cs="Times New Roman"/>
                <w:b/>
                <w:sz w:val="20"/>
                <w:szCs w:val="20"/>
                <w:lang w:val="ru-RU" w:eastAsia="ru-RU"/>
              </w:rPr>
              <w:t xml:space="preserve"> </w:t>
            </w:r>
            <w:r>
              <w:rPr>
                <w:rFonts w:ascii="Times New Roman" w:hAnsi="Times New Roman" w:cs="Times New Roman"/>
                <w:b/>
                <w:iCs/>
                <w:sz w:val="20"/>
                <w:szCs w:val="20"/>
              </w:rPr>
              <w:t>2018</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b/>
                <w:sz w:val="20"/>
                <w:szCs w:val="20"/>
              </w:rPr>
            </w:pPr>
            <w:r w:rsidRPr="00D62705">
              <w:rPr>
                <w:rFonts w:ascii="Times New Roman" w:hAnsi="Times New Roman" w:cs="Times New Roman"/>
                <w:b/>
                <w:sz w:val="20"/>
                <w:szCs w:val="20"/>
              </w:rPr>
              <w:t>Адміністративні витрати, у тому числі:</w:t>
            </w:r>
          </w:p>
        </w:tc>
        <w:tc>
          <w:tcPr>
            <w:tcW w:w="1276" w:type="dxa"/>
            <w:vAlign w:val="center"/>
          </w:tcPr>
          <w:p w:rsidR="00A66407" w:rsidRPr="00D62705" w:rsidRDefault="00A66407" w:rsidP="00E33D93">
            <w:pPr>
              <w:jc w:val="center"/>
              <w:rPr>
                <w:rFonts w:ascii="Times New Roman" w:hAnsi="Times New Roman" w:cs="Times New Roman"/>
                <w:b/>
                <w:sz w:val="20"/>
                <w:szCs w:val="20"/>
              </w:rPr>
            </w:pPr>
            <w:r w:rsidRPr="00D62705">
              <w:rPr>
                <w:rFonts w:ascii="Times New Roman" w:hAnsi="Times New Roman" w:cs="Times New Roman"/>
                <w:b/>
                <w:sz w:val="20"/>
                <w:szCs w:val="20"/>
              </w:rPr>
              <w:t>722 853</w:t>
            </w:r>
          </w:p>
        </w:tc>
        <w:tc>
          <w:tcPr>
            <w:tcW w:w="1275" w:type="dxa"/>
            <w:vAlign w:val="center"/>
          </w:tcPr>
          <w:p w:rsidR="00A66407" w:rsidRPr="00D62705" w:rsidRDefault="00A66407" w:rsidP="00E33D93">
            <w:pPr>
              <w:jc w:val="center"/>
              <w:rPr>
                <w:rFonts w:ascii="Times New Roman" w:hAnsi="Times New Roman" w:cs="Times New Roman"/>
                <w:b/>
                <w:sz w:val="20"/>
                <w:szCs w:val="20"/>
              </w:rPr>
            </w:pPr>
            <w:r w:rsidRPr="00D62705">
              <w:rPr>
                <w:rFonts w:ascii="Times New Roman" w:hAnsi="Times New Roman" w:cs="Times New Roman"/>
                <w:b/>
                <w:sz w:val="20"/>
                <w:szCs w:val="20"/>
              </w:rPr>
              <w:t>864 268</w:t>
            </w:r>
          </w:p>
        </w:tc>
        <w:tc>
          <w:tcPr>
            <w:tcW w:w="1276" w:type="dxa"/>
            <w:vAlign w:val="center"/>
          </w:tcPr>
          <w:p w:rsidR="00A66407" w:rsidRPr="00D62705" w:rsidRDefault="00A66407" w:rsidP="00E33D93">
            <w:pPr>
              <w:jc w:val="center"/>
              <w:rPr>
                <w:rFonts w:ascii="Times New Roman" w:hAnsi="Times New Roman" w:cs="Times New Roman"/>
                <w:b/>
                <w:sz w:val="20"/>
                <w:szCs w:val="20"/>
              </w:rPr>
            </w:pPr>
            <w:r w:rsidRPr="00D62705">
              <w:rPr>
                <w:rFonts w:ascii="Times New Roman" w:hAnsi="Times New Roman" w:cs="Times New Roman"/>
                <w:b/>
                <w:sz w:val="20"/>
                <w:szCs w:val="20"/>
              </w:rPr>
              <w:t>873 972</w:t>
            </w:r>
          </w:p>
        </w:tc>
        <w:tc>
          <w:tcPr>
            <w:tcW w:w="1134" w:type="dxa"/>
            <w:vAlign w:val="center"/>
          </w:tcPr>
          <w:p w:rsidR="00A66407" w:rsidRPr="00D62705" w:rsidRDefault="00A66407" w:rsidP="00E33D93">
            <w:pPr>
              <w:jc w:val="center"/>
              <w:rPr>
                <w:rFonts w:ascii="Times New Roman" w:hAnsi="Times New Roman" w:cs="Times New Roman"/>
                <w:b/>
                <w:sz w:val="20"/>
                <w:szCs w:val="20"/>
              </w:rPr>
            </w:pPr>
            <w:r w:rsidRPr="00D62705">
              <w:rPr>
                <w:rFonts w:ascii="Times New Roman" w:hAnsi="Times New Roman" w:cs="Times New Roman"/>
                <w:b/>
                <w:sz w:val="20"/>
                <w:szCs w:val="20"/>
              </w:rPr>
              <w:t>101</w:t>
            </w:r>
          </w:p>
        </w:tc>
        <w:tc>
          <w:tcPr>
            <w:tcW w:w="1233" w:type="dxa"/>
            <w:vAlign w:val="center"/>
          </w:tcPr>
          <w:p w:rsidR="00A66407" w:rsidRPr="00D62705" w:rsidRDefault="00A66407" w:rsidP="00E33D93">
            <w:pPr>
              <w:jc w:val="center"/>
              <w:rPr>
                <w:rFonts w:ascii="Times New Roman" w:hAnsi="Times New Roman" w:cs="Times New Roman"/>
                <w:b/>
                <w:sz w:val="20"/>
                <w:szCs w:val="20"/>
              </w:rPr>
            </w:pPr>
            <w:r w:rsidRPr="00D62705">
              <w:rPr>
                <w:rFonts w:ascii="Times New Roman" w:hAnsi="Times New Roman" w:cs="Times New Roman"/>
                <w:b/>
                <w:sz w:val="20"/>
                <w:szCs w:val="20"/>
              </w:rPr>
              <w:t>121</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пов'язані з використанням власних службових автомобілів</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27 526</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31 414</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31 211</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99</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113</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страхові послуги</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29</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1 600</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19</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66</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аудиторські послуги</w:t>
            </w:r>
          </w:p>
        </w:tc>
        <w:tc>
          <w:tcPr>
            <w:tcW w:w="1276" w:type="dxa"/>
            <w:vAlign w:val="center"/>
          </w:tcPr>
          <w:p w:rsidR="00A66407" w:rsidRPr="00D62705" w:rsidRDefault="00A66407" w:rsidP="00E33D93">
            <w:pPr>
              <w:jc w:val="center"/>
              <w:rPr>
                <w:rFonts w:ascii="Times New Roman" w:hAnsi="Times New Roman" w:cs="Times New Roman"/>
                <w:sz w:val="20"/>
                <w:szCs w:val="20"/>
              </w:rPr>
            </w:pP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3 478</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3 478</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100</w:t>
            </w:r>
          </w:p>
        </w:tc>
        <w:tc>
          <w:tcPr>
            <w:tcW w:w="1233" w:type="dxa"/>
            <w:vAlign w:val="center"/>
          </w:tcPr>
          <w:p w:rsidR="00A66407" w:rsidRPr="00D62705" w:rsidRDefault="00A66407" w:rsidP="00E33D93">
            <w:pPr>
              <w:jc w:val="center"/>
              <w:rPr>
                <w:rFonts w:ascii="Times New Roman" w:hAnsi="Times New Roman" w:cs="Times New Roman"/>
                <w:sz w:val="20"/>
                <w:szCs w:val="20"/>
              </w:rPr>
            </w:pP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службові відрядження</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13 275</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14 135</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14 365</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102</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108</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зв’язок</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2 906</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3 241</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3 258</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101</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112</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оплату праці</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454 429</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551 174</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558 896</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101</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123</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відрахування на соціальні заходи</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87 823</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106 275</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107 499</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101</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122</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амортизація основних засобів і нематеріальних активів загальногосподарського призначення</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30 820</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40 889</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42 429</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104</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138</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операційну оренду основних засобів та роялті, що мають загальногосподарське призначення</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2 242</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3 492</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2 013</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58</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90</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організаційно-технічні послуги</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2 425</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1 455</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1 384</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95</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57</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консультаційні та інформаційні послуги</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767</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1 000</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773</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77</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101</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юридичні послуги</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900</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3 896</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4 209</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108</w:t>
            </w:r>
          </w:p>
        </w:tc>
        <w:tc>
          <w:tcPr>
            <w:tcW w:w="1233" w:type="dxa"/>
            <w:vAlign w:val="center"/>
          </w:tcPr>
          <w:p w:rsidR="00A66407" w:rsidRPr="00D62705" w:rsidRDefault="00FE3367" w:rsidP="00FE3367">
            <w:pPr>
              <w:jc w:val="center"/>
              <w:rPr>
                <w:rFonts w:ascii="Times New Roman" w:hAnsi="Times New Roman" w:cs="Times New Roman"/>
                <w:sz w:val="20"/>
                <w:szCs w:val="20"/>
              </w:rPr>
            </w:pPr>
            <w:r>
              <w:rPr>
                <w:rFonts w:ascii="Times New Roman" w:hAnsi="Times New Roman" w:cs="Times New Roman"/>
                <w:sz w:val="20"/>
                <w:szCs w:val="20"/>
              </w:rPr>
              <w:t>у 4 р.</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послуги з оцінки майна</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821</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859</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16</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охорону праці загальногосподарського персоналу</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195</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142</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263</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185</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135</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підвищення кваліфікації та перепідготовку кадрів</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659</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410</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417</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102</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63</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витрати на утримання основних фондів, інших необоротних активів загальногосподарського використання,  у тому числі:</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34 513</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27 943</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31 598</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113</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92</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lang w:val="ru-RU"/>
              </w:rPr>
              <w:t xml:space="preserve">        </w:t>
            </w:r>
            <w:r w:rsidRPr="00D62705">
              <w:rPr>
                <w:rFonts w:ascii="Times New Roman" w:hAnsi="Times New Roman" w:cs="Times New Roman"/>
                <w:sz w:val="20"/>
                <w:szCs w:val="20"/>
              </w:rPr>
              <w:t>витрати на поліпшення основних фондів</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4 570</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1 926</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2 630</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137</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58</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паливо</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1 130</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1 306</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1 265</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97</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112</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сировина та матеріали</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8 880</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11 555</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8 984</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78</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101</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електроенергія</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7 332</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8 095</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7 955</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98</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108</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утримання приміщень, комунальні послуги тощо</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4 154</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4 199</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3 519</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84</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85</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обов'язкові платежі та збори</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14 936</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14 569</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14 496</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99</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97</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послуги банку</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1 229</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3 482</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4 495</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129</w:t>
            </w:r>
          </w:p>
        </w:tc>
        <w:tc>
          <w:tcPr>
            <w:tcW w:w="1233" w:type="dxa"/>
            <w:vAlign w:val="center"/>
          </w:tcPr>
          <w:p w:rsidR="00A66407" w:rsidRPr="00D62705" w:rsidRDefault="00FE3367" w:rsidP="00E33D93">
            <w:pPr>
              <w:jc w:val="center"/>
              <w:rPr>
                <w:rFonts w:ascii="Times New Roman" w:hAnsi="Times New Roman" w:cs="Times New Roman"/>
                <w:sz w:val="20"/>
                <w:szCs w:val="20"/>
              </w:rPr>
            </w:pPr>
            <w:r>
              <w:rPr>
                <w:rFonts w:ascii="Times New Roman" w:hAnsi="Times New Roman" w:cs="Times New Roman"/>
                <w:sz w:val="20"/>
                <w:szCs w:val="20"/>
              </w:rPr>
              <w:t>у 3,7 р.</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компенсація податку на землю</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908</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994</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986</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99</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109</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послуги стороннього автотранспорту</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663</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21</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21</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100</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участь в семінарах, виставках</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1 932</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601</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1 014</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169</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52</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охорона навколишнього середовища</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55</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753</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672</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89</w:t>
            </w:r>
          </w:p>
        </w:tc>
        <w:tc>
          <w:tcPr>
            <w:tcW w:w="1233" w:type="dxa"/>
            <w:vAlign w:val="center"/>
          </w:tcPr>
          <w:p w:rsidR="00A66407" w:rsidRPr="00D62705" w:rsidRDefault="00A66407" w:rsidP="00E33D93">
            <w:pPr>
              <w:jc w:val="center"/>
              <w:rPr>
                <w:rFonts w:ascii="Times New Roman" w:hAnsi="Times New Roman" w:cs="Times New Roman"/>
                <w:sz w:val="20"/>
                <w:szCs w:val="20"/>
              </w:rPr>
            </w:pP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пожежна безпека</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238</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170</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171</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101</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72</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розміщення інформації в ЗМІ та на інтернет сайтах</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46</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51</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132</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259</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287</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lastRenderedPageBreak/>
              <w:t>послуги СЕС</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35</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48</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56</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117</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160</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медобстеження працівників</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44</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578</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755</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131</w:t>
            </w:r>
          </w:p>
        </w:tc>
        <w:tc>
          <w:tcPr>
            <w:tcW w:w="1233" w:type="dxa"/>
            <w:vAlign w:val="center"/>
          </w:tcPr>
          <w:p w:rsidR="00A66407" w:rsidRPr="00D62705" w:rsidRDefault="00A66407" w:rsidP="00E33D93">
            <w:pPr>
              <w:jc w:val="center"/>
              <w:rPr>
                <w:rFonts w:ascii="Times New Roman" w:hAnsi="Times New Roman" w:cs="Times New Roman"/>
                <w:sz w:val="20"/>
                <w:szCs w:val="20"/>
              </w:rPr>
            </w:pP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послуги охорони та зберігання майна</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81</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88</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100</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114</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123</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довідкова література, підписка на періодичні видання</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834</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958</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982</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103</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118</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перерахування профкому</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19 582</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22 822</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23 522</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103</w:t>
            </w:r>
          </w:p>
        </w:tc>
        <w:tc>
          <w:tcPr>
            <w:tcW w:w="1233"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120</w:t>
            </w:r>
          </w:p>
        </w:tc>
      </w:tr>
      <w:tr w:rsidR="00A66407" w:rsidRPr="007211B6" w:rsidTr="00E33D93">
        <w:trPr>
          <w:trHeight w:val="284"/>
          <w:jc w:val="center"/>
        </w:trPr>
        <w:tc>
          <w:tcPr>
            <w:tcW w:w="3681" w:type="dxa"/>
            <w:vAlign w:val="center"/>
          </w:tcPr>
          <w:p w:rsidR="00A66407" w:rsidRPr="00D62705" w:rsidRDefault="00A66407" w:rsidP="00E33D93">
            <w:pPr>
              <w:rPr>
                <w:rFonts w:ascii="Times New Roman" w:hAnsi="Times New Roman" w:cs="Times New Roman"/>
                <w:sz w:val="20"/>
                <w:szCs w:val="20"/>
              </w:rPr>
            </w:pPr>
            <w:r w:rsidRPr="00D62705">
              <w:rPr>
                <w:rFonts w:ascii="Times New Roman" w:hAnsi="Times New Roman" w:cs="Times New Roman"/>
                <w:sz w:val="20"/>
                <w:szCs w:val="20"/>
              </w:rPr>
              <w:t>інші</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1 444</w:t>
            </w:r>
          </w:p>
        </w:tc>
        <w:tc>
          <w:tcPr>
            <w:tcW w:w="1275"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2 575</w:t>
            </w:r>
          </w:p>
        </w:tc>
        <w:tc>
          <w:tcPr>
            <w:tcW w:w="1276"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3 019</w:t>
            </w:r>
          </w:p>
        </w:tc>
        <w:tc>
          <w:tcPr>
            <w:tcW w:w="1134" w:type="dxa"/>
            <w:vAlign w:val="center"/>
          </w:tcPr>
          <w:p w:rsidR="00A66407" w:rsidRPr="00D62705" w:rsidRDefault="00A66407" w:rsidP="00E33D93">
            <w:pPr>
              <w:jc w:val="center"/>
              <w:rPr>
                <w:rFonts w:ascii="Times New Roman" w:hAnsi="Times New Roman" w:cs="Times New Roman"/>
                <w:sz w:val="20"/>
                <w:szCs w:val="20"/>
              </w:rPr>
            </w:pPr>
            <w:r w:rsidRPr="00D62705">
              <w:rPr>
                <w:rFonts w:ascii="Times New Roman" w:hAnsi="Times New Roman" w:cs="Times New Roman"/>
                <w:sz w:val="20"/>
                <w:szCs w:val="20"/>
              </w:rPr>
              <w:t>117</w:t>
            </w:r>
          </w:p>
        </w:tc>
        <w:tc>
          <w:tcPr>
            <w:tcW w:w="1233" w:type="dxa"/>
            <w:vAlign w:val="center"/>
          </w:tcPr>
          <w:p w:rsidR="00A66407" w:rsidRPr="00D62705" w:rsidRDefault="00FE3367" w:rsidP="00E33D93">
            <w:pPr>
              <w:jc w:val="center"/>
              <w:rPr>
                <w:rFonts w:ascii="Times New Roman" w:hAnsi="Times New Roman" w:cs="Times New Roman"/>
                <w:sz w:val="20"/>
                <w:szCs w:val="20"/>
              </w:rPr>
            </w:pPr>
            <w:r>
              <w:rPr>
                <w:rFonts w:ascii="Times New Roman" w:hAnsi="Times New Roman" w:cs="Times New Roman"/>
                <w:sz w:val="20"/>
                <w:szCs w:val="20"/>
              </w:rPr>
              <w:t>у 2 р.</w:t>
            </w:r>
          </w:p>
        </w:tc>
      </w:tr>
    </w:tbl>
    <w:p w:rsidR="00A66407" w:rsidRDefault="00A66407" w:rsidP="00862FD9">
      <w:pPr>
        <w:spacing w:after="0" w:line="240" w:lineRule="auto"/>
        <w:ind w:firstLine="567"/>
        <w:jc w:val="both"/>
        <w:rPr>
          <w:rFonts w:ascii="Times New Roman" w:eastAsia="Times New Roman" w:hAnsi="Times New Roman" w:cs="Times New Roman"/>
          <w:bCs/>
          <w:iCs/>
          <w:sz w:val="28"/>
          <w:szCs w:val="28"/>
        </w:rPr>
      </w:pPr>
      <w:r w:rsidRPr="00F45788">
        <w:rPr>
          <w:rFonts w:ascii="Times New Roman" w:eastAsia="Times New Roman" w:hAnsi="Times New Roman" w:cs="Times New Roman"/>
          <w:bCs/>
          <w:iCs/>
          <w:sz w:val="28"/>
          <w:szCs w:val="28"/>
        </w:rPr>
        <w:t>Фінансовий план ДП «АМПУ» на 2019 рік затверджено лише у грудні 2019 року розпорядженням Кабінету Міністрів України від 11.12.2019 року № 1271-р.</w:t>
      </w:r>
      <w:r w:rsidR="00862FD9" w:rsidRPr="00862FD9">
        <w:rPr>
          <w:rFonts w:ascii="Times New Roman" w:eastAsia="Times New Roman" w:hAnsi="Times New Roman" w:cs="Times New Roman"/>
          <w:bCs/>
          <w:iCs/>
          <w:sz w:val="28"/>
          <w:szCs w:val="28"/>
        </w:rPr>
        <w:t xml:space="preserve"> </w:t>
      </w:r>
      <w:r w:rsidRPr="006F3D32">
        <w:rPr>
          <w:rFonts w:ascii="Times New Roman" w:hAnsi="Times New Roman" w:cs="Times New Roman"/>
          <w:sz w:val="28"/>
          <w:szCs w:val="28"/>
        </w:rPr>
        <w:t>Планові показники</w:t>
      </w:r>
      <w:r>
        <w:rPr>
          <w:rFonts w:ascii="Times New Roman" w:hAnsi="Times New Roman" w:cs="Times New Roman"/>
          <w:sz w:val="28"/>
          <w:szCs w:val="28"/>
        </w:rPr>
        <w:t xml:space="preserve"> фінансового плану ДП «АМПУ» </w:t>
      </w:r>
      <w:r w:rsidRPr="006F3D32">
        <w:rPr>
          <w:rFonts w:ascii="Times New Roman" w:hAnsi="Times New Roman" w:cs="Times New Roman"/>
          <w:sz w:val="28"/>
          <w:szCs w:val="28"/>
          <w:lang w:val="en-US"/>
        </w:rPr>
        <w:t>I</w:t>
      </w:r>
      <w:r w:rsidRPr="006F3D32">
        <w:rPr>
          <w:rFonts w:ascii="Times New Roman" w:hAnsi="Times New Roman" w:cs="Times New Roman"/>
          <w:sz w:val="28"/>
          <w:szCs w:val="28"/>
        </w:rPr>
        <w:t>-</w:t>
      </w:r>
      <w:r w:rsidRPr="006F3D32">
        <w:rPr>
          <w:rFonts w:ascii="Times New Roman" w:hAnsi="Times New Roman" w:cs="Times New Roman"/>
          <w:sz w:val="28"/>
          <w:szCs w:val="28"/>
          <w:lang w:val="en-US"/>
        </w:rPr>
        <w:t>III</w:t>
      </w:r>
      <w:r w:rsidRPr="006F3D32">
        <w:rPr>
          <w:rFonts w:ascii="Times New Roman" w:hAnsi="Times New Roman" w:cs="Times New Roman"/>
          <w:sz w:val="28"/>
          <w:szCs w:val="28"/>
        </w:rPr>
        <w:t xml:space="preserve"> кварталів 2019 року встановлені відповідно до фактично досягнутих. </w:t>
      </w:r>
      <w:r w:rsidRPr="00F45788">
        <w:rPr>
          <w:rFonts w:ascii="Times New Roman" w:eastAsia="Times New Roman" w:hAnsi="Times New Roman" w:cs="Times New Roman"/>
          <w:bCs/>
          <w:iCs/>
          <w:sz w:val="28"/>
          <w:szCs w:val="28"/>
        </w:rPr>
        <w:t xml:space="preserve"> При погодженні проекту фінансового плану ДП «АМПУ» у листопаді 2019 року</w:t>
      </w:r>
      <w:r w:rsidR="00862FD9">
        <w:rPr>
          <w:rFonts w:ascii="Times New Roman" w:eastAsia="Times New Roman" w:hAnsi="Times New Roman" w:cs="Times New Roman"/>
          <w:bCs/>
          <w:iCs/>
          <w:sz w:val="28"/>
          <w:szCs w:val="28"/>
          <w:lang w:val="ru-RU"/>
        </w:rPr>
        <w:t>,</w:t>
      </w:r>
      <w:r w:rsidRPr="00F45788">
        <w:rPr>
          <w:rFonts w:ascii="Times New Roman" w:eastAsia="Times New Roman" w:hAnsi="Times New Roman" w:cs="Times New Roman"/>
          <w:bCs/>
          <w:iCs/>
          <w:sz w:val="28"/>
          <w:szCs w:val="28"/>
        </w:rPr>
        <w:t xml:space="preserve"> за пропозицією Міністерства фінансів України т</w:t>
      </w:r>
      <w:r w:rsidR="00A22249">
        <w:rPr>
          <w:rFonts w:ascii="Times New Roman" w:eastAsia="Times New Roman" w:hAnsi="Times New Roman" w:cs="Times New Roman"/>
          <w:bCs/>
          <w:iCs/>
          <w:sz w:val="28"/>
          <w:szCs w:val="28"/>
        </w:rPr>
        <w:t>а згідно п</w:t>
      </w:r>
      <w:r w:rsidR="00D04D51">
        <w:rPr>
          <w:rFonts w:ascii="Times New Roman" w:eastAsia="Times New Roman" w:hAnsi="Times New Roman" w:cs="Times New Roman"/>
          <w:bCs/>
          <w:iCs/>
          <w:sz w:val="28"/>
          <w:szCs w:val="28"/>
        </w:rPr>
        <w:t xml:space="preserve">ротоколу наради під </w:t>
      </w:r>
      <w:r w:rsidRPr="00F45788">
        <w:rPr>
          <w:rFonts w:ascii="Times New Roman" w:eastAsia="Times New Roman" w:hAnsi="Times New Roman" w:cs="Times New Roman"/>
          <w:bCs/>
          <w:iCs/>
          <w:sz w:val="28"/>
          <w:szCs w:val="28"/>
        </w:rPr>
        <w:t>головуванням Державного секретаря Міністерства інфраструктури України з обговорення пропозицій та зауважень до проекту фінансового плану ДП «АМПУ » на 2019 рік від 22.11.2019</w:t>
      </w:r>
      <w:r w:rsidR="00862FD9" w:rsidRPr="00862FD9">
        <w:rPr>
          <w:rFonts w:ascii="Times New Roman" w:eastAsia="Times New Roman" w:hAnsi="Times New Roman" w:cs="Times New Roman"/>
          <w:bCs/>
          <w:iCs/>
          <w:sz w:val="28"/>
          <w:szCs w:val="28"/>
        </w:rPr>
        <w:t>,</w:t>
      </w:r>
      <w:r w:rsidRPr="00F45788">
        <w:rPr>
          <w:rFonts w:ascii="Times New Roman" w:eastAsia="Times New Roman" w:hAnsi="Times New Roman" w:cs="Times New Roman"/>
          <w:bCs/>
          <w:iCs/>
          <w:sz w:val="28"/>
          <w:szCs w:val="28"/>
        </w:rPr>
        <w:t xml:space="preserve"> планові витрати на І</w:t>
      </w:r>
      <w:r w:rsidRPr="00F45788">
        <w:rPr>
          <w:rFonts w:ascii="Times New Roman" w:eastAsia="Times New Roman" w:hAnsi="Times New Roman" w:cs="Times New Roman"/>
          <w:bCs/>
          <w:iCs/>
          <w:sz w:val="28"/>
          <w:szCs w:val="28"/>
          <w:lang w:val="en-US"/>
        </w:rPr>
        <w:t>V</w:t>
      </w:r>
      <w:r w:rsidRPr="00F45788">
        <w:rPr>
          <w:rFonts w:ascii="Times New Roman" w:eastAsia="Times New Roman" w:hAnsi="Times New Roman" w:cs="Times New Roman"/>
          <w:bCs/>
          <w:iCs/>
          <w:sz w:val="28"/>
          <w:szCs w:val="28"/>
        </w:rPr>
        <w:t xml:space="preserve"> квартал 2019 рік було зменшено. Проте договори на закупівлю  робіт та послуг на той час були укладені та акти виконаних робіт</w:t>
      </w:r>
      <w:r w:rsidR="0060147C">
        <w:rPr>
          <w:rFonts w:ascii="Times New Roman" w:eastAsia="Times New Roman" w:hAnsi="Times New Roman" w:cs="Times New Roman"/>
          <w:bCs/>
          <w:iCs/>
          <w:sz w:val="28"/>
          <w:szCs w:val="28"/>
        </w:rPr>
        <w:t xml:space="preserve"> підписані. </w:t>
      </w:r>
      <w:r w:rsidR="0060147C" w:rsidRPr="0060147C">
        <w:rPr>
          <w:rFonts w:ascii="Times New Roman" w:eastAsia="Times New Roman" w:hAnsi="Times New Roman" w:cs="Times New Roman"/>
          <w:bCs/>
          <w:iCs/>
          <w:sz w:val="28"/>
          <w:szCs w:val="28"/>
        </w:rPr>
        <w:t>Таким чином</w:t>
      </w:r>
      <w:r w:rsidR="0060147C">
        <w:rPr>
          <w:rFonts w:ascii="Times New Roman" w:eastAsia="Times New Roman" w:hAnsi="Times New Roman" w:cs="Times New Roman"/>
          <w:bCs/>
          <w:iCs/>
          <w:sz w:val="28"/>
          <w:szCs w:val="28"/>
          <w:lang w:val="ru-RU"/>
        </w:rPr>
        <w:t>,</w:t>
      </w:r>
      <w:r w:rsidRPr="00F45788">
        <w:rPr>
          <w:rFonts w:ascii="Times New Roman" w:eastAsia="Times New Roman" w:hAnsi="Times New Roman" w:cs="Times New Roman"/>
          <w:bCs/>
          <w:iCs/>
          <w:sz w:val="28"/>
          <w:szCs w:val="28"/>
        </w:rPr>
        <w:t xml:space="preserve"> відбулось збільшення фактичних витрат по відношенню до зменшених планових адміністративних витрат І</w:t>
      </w:r>
      <w:r w:rsidRPr="00F45788">
        <w:rPr>
          <w:rFonts w:ascii="Times New Roman" w:eastAsia="Times New Roman" w:hAnsi="Times New Roman" w:cs="Times New Roman"/>
          <w:bCs/>
          <w:iCs/>
          <w:sz w:val="28"/>
          <w:szCs w:val="28"/>
          <w:lang w:val="en-US"/>
        </w:rPr>
        <w:t>V</w:t>
      </w:r>
      <w:r w:rsidRPr="00F45788">
        <w:rPr>
          <w:rFonts w:ascii="Times New Roman" w:eastAsia="Times New Roman" w:hAnsi="Times New Roman" w:cs="Times New Roman"/>
          <w:bCs/>
          <w:iCs/>
          <w:sz w:val="28"/>
          <w:szCs w:val="28"/>
          <w:lang w:val="ru-RU"/>
        </w:rPr>
        <w:t xml:space="preserve"> </w:t>
      </w:r>
      <w:r w:rsidRPr="00F45788">
        <w:rPr>
          <w:rFonts w:ascii="Times New Roman" w:eastAsia="Times New Roman" w:hAnsi="Times New Roman" w:cs="Times New Roman"/>
          <w:bCs/>
          <w:iCs/>
          <w:sz w:val="28"/>
          <w:szCs w:val="28"/>
        </w:rPr>
        <w:t xml:space="preserve">кварталу 2019 </w:t>
      </w:r>
      <w:r>
        <w:rPr>
          <w:rFonts w:ascii="Times New Roman" w:eastAsia="Times New Roman" w:hAnsi="Times New Roman" w:cs="Times New Roman"/>
          <w:bCs/>
          <w:iCs/>
          <w:sz w:val="28"/>
          <w:szCs w:val="28"/>
        </w:rPr>
        <w:t xml:space="preserve">року </w:t>
      </w:r>
      <w:r w:rsidR="0060147C">
        <w:rPr>
          <w:rFonts w:ascii="Times New Roman" w:eastAsia="Times New Roman" w:hAnsi="Times New Roman" w:cs="Times New Roman"/>
          <w:bCs/>
          <w:iCs/>
          <w:sz w:val="28"/>
          <w:szCs w:val="28"/>
        </w:rPr>
        <w:t>за</w:t>
      </w:r>
      <w:r w:rsidR="0060147C" w:rsidRPr="001A5C3D">
        <w:rPr>
          <w:rFonts w:ascii="Times New Roman" w:eastAsia="Times New Roman" w:hAnsi="Times New Roman" w:cs="Times New Roman"/>
          <w:sz w:val="28"/>
          <w:szCs w:val="28"/>
        </w:rPr>
        <w:t xml:space="preserve"> </w:t>
      </w:r>
      <w:r w:rsidR="0060147C">
        <w:rPr>
          <w:rFonts w:ascii="Times New Roman" w:eastAsia="Times New Roman" w:hAnsi="Times New Roman" w:cs="Times New Roman"/>
          <w:sz w:val="28"/>
          <w:szCs w:val="28"/>
        </w:rPr>
        <w:t xml:space="preserve">більшістю статей </w:t>
      </w:r>
      <w:r>
        <w:rPr>
          <w:rFonts w:ascii="Times New Roman" w:eastAsia="Times New Roman" w:hAnsi="Times New Roman" w:cs="Times New Roman"/>
          <w:bCs/>
          <w:iCs/>
          <w:sz w:val="28"/>
          <w:szCs w:val="28"/>
        </w:rPr>
        <w:t>(таблиця 10).</w:t>
      </w:r>
    </w:p>
    <w:p w:rsidR="00A66407" w:rsidRDefault="00A66407" w:rsidP="00A66407">
      <w:pPr>
        <w:pStyle w:val="a9"/>
        <w:spacing w:after="0" w:line="264" w:lineRule="auto"/>
        <w:ind w:left="567"/>
        <w:jc w:val="both"/>
        <w:rPr>
          <w:rFonts w:ascii="Times New Roman" w:eastAsia="Calibri" w:hAnsi="Times New Roman" w:cs="Times New Roman"/>
          <w:sz w:val="28"/>
          <w:szCs w:val="28"/>
        </w:rPr>
      </w:pPr>
    </w:p>
    <w:p w:rsidR="00A66407" w:rsidRPr="00FF46C0" w:rsidRDefault="00A66407" w:rsidP="00A66407">
      <w:pPr>
        <w:spacing w:after="0" w:line="240" w:lineRule="auto"/>
        <w:ind w:firstLine="567"/>
        <w:jc w:val="both"/>
        <w:rPr>
          <w:rFonts w:ascii="Times New Roman" w:eastAsia="Times New Roman" w:hAnsi="Times New Roman" w:cs="Times New Roman"/>
          <w:bCs/>
          <w:iCs/>
          <w:sz w:val="28"/>
          <w:szCs w:val="28"/>
        </w:rPr>
      </w:pPr>
      <w:r>
        <w:rPr>
          <w:rFonts w:ascii="Times New Roman" w:hAnsi="Times New Roman" w:cs="Times New Roman"/>
          <w:sz w:val="28"/>
          <w:szCs w:val="28"/>
        </w:rPr>
        <w:t xml:space="preserve">Крім цього, з інших причин, збільшення </w:t>
      </w:r>
      <w:r w:rsidRPr="00FF46C0">
        <w:rPr>
          <w:rFonts w:ascii="Times New Roman" w:eastAsia="Times New Roman" w:hAnsi="Times New Roman" w:cs="Times New Roman"/>
          <w:bCs/>
          <w:iCs/>
          <w:sz w:val="28"/>
          <w:szCs w:val="28"/>
        </w:rPr>
        <w:t xml:space="preserve">відносно </w:t>
      </w:r>
      <w:r>
        <w:rPr>
          <w:rFonts w:ascii="Times New Roman" w:eastAsia="Times New Roman" w:hAnsi="Times New Roman" w:cs="Times New Roman"/>
          <w:bCs/>
          <w:iCs/>
          <w:sz w:val="28"/>
          <w:szCs w:val="28"/>
        </w:rPr>
        <w:t xml:space="preserve">планового </w:t>
      </w:r>
      <w:r w:rsidRPr="00FF46C0">
        <w:rPr>
          <w:rFonts w:ascii="Times New Roman" w:eastAsia="Times New Roman" w:hAnsi="Times New Roman" w:cs="Times New Roman"/>
          <w:bCs/>
          <w:iCs/>
          <w:sz w:val="28"/>
          <w:szCs w:val="28"/>
        </w:rPr>
        <w:t xml:space="preserve">показника </w:t>
      </w:r>
      <w:r>
        <w:rPr>
          <w:rFonts w:ascii="Times New Roman" w:eastAsia="Times New Roman" w:hAnsi="Times New Roman" w:cs="Times New Roman"/>
          <w:bCs/>
          <w:iCs/>
          <w:sz w:val="28"/>
          <w:szCs w:val="28"/>
        </w:rPr>
        <w:t>2019</w:t>
      </w:r>
      <w:r w:rsidRPr="00FF46C0">
        <w:rPr>
          <w:rFonts w:ascii="Times New Roman" w:eastAsia="Times New Roman" w:hAnsi="Times New Roman" w:cs="Times New Roman"/>
          <w:bCs/>
          <w:iCs/>
          <w:sz w:val="28"/>
          <w:szCs w:val="28"/>
        </w:rPr>
        <w:t xml:space="preserve"> року відбулось за рахунок</w:t>
      </w:r>
      <w:r>
        <w:rPr>
          <w:rFonts w:ascii="Times New Roman" w:eastAsia="Times New Roman" w:hAnsi="Times New Roman" w:cs="Times New Roman"/>
          <w:bCs/>
          <w:iCs/>
          <w:sz w:val="28"/>
          <w:szCs w:val="28"/>
        </w:rPr>
        <w:t xml:space="preserve"> наступних витрат</w:t>
      </w:r>
      <w:r w:rsidRPr="00FF46C0">
        <w:rPr>
          <w:rFonts w:ascii="Times New Roman" w:eastAsia="Times New Roman" w:hAnsi="Times New Roman" w:cs="Times New Roman"/>
          <w:bCs/>
          <w:iCs/>
          <w:sz w:val="28"/>
          <w:szCs w:val="28"/>
        </w:rPr>
        <w:t>:</w:t>
      </w:r>
    </w:p>
    <w:p w:rsidR="00A66407" w:rsidRPr="00A71C21" w:rsidRDefault="00A66407" w:rsidP="00A66407">
      <w:pPr>
        <w:spacing w:after="0" w:line="240" w:lineRule="auto"/>
        <w:ind w:firstLine="567"/>
        <w:jc w:val="both"/>
        <w:rPr>
          <w:rFonts w:ascii="Times New Roman" w:eastAsia="Times New Roman" w:hAnsi="Times New Roman" w:cs="Times New Roman"/>
          <w:bCs/>
          <w:iCs/>
          <w:color w:val="00B050"/>
          <w:sz w:val="28"/>
          <w:szCs w:val="28"/>
        </w:rPr>
      </w:pPr>
      <w:r w:rsidRPr="00073210">
        <w:rPr>
          <w:rFonts w:ascii="Times New Roman" w:hAnsi="Times New Roman" w:cs="Times New Roman"/>
          <w:sz w:val="28"/>
          <w:szCs w:val="28"/>
        </w:rPr>
        <w:t xml:space="preserve">- послуги банку на 1 013 тис. грн. </w:t>
      </w:r>
      <w:r w:rsidRPr="00481DDB">
        <w:rPr>
          <w:rFonts w:ascii="Times New Roman" w:hAnsi="Times New Roman" w:cs="Times New Roman"/>
          <w:sz w:val="28"/>
          <w:szCs w:val="28"/>
        </w:rPr>
        <w:t xml:space="preserve">(або на </w:t>
      </w:r>
      <w:r>
        <w:rPr>
          <w:rFonts w:ascii="Times New Roman" w:hAnsi="Times New Roman" w:cs="Times New Roman"/>
          <w:sz w:val="28"/>
          <w:szCs w:val="28"/>
        </w:rPr>
        <w:t>29</w:t>
      </w:r>
      <w:r w:rsidRPr="00481DDB">
        <w:rPr>
          <w:rFonts w:ascii="Times New Roman" w:hAnsi="Times New Roman" w:cs="Times New Roman"/>
          <w:sz w:val="28"/>
          <w:szCs w:val="28"/>
        </w:rPr>
        <w:t>%)</w:t>
      </w:r>
      <w:r>
        <w:rPr>
          <w:rFonts w:ascii="Times New Roman" w:hAnsi="Times New Roman" w:cs="Times New Roman"/>
          <w:sz w:val="28"/>
          <w:szCs w:val="28"/>
        </w:rPr>
        <w:t xml:space="preserve"> </w:t>
      </w:r>
      <w:r w:rsidRPr="00604CA4">
        <w:rPr>
          <w:rFonts w:ascii="Times New Roman" w:hAnsi="Times New Roman"/>
          <w:sz w:val="28"/>
          <w:szCs w:val="28"/>
        </w:rPr>
        <w:t>– у зв’язку із збільшенням обсягів реалізації іноземної валюти;</w:t>
      </w:r>
    </w:p>
    <w:p w:rsidR="00A66407" w:rsidRPr="00141020" w:rsidRDefault="00A66407" w:rsidP="00A66407">
      <w:pPr>
        <w:pStyle w:val="a9"/>
        <w:numPr>
          <w:ilvl w:val="0"/>
          <w:numId w:val="9"/>
        </w:numPr>
        <w:spacing w:after="0" w:line="264" w:lineRule="auto"/>
        <w:ind w:left="0" w:firstLine="567"/>
        <w:jc w:val="both"/>
        <w:rPr>
          <w:rFonts w:ascii="Times New Roman" w:hAnsi="Times New Roman" w:cs="Times New Roman"/>
          <w:sz w:val="28"/>
          <w:szCs w:val="28"/>
        </w:rPr>
      </w:pPr>
      <w:r w:rsidRPr="00073210">
        <w:rPr>
          <w:rFonts w:ascii="Times New Roman" w:hAnsi="Times New Roman" w:cs="Times New Roman"/>
          <w:sz w:val="28"/>
          <w:szCs w:val="28"/>
        </w:rPr>
        <w:t xml:space="preserve"> медобстеження працівників на 177 тис. грн. (або </w:t>
      </w:r>
      <w:r w:rsidRPr="00481DDB">
        <w:rPr>
          <w:rFonts w:ascii="Times New Roman" w:hAnsi="Times New Roman" w:cs="Times New Roman"/>
          <w:sz w:val="28"/>
          <w:szCs w:val="28"/>
        </w:rPr>
        <w:t xml:space="preserve">на </w:t>
      </w:r>
      <w:r>
        <w:rPr>
          <w:rFonts w:ascii="Times New Roman" w:hAnsi="Times New Roman" w:cs="Times New Roman"/>
          <w:sz w:val="28"/>
          <w:szCs w:val="28"/>
        </w:rPr>
        <w:t>31</w:t>
      </w:r>
      <w:r w:rsidRPr="00481DDB">
        <w:rPr>
          <w:rFonts w:ascii="Times New Roman" w:hAnsi="Times New Roman" w:cs="Times New Roman"/>
          <w:sz w:val="28"/>
          <w:szCs w:val="28"/>
        </w:rPr>
        <w:t>%)</w:t>
      </w:r>
      <w:r>
        <w:rPr>
          <w:rFonts w:ascii="Times New Roman" w:hAnsi="Times New Roman" w:cs="Times New Roman"/>
          <w:sz w:val="28"/>
          <w:szCs w:val="28"/>
        </w:rPr>
        <w:t xml:space="preserve"> - </w:t>
      </w:r>
      <w:r w:rsidRPr="00141020">
        <w:rPr>
          <w:rFonts w:ascii="Times New Roman" w:hAnsi="Times New Roman"/>
          <w:sz w:val="28"/>
          <w:szCs w:val="28"/>
        </w:rPr>
        <w:t>за рахунок  перенесення витрат зі складу собівартості (Південна філія)</w:t>
      </w:r>
      <w:r>
        <w:rPr>
          <w:rFonts w:ascii="Times New Roman" w:hAnsi="Times New Roman"/>
          <w:sz w:val="28"/>
          <w:szCs w:val="28"/>
        </w:rPr>
        <w:t>;</w:t>
      </w:r>
    </w:p>
    <w:p w:rsidR="00A66407" w:rsidRDefault="00A66407" w:rsidP="00A66407">
      <w:pPr>
        <w:pStyle w:val="a9"/>
        <w:spacing w:after="0" w:line="264" w:lineRule="auto"/>
        <w:ind w:left="567"/>
        <w:jc w:val="both"/>
        <w:rPr>
          <w:rFonts w:ascii="Times New Roman" w:hAnsi="Times New Roman" w:cs="Times New Roman"/>
          <w:sz w:val="28"/>
          <w:szCs w:val="28"/>
        </w:rPr>
      </w:pPr>
      <w:r w:rsidRPr="00073210">
        <w:rPr>
          <w:rFonts w:ascii="Times New Roman" w:hAnsi="Times New Roman" w:cs="Times New Roman"/>
          <w:sz w:val="28"/>
          <w:szCs w:val="28"/>
        </w:rPr>
        <w:t>- послуги охорони та зберігання майна</w:t>
      </w:r>
      <w:r>
        <w:rPr>
          <w:rFonts w:ascii="Times New Roman" w:hAnsi="Times New Roman" w:cs="Times New Roman"/>
          <w:sz w:val="28"/>
          <w:szCs w:val="28"/>
        </w:rPr>
        <w:t xml:space="preserve"> на 12 тис. грн. </w:t>
      </w:r>
      <w:r w:rsidRPr="00073210">
        <w:rPr>
          <w:rFonts w:ascii="Times New Roman" w:hAnsi="Times New Roman" w:cs="Times New Roman"/>
          <w:sz w:val="28"/>
          <w:szCs w:val="28"/>
        </w:rPr>
        <w:t xml:space="preserve">(або </w:t>
      </w:r>
      <w:r>
        <w:rPr>
          <w:rFonts w:ascii="Times New Roman" w:hAnsi="Times New Roman" w:cs="Times New Roman"/>
          <w:sz w:val="28"/>
          <w:szCs w:val="28"/>
        </w:rPr>
        <w:t>на 14</w:t>
      </w:r>
      <w:r w:rsidRPr="00481DDB">
        <w:rPr>
          <w:rFonts w:ascii="Times New Roman" w:hAnsi="Times New Roman" w:cs="Times New Roman"/>
          <w:sz w:val="28"/>
          <w:szCs w:val="28"/>
        </w:rPr>
        <w:t>%)</w:t>
      </w:r>
      <w:r>
        <w:rPr>
          <w:rFonts w:ascii="Times New Roman" w:hAnsi="Times New Roman" w:cs="Times New Roman"/>
          <w:sz w:val="28"/>
          <w:szCs w:val="28"/>
        </w:rPr>
        <w:t xml:space="preserve"> - </w:t>
      </w:r>
      <w:r w:rsidRPr="00141020">
        <w:rPr>
          <w:rFonts w:ascii="Times New Roman" w:hAnsi="Times New Roman" w:cs="Times New Roman"/>
          <w:sz w:val="28"/>
          <w:szCs w:val="28"/>
        </w:rPr>
        <w:t xml:space="preserve">пов’язано із необхідністю встановлення приладів охоронної сигналізації у приміщеннях </w:t>
      </w:r>
      <w:r>
        <w:rPr>
          <w:rFonts w:ascii="Times New Roman" w:hAnsi="Times New Roman" w:cs="Times New Roman"/>
          <w:sz w:val="28"/>
          <w:szCs w:val="28"/>
        </w:rPr>
        <w:t xml:space="preserve">(Чорноморська філія). </w:t>
      </w:r>
    </w:p>
    <w:p w:rsidR="00A66407" w:rsidRDefault="00A66407" w:rsidP="00A66407">
      <w:pPr>
        <w:spacing w:after="0" w:line="264" w:lineRule="auto"/>
        <w:ind w:firstLine="567"/>
        <w:jc w:val="both"/>
        <w:rPr>
          <w:rFonts w:ascii="Times New Roman" w:eastAsia="Times New Roman" w:hAnsi="Times New Roman" w:cs="Times New Roman"/>
          <w:sz w:val="28"/>
          <w:szCs w:val="28"/>
          <w:lang w:eastAsia="ru-RU"/>
        </w:rPr>
      </w:pPr>
      <w:r w:rsidRPr="00436936">
        <w:rPr>
          <w:rFonts w:ascii="Times New Roman" w:eastAsia="Times New Roman" w:hAnsi="Times New Roman" w:cs="Times New Roman"/>
          <w:sz w:val="28"/>
          <w:szCs w:val="28"/>
          <w:lang w:eastAsia="ru-RU"/>
        </w:rPr>
        <w:t xml:space="preserve">Зменшення статей витрат у складі адміністративних витрат </w:t>
      </w:r>
      <w:r>
        <w:rPr>
          <w:rFonts w:ascii="Times New Roman" w:eastAsia="Times New Roman" w:hAnsi="Times New Roman" w:cs="Times New Roman"/>
          <w:sz w:val="28"/>
          <w:szCs w:val="28"/>
          <w:lang w:eastAsia="ru-RU"/>
        </w:rPr>
        <w:t>за</w:t>
      </w:r>
      <w:r w:rsidRPr="00436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rPr>
        <w:t>2019</w:t>
      </w:r>
      <w:r w:rsidRPr="007472E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відносно</w:t>
      </w:r>
      <w:r w:rsidRPr="00436936">
        <w:rPr>
          <w:rFonts w:ascii="Times New Roman" w:eastAsia="Times New Roman" w:hAnsi="Times New Roman" w:cs="Times New Roman"/>
          <w:sz w:val="28"/>
          <w:szCs w:val="28"/>
          <w:lang w:eastAsia="ru-RU"/>
        </w:rPr>
        <w:t xml:space="preserve"> планового показника пояснюється</w:t>
      </w:r>
      <w:r>
        <w:rPr>
          <w:rFonts w:ascii="Times New Roman" w:eastAsia="Times New Roman" w:hAnsi="Times New Roman" w:cs="Times New Roman"/>
          <w:sz w:val="28"/>
          <w:szCs w:val="28"/>
          <w:lang w:eastAsia="ru-RU"/>
        </w:rPr>
        <w:t>:</w:t>
      </w:r>
    </w:p>
    <w:p w:rsidR="00A66407" w:rsidRPr="007472E2" w:rsidRDefault="00A66407" w:rsidP="00A66407">
      <w:pPr>
        <w:pStyle w:val="a9"/>
        <w:numPr>
          <w:ilvl w:val="0"/>
          <w:numId w:val="33"/>
        </w:numPr>
        <w:autoSpaceDE w:val="0"/>
        <w:autoSpaceDN w:val="0"/>
        <w:adjustRightInd w:val="0"/>
        <w:spacing w:line="250" w:lineRule="auto"/>
        <w:ind w:left="0" w:firstLine="567"/>
        <w:jc w:val="both"/>
        <w:outlineLvl w:val="0"/>
        <w:rPr>
          <w:rFonts w:ascii="Times New Roman" w:hAnsi="Times New Roman" w:cs="Times New Roman"/>
          <w:sz w:val="28"/>
          <w:szCs w:val="28"/>
        </w:rPr>
      </w:pPr>
      <w:r w:rsidRPr="007472E2">
        <w:rPr>
          <w:rFonts w:ascii="Times New Roman" w:hAnsi="Times New Roman" w:cs="Times New Roman"/>
          <w:sz w:val="28"/>
          <w:szCs w:val="28"/>
        </w:rPr>
        <w:t xml:space="preserve">довготривалою процедурою затвердження фінансового плану ДП «АМПУ» та обмеженнями, визначеними Постановою Кабінету міністрів України від 03.10.2012 № 899 «Про порядок здійснення витрат суб’єктами господарювання державного сектору економіки у разі незатвердження (непогодження) річних фінансових планів у встановленому порядку» (зі змінами). </w:t>
      </w:r>
    </w:p>
    <w:p w:rsidR="00A66407" w:rsidRPr="00C3237C" w:rsidRDefault="00A66407" w:rsidP="00A66407">
      <w:pPr>
        <w:pStyle w:val="a9"/>
        <w:numPr>
          <w:ilvl w:val="0"/>
          <w:numId w:val="33"/>
        </w:numPr>
        <w:autoSpaceDE w:val="0"/>
        <w:autoSpaceDN w:val="0"/>
        <w:adjustRightInd w:val="0"/>
        <w:spacing w:line="250" w:lineRule="auto"/>
        <w:ind w:left="0" w:firstLine="567"/>
        <w:jc w:val="both"/>
        <w:outlineLvl w:val="0"/>
        <w:rPr>
          <w:rFonts w:ascii="Times New Roman" w:hAnsi="Times New Roman" w:cs="Times New Roman"/>
          <w:sz w:val="28"/>
          <w:szCs w:val="28"/>
        </w:rPr>
      </w:pPr>
      <w:r w:rsidRPr="007472E2">
        <w:rPr>
          <w:rFonts w:ascii="Times New Roman" w:eastAsia="Times New Roman" w:hAnsi="Times New Roman" w:cs="Times New Roman"/>
          <w:sz w:val="28"/>
          <w:szCs w:val="28"/>
          <w:lang w:eastAsia="ru-RU"/>
        </w:rPr>
        <w:t>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 та проведення робіт філіями.</w:t>
      </w:r>
    </w:p>
    <w:p w:rsidR="00A66407" w:rsidRPr="007472E2" w:rsidRDefault="00A66407" w:rsidP="00A66407">
      <w:pPr>
        <w:pStyle w:val="a9"/>
        <w:autoSpaceDE w:val="0"/>
        <w:autoSpaceDN w:val="0"/>
        <w:adjustRightInd w:val="0"/>
        <w:spacing w:line="250" w:lineRule="auto"/>
        <w:ind w:left="567"/>
        <w:jc w:val="both"/>
        <w:outlineLvl w:val="0"/>
        <w:rPr>
          <w:rFonts w:ascii="Times New Roman" w:hAnsi="Times New Roman" w:cs="Times New Roman"/>
          <w:sz w:val="28"/>
          <w:szCs w:val="28"/>
        </w:rPr>
      </w:pPr>
    </w:p>
    <w:p w:rsidR="00A66407" w:rsidRDefault="00A66407" w:rsidP="00A66407">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П</w:t>
      </w:r>
      <w:r w:rsidRPr="00664B40">
        <w:rPr>
          <w:rFonts w:ascii="Times New Roman" w:eastAsia="Times New Roman" w:hAnsi="Times New Roman" w:cs="Times New Roman"/>
          <w:bCs/>
          <w:iCs/>
          <w:sz w:val="28"/>
          <w:szCs w:val="28"/>
        </w:rPr>
        <w:t>о відношенню до</w:t>
      </w:r>
      <w:r>
        <w:rPr>
          <w:rFonts w:ascii="Times New Roman" w:eastAsia="Times New Roman" w:hAnsi="Times New Roman" w:cs="Times New Roman"/>
          <w:bCs/>
          <w:iCs/>
          <w:sz w:val="28"/>
          <w:szCs w:val="28"/>
        </w:rPr>
        <w:t xml:space="preserve"> аналогічного періоду 2018 року</w:t>
      </w:r>
      <w:r w:rsidRPr="00664B40">
        <w:rPr>
          <w:rFonts w:ascii="Times New Roman" w:eastAsia="Times New Roman" w:hAnsi="Times New Roman" w:cs="Times New Roman"/>
          <w:bCs/>
          <w:iCs/>
          <w:sz w:val="28"/>
          <w:szCs w:val="28"/>
        </w:rPr>
        <w:t xml:space="preserve"> адміністративні витрати  зросли на </w:t>
      </w:r>
      <w:r w:rsidRPr="0065175A">
        <w:rPr>
          <w:rFonts w:ascii="Times New Roman" w:eastAsia="Times New Roman" w:hAnsi="Times New Roman" w:cs="Times New Roman"/>
          <w:b/>
          <w:bCs/>
          <w:iCs/>
          <w:sz w:val="28"/>
          <w:szCs w:val="28"/>
        </w:rPr>
        <w:t xml:space="preserve">151 119 </w:t>
      </w:r>
      <w:r w:rsidRPr="00664B40">
        <w:rPr>
          <w:rFonts w:ascii="Times New Roman" w:eastAsia="Times New Roman" w:hAnsi="Times New Roman" w:cs="Times New Roman"/>
          <w:bCs/>
          <w:iCs/>
          <w:sz w:val="28"/>
          <w:szCs w:val="28"/>
        </w:rPr>
        <w:t xml:space="preserve">тис. грн. або на </w:t>
      </w:r>
      <w:r w:rsidRPr="0065175A">
        <w:rPr>
          <w:rFonts w:ascii="Times New Roman" w:eastAsia="Times New Roman" w:hAnsi="Times New Roman" w:cs="Times New Roman"/>
          <w:bCs/>
          <w:iCs/>
          <w:sz w:val="28"/>
          <w:szCs w:val="28"/>
        </w:rPr>
        <w:t>21</w:t>
      </w:r>
      <w:r w:rsidRPr="00664B40">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w:t>
      </w:r>
      <w:r w:rsidRPr="00664B40">
        <w:rPr>
          <w:rFonts w:ascii="Times New Roman" w:eastAsia="Times New Roman" w:hAnsi="Times New Roman" w:cs="Times New Roman"/>
          <w:bCs/>
          <w:iCs/>
          <w:sz w:val="28"/>
          <w:szCs w:val="28"/>
        </w:rPr>
        <w:t xml:space="preserve"> </w:t>
      </w:r>
    </w:p>
    <w:p w:rsidR="00A66407" w:rsidRPr="00CA6969" w:rsidRDefault="00A66407" w:rsidP="00A66407">
      <w:pPr>
        <w:spacing w:after="0" w:line="240" w:lineRule="auto"/>
        <w:ind w:firstLine="709"/>
        <w:jc w:val="both"/>
        <w:rPr>
          <w:rFonts w:ascii="Times New Roman" w:hAnsi="Times New Roman"/>
          <w:b/>
          <w:color w:val="FF0000"/>
          <w:sz w:val="28"/>
          <w:szCs w:val="28"/>
        </w:rPr>
      </w:pPr>
    </w:p>
    <w:p w:rsidR="00A66407" w:rsidRPr="00CA6969" w:rsidRDefault="00A66407" w:rsidP="00004537">
      <w:pPr>
        <w:spacing w:after="0" w:line="240" w:lineRule="auto"/>
        <w:jc w:val="center"/>
        <w:rPr>
          <w:rFonts w:ascii="Times New Roman" w:hAnsi="Times New Roman"/>
          <w:b/>
          <w:color w:val="FF0000"/>
          <w:sz w:val="28"/>
          <w:szCs w:val="28"/>
        </w:rPr>
      </w:pPr>
      <w:r>
        <w:rPr>
          <w:noProof/>
          <w:lang w:eastAsia="uk-UA"/>
        </w:rPr>
        <w:drawing>
          <wp:inline distT="0" distB="0" distL="0" distR="0" wp14:anchorId="3C07D08B" wp14:editId="12D842D5">
            <wp:extent cx="6191250" cy="3638550"/>
            <wp:effectExtent l="0" t="0" r="0" b="0"/>
            <wp:docPr id="4" name="Диаграмма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0937A6A-D102-4B6D-BB3D-BE2DC4B4C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133F" w:rsidRDefault="0002133F" w:rsidP="00A66407">
      <w:pPr>
        <w:spacing w:after="0" w:line="240" w:lineRule="auto"/>
        <w:ind w:firstLine="709"/>
        <w:jc w:val="center"/>
        <w:rPr>
          <w:rFonts w:ascii="Times New Roman" w:hAnsi="Times New Roman"/>
          <w:b/>
          <w:color w:val="FF0000"/>
          <w:sz w:val="28"/>
          <w:szCs w:val="28"/>
        </w:rPr>
      </w:pPr>
    </w:p>
    <w:p w:rsidR="00A66407" w:rsidRPr="0095365C" w:rsidRDefault="00A66407" w:rsidP="00A66407">
      <w:pPr>
        <w:pStyle w:val="a3"/>
        <w:spacing w:line="240" w:lineRule="auto"/>
        <w:ind w:firstLine="708"/>
        <w:contextualSpacing/>
        <w:jc w:val="center"/>
        <w:rPr>
          <w:sz w:val="22"/>
          <w:szCs w:val="22"/>
        </w:rPr>
      </w:pPr>
      <w:r w:rsidRPr="0095365C">
        <w:rPr>
          <w:sz w:val="22"/>
          <w:szCs w:val="22"/>
        </w:rPr>
        <w:t xml:space="preserve">                                                                                                                                Таблиця 11 ( тис. грн.)</w:t>
      </w:r>
    </w:p>
    <w:tbl>
      <w:tblPr>
        <w:tblW w:w="10192" w:type="dxa"/>
        <w:tblInd w:w="-5" w:type="dxa"/>
        <w:tblLayout w:type="fixed"/>
        <w:tblLook w:val="04A0" w:firstRow="1" w:lastRow="0" w:firstColumn="1" w:lastColumn="0" w:noHBand="0" w:noVBand="1"/>
      </w:tblPr>
      <w:tblGrid>
        <w:gridCol w:w="2835"/>
        <w:gridCol w:w="993"/>
        <w:gridCol w:w="1417"/>
        <w:gridCol w:w="851"/>
        <w:gridCol w:w="850"/>
        <w:gridCol w:w="1134"/>
        <w:gridCol w:w="963"/>
        <w:gridCol w:w="1149"/>
      </w:tblGrid>
      <w:tr w:rsidR="00A66407" w:rsidRPr="00726D96" w:rsidTr="00E33D93">
        <w:trPr>
          <w:trHeight w:val="522"/>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407" w:rsidRPr="00EA4692" w:rsidRDefault="00A66407" w:rsidP="00E33D93">
            <w:pPr>
              <w:spacing w:after="0" w:line="240" w:lineRule="auto"/>
              <w:jc w:val="center"/>
              <w:rPr>
                <w:rFonts w:ascii="Times New Roman" w:eastAsia="Times New Roman" w:hAnsi="Times New Roman" w:cs="Times New Roman"/>
                <w:sz w:val="20"/>
                <w:szCs w:val="20"/>
                <w:lang w:eastAsia="uk-UA"/>
              </w:rPr>
            </w:pPr>
            <w:r w:rsidRPr="00EA4692">
              <w:rPr>
                <w:rFonts w:ascii="Times New Roman" w:eastAsia="Times New Roman" w:hAnsi="Times New Roman" w:cs="Times New Roman"/>
                <w:sz w:val="20"/>
                <w:szCs w:val="20"/>
                <w:lang w:eastAsia="uk-UA"/>
              </w:rPr>
              <w:t>Найменування показника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95365C" w:rsidRDefault="00A66407" w:rsidP="00E33D93">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2</w:t>
            </w:r>
            <w:r w:rsidRPr="0095365C">
              <w:rPr>
                <w:rFonts w:ascii="Times New Roman" w:eastAsia="Times New Roman" w:hAnsi="Times New Roman" w:cs="Times New Roman"/>
                <w:b/>
                <w:bCs/>
                <w:sz w:val="20"/>
                <w:szCs w:val="20"/>
                <w:lang w:eastAsia="uk-UA"/>
              </w:rPr>
              <w:t>018</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jc w:val="center"/>
              <w:rPr>
                <w:rFonts w:ascii="Times New Roman" w:eastAsia="Times New Roman" w:hAnsi="Times New Roman" w:cs="Times New Roman"/>
                <w:bCs/>
                <w:sz w:val="20"/>
                <w:szCs w:val="20"/>
                <w:lang w:eastAsia="uk-UA"/>
              </w:rPr>
            </w:pPr>
            <w:r w:rsidRPr="00EA4692">
              <w:rPr>
                <w:rFonts w:ascii="Times New Roman" w:eastAsia="Times New Roman" w:hAnsi="Times New Roman" w:cs="Times New Roman"/>
                <w:bCs/>
                <w:sz w:val="20"/>
                <w:szCs w:val="20"/>
                <w:lang w:eastAsia="uk-UA"/>
              </w:rPr>
              <w:t xml:space="preserve"> ВОП з відрахуваннями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jc w:val="center"/>
              <w:rPr>
                <w:rFonts w:ascii="Times New Roman" w:eastAsia="Times New Roman" w:hAnsi="Times New Roman" w:cs="Times New Roman"/>
                <w:bCs/>
                <w:sz w:val="20"/>
                <w:szCs w:val="20"/>
                <w:lang w:eastAsia="uk-UA"/>
              </w:rPr>
            </w:pPr>
            <w:r w:rsidRPr="00EA4692">
              <w:rPr>
                <w:rFonts w:ascii="Times New Roman" w:eastAsia="Times New Roman" w:hAnsi="Times New Roman" w:cs="Times New Roman"/>
                <w:bCs/>
                <w:sz w:val="20"/>
                <w:szCs w:val="20"/>
                <w:lang w:eastAsia="uk-UA"/>
              </w:rPr>
              <w:t xml:space="preserve"> ФДФ</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jc w:val="center"/>
              <w:rPr>
                <w:rFonts w:ascii="Times New Roman" w:eastAsia="Times New Roman" w:hAnsi="Times New Roman" w:cs="Times New Roman"/>
                <w:bCs/>
                <w:sz w:val="20"/>
                <w:szCs w:val="20"/>
                <w:lang w:eastAsia="uk-UA"/>
              </w:rPr>
            </w:pPr>
            <w:r w:rsidRPr="00EA4692">
              <w:rPr>
                <w:rFonts w:ascii="Times New Roman" w:eastAsia="Times New Roman" w:hAnsi="Times New Roman" w:cs="Times New Roman"/>
                <w:bCs/>
                <w:sz w:val="20"/>
                <w:szCs w:val="20"/>
                <w:lang w:eastAsia="uk-UA"/>
              </w:rPr>
              <w:t xml:space="preserve">Амортизація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95365C" w:rsidRDefault="00A66407" w:rsidP="00E33D93">
            <w:pPr>
              <w:spacing w:after="0" w:line="240" w:lineRule="auto"/>
              <w:jc w:val="center"/>
              <w:rPr>
                <w:rFonts w:ascii="Times New Roman" w:eastAsia="Times New Roman" w:hAnsi="Times New Roman" w:cs="Times New Roman"/>
                <w:bCs/>
                <w:sz w:val="18"/>
                <w:szCs w:val="18"/>
                <w:lang w:eastAsia="uk-UA"/>
              </w:rPr>
            </w:pPr>
            <w:r w:rsidRPr="0095365C">
              <w:rPr>
                <w:rFonts w:ascii="Times New Roman" w:eastAsia="Times New Roman" w:hAnsi="Times New Roman" w:cs="Times New Roman"/>
                <w:bCs/>
                <w:sz w:val="18"/>
                <w:szCs w:val="18"/>
                <w:lang w:eastAsia="uk-UA"/>
              </w:rPr>
              <w:t>Професійні послуги,                     послуги банку</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jc w:val="center"/>
              <w:rPr>
                <w:rFonts w:ascii="Times New Roman" w:eastAsia="Times New Roman" w:hAnsi="Times New Roman" w:cs="Times New Roman"/>
                <w:bCs/>
                <w:sz w:val="20"/>
                <w:szCs w:val="20"/>
                <w:lang w:eastAsia="uk-UA"/>
              </w:rPr>
            </w:pPr>
            <w:r w:rsidRPr="00EA4692">
              <w:rPr>
                <w:rFonts w:ascii="Times New Roman" w:eastAsia="Times New Roman" w:hAnsi="Times New Roman" w:cs="Times New Roman"/>
                <w:bCs/>
                <w:sz w:val="20"/>
                <w:szCs w:val="20"/>
                <w:lang w:eastAsia="uk-UA"/>
              </w:rPr>
              <w:t xml:space="preserve">Інші витрати </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95365C" w:rsidRDefault="00A66407" w:rsidP="00E33D93">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2</w:t>
            </w:r>
            <w:r w:rsidRPr="0095365C">
              <w:rPr>
                <w:rFonts w:ascii="Times New Roman" w:eastAsia="Times New Roman" w:hAnsi="Times New Roman" w:cs="Times New Roman"/>
                <w:b/>
                <w:bCs/>
                <w:sz w:val="20"/>
                <w:szCs w:val="20"/>
                <w:lang w:eastAsia="uk-UA"/>
              </w:rPr>
              <w:t>019</w:t>
            </w:r>
          </w:p>
        </w:tc>
      </w:tr>
      <w:tr w:rsidR="00A66407" w:rsidRPr="00726D96" w:rsidTr="00E33D93">
        <w:trPr>
          <w:trHeight w:val="45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sz w:val="20"/>
                <w:szCs w:val="20"/>
                <w:lang w:eastAsia="uk-UA"/>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b/>
                <w:bCs/>
                <w:sz w:val="20"/>
                <w:szCs w:val="20"/>
                <w:lang w:eastAsia="uk-UA"/>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b/>
                <w:bCs/>
                <w:sz w:val="20"/>
                <w:szCs w:val="20"/>
                <w:lang w:eastAsia="uk-UA"/>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b/>
                <w:bCs/>
                <w:sz w:val="20"/>
                <w:szCs w:val="20"/>
                <w:lang w:eastAsia="uk-UA"/>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b/>
                <w:bCs/>
                <w:sz w:val="20"/>
                <w:szCs w:val="20"/>
                <w:lang w:eastAsia="uk-UA"/>
              </w:rPr>
            </w:pPr>
          </w:p>
        </w:tc>
        <w:tc>
          <w:tcPr>
            <w:tcW w:w="9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b/>
                <w:bCs/>
                <w:sz w:val="20"/>
                <w:szCs w:val="20"/>
                <w:lang w:eastAsia="uk-UA"/>
              </w:rPr>
            </w:pPr>
          </w:p>
        </w:tc>
        <w:tc>
          <w:tcPr>
            <w:tcW w:w="11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66407" w:rsidRPr="00EA4692" w:rsidRDefault="00A66407" w:rsidP="00E33D93">
            <w:pPr>
              <w:spacing w:after="0" w:line="240" w:lineRule="auto"/>
              <w:rPr>
                <w:rFonts w:ascii="Times New Roman" w:eastAsia="Times New Roman" w:hAnsi="Times New Roman" w:cs="Times New Roman"/>
                <w:b/>
                <w:bCs/>
                <w:sz w:val="20"/>
                <w:szCs w:val="20"/>
                <w:lang w:eastAsia="uk-UA"/>
              </w:rPr>
            </w:pP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Адміністративні витрати, у тому числі:</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b/>
                <w:sz w:val="20"/>
                <w:szCs w:val="20"/>
              </w:rPr>
            </w:pPr>
            <w:r w:rsidRPr="0095365C">
              <w:rPr>
                <w:rFonts w:ascii="Times New Roman" w:hAnsi="Times New Roman" w:cs="Times New Roman"/>
                <w:b/>
                <w:sz w:val="20"/>
                <w:szCs w:val="20"/>
              </w:rPr>
              <w:t>722 853</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b/>
                <w:sz w:val="20"/>
                <w:szCs w:val="20"/>
              </w:rPr>
            </w:pPr>
            <w:r w:rsidRPr="0095365C">
              <w:rPr>
                <w:rFonts w:ascii="Times New Roman" w:hAnsi="Times New Roman" w:cs="Times New Roman"/>
                <w:b/>
                <w:sz w:val="20"/>
                <w:szCs w:val="20"/>
              </w:rPr>
              <w:t>107 090</w:t>
            </w: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b/>
                <w:sz w:val="20"/>
                <w:szCs w:val="20"/>
              </w:rPr>
            </w:pPr>
            <w:r w:rsidRPr="0095365C">
              <w:rPr>
                <w:rFonts w:ascii="Times New Roman" w:hAnsi="Times New Roman" w:cs="Times New Roman"/>
                <w:b/>
                <w:sz w:val="20"/>
                <w:szCs w:val="20"/>
              </w:rPr>
              <w:t>20 862</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b/>
                <w:sz w:val="20"/>
                <w:szCs w:val="20"/>
              </w:rPr>
            </w:pPr>
            <w:r w:rsidRPr="0095365C">
              <w:rPr>
                <w:rFonts w:ascii="Times New Roman" w:hAnsi="Times New Roman" w:cs="Times New Roman"/>
                <w:b/>
                <w:sz w:val="20"/>
                <w:szCs w:val="20"/>
              </w:rPr>
              <w:t>10 187</w:t>
            </w: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b/>
                <w:sz w:val="20"/>
                <w:szCs w:val="20"/>
              </w:rPr>
            </w:pPr>
            <w:r w:rsidRPr="0095365C">
              <w:rPr>
                <w:rFonts w:ascii="Times New Roman" w:hAnsi="Times New Roman" w:cs="Times New Roman"/>
                <w:b/>
                <w:sz w:val="20"/>
                <w:szCs w:val="20"/>
              </w:rPr>
              <w:t>10 047</w:t>
            </w: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b/>
                <w:sz w:val="20"/>
                <w:szCs w:val="20"/>
              </w:rPr>
            </w:pPr>
            <w:r w:rsidRPr="0095365C">
              <w:rPr>
                <w:rFonts w:ascii="Times New Roman" w:hAnsi="Times New Roman" w:cs="Times New Roman"/>
                <w:b/>
                <w:sz w:val="20"/>
                <w:szCs w:val="20"/>
              </w:rPr>
              <w:t>2 933</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b/>
                <w:sz w:val="20"/>
                <w:szCs w:val="20"/>
              </w:rPr>
            </w:pPr>
            <w:r w:rsidRPr="0095365C">
              <w:rPr>
                <w:rFonts w:ascii="Times New Roman" w:hAnsi="Times New Roman" w:cs="Times New Roman"/>
                <w:b/>
                <w:sz w:val="20"/>
                <w:szCs w:val="20"/>
              </w:rPr>
              <w:t>873 972</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пов'язані з використанням власних службових автомобілів</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27 526</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570</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3 115</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31 211</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аудиторські послуги</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3 478</w:t>
            </w: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3 478</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службові відрядження</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13 275</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1 047</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43</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14 365</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зв’язок</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2 906</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26</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326</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3 258</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оплату праці</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454 429</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90 261</w:t>
            </w: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14 206</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558 896</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відрахування на соціальні заходи</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87 823</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16 829</w:t>
            </w: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2 847</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107 499</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амортизація основних засобів і нематеріальних активів загальногосподарського призначення</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30 820</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1 422</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10 187</w:t>
            </w: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42 429</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організаційно-технічні послуги</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2 425</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-1 042</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1 384</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юридичні послуги</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900</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3 309</w:t>
            </w: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4 209</w:t>
            </w:r>
          </w:p>
        </w:tc>
      </w:tr>
      <w:tr w:rsidR="00A66407" w:rsidRPr="00726D96" w:rsidTr="00E33D93">
        <w:trPr>
          <w:trHeight w:val="522"/>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охорону праці загальногосподарського персоналу</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195</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68</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263</w:t>
            </w:r>
          </w:p>
        </w:tc>
      </w:tr>
      <w:tr w:rsidR="00A66407" w:rsidRPr="00726D96" w:rsidTr="00E33D93">
        <w:trPr>
          <w:trHeight w:val="522"/>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підвищення кваліфікації та перепідготовку кадрів</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659</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63</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-305</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417</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утримання основних фондів, інших необоротних активів загальногосподарського використання,  у тому числі:</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34 513</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-2 992</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31 598</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витрати на поліпшення основних фондів</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4 570</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-1 945</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2 630</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lastRenderedPageBreak/>
              <w:t>паливо</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1 130</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135</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1 265</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сировина та матеріали</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8 880</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226</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-122</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8 984</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електроенергія</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7 332</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132</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491</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7 955</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утримання приміщень, комунальні послуги тощо</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4 154</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38</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-673</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3 519</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обов'язкові платежі та збори</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14 936</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-440</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14 496</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послуги банку</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1 229</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3 260</w:t>
            </w: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0</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4 495</w:t>
            </w:r>
          </w:p>
        </w:tc>
      </w:tr>
      <w:tr w:rsidR="00A66407" w:rsidRPr="00726D96" w:rsidTr="00E33D93">
        <w:trPr>
          <w:trHeight w:val="357"/>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участь в семінарах, виставках</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1 932</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-909</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1 014</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охорона навколишнього середовища</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55</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617</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672</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медобстеження працівників</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44</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711</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755</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послуги охорони та зберігання майна</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81</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19</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100</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довідкова література, підписка на періодичні видання</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834</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140</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982</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перерахування профкому</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19 582</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498</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3 442</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23 522</w:t>
            </w:r>
          </w:p>
        </w:tc>
      </w:tr>
      <w:tr w:rsidR="00A66407" w:rsidRPr="00726D96" w:rsidTr="00E33D93">
        <w:trPr>
          <w:trHeight w:val="259"/>
        </w:trPr>
        <w:tc>
          <w:tcPr>
            <w:tcW w:w="2835" w:type="dxa"/>
            <w:tcBorders>
              <w:top w:val="nil"/>
              <w:left w:val="single" w:sz="4" w:space="0" w:color="000000"/>
              <w:bottom w:val="single" w:sz="4" w:space="0" w:color="000000"/>
              <w:right w:val="single" w:sz="4" w:space="0" w:color="000000"/>
            </w:tcBorders>
            <w:shd w:val="clear" w:color="auto" w:fill="auto"/>
            <w:vAlign w:val="center"/>
          </w:tcPr>
          <w:p w:rsidR="00A66407" w:rsidRPr="0095365C" w:rsidRDefault="00A66407" w:rsidP="00E33D93">
            <w:pPr>
              <w:spacing w:after="0"/>
              <w:rPr>
                <w:rFonts w:ascii="Times New Roman" w:hAnsi="Times New Roman" w:cs="Times New Roman"/>
                <w:sz w:val="18"/>
                <w:szCs w:val="18"/>
              </w:rPr>
            </w:pPr>
            <w:r w:rsidRPr="0095365C">
              <w:rPr>
                <w:rFonts w:ascii="Times New Roman" w:hAnsi="Times New Roman" w:cs="Times New Roman"/>
                <w:sz w:val="18"/>
                <w:szCs w:val="18"/>
              </w:rPr>
              <w:t>інші</w:t>
            </w:r>
          </w:p>
        </w:tc>
        <w:tc>
          <w:tcPr>
            <w:tcW w:w="993" w:type="dxa"/>
            <w:tcBorders>
              <w:top w:val="nil"/>
              <w:left w:val="single" w:sz="4" w:space="0" w:color="auto"/>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7 193</w:t>
            </w:r>
          </w:p>
        </w:tc>
        <w:tc>
          <w:tcPr>
            <w:tcW w:w="1417"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-296</w:t>
            </w:r>
          </w:p>
        </w:tc>
        <w:tc>
          <w:tcPr>
            <w:tcW w:w="850"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309</w:t>
            </w:r>
          </w:p>
        </w:tc>
        <w:tc>
          <w:tcPr>
            <w:tcW w:w="1149" w:type="dxa"/>
            <w:tcBorders>
              <w:top w:val="nil"/>
              <w:left w:val="nil"/>
              <w:bottom w:val="single" w:sz="4" w:space="0" w:color="auto"/>
              <w:right w:val="single" w:sz="4" w:space="0" w:color="auto"/>
            </w:tcBorders>
            <w:shd w:val="clear" w:color="auto" w:fill="auto"/>
            <w:vAlign w:val="center"/>
          </w:tcPr>
          <w:p w:rsidR="00A66407" w:rsidRPr="0095365C" w:rsidRDefault="00A66407" w:rsidP="00E33D93">
            <w:pPr>
              <w:spacing w:after="0"/>
              <w:jc w:val="center"/>
              <w:rPr>
                <w:rFonts w:ascii="Times New Roman" w:hAnsi="Times New Roman" w:cs="Times New Roman"/>
                <w:sz w:val="20"/>
                <w:szCs w:val="20"/>
              </w:rPr>
            </w:pPr>
            <w:r w:rsidRPr="0095365C">
              <w:rPr>
                <w:rFonts w:ascii="Times New Roman" w:hAnsi="Times New Roman" w:cs="Times New Roman"/>
                <w:sz w:val="20"/>
                <w:szCs w:val="20"/>
              </w:rPr>
              <w:t>7 206</w:t>
            </w:r>
          </w:p>
        </w:tc>
      </w:tr>
    </w:tbl>
    <w:p w:rsidR="00A66407" w:rsidRPr="00CA6969" w:rsidRDefault="00A66407" w:rsidP="00A66407">
      <w:pPr>
        <w:spacing w:after="0" w:line="240" w:lineRule="auto"/>
        <w:ind w:firstLine="567"/>
        <w:jc w:val="both"/>
        <w:rPr>
          <w:rFonts w:ascii="Times New Roman" w:eastAsia="Times New Roman" w:hAnsi="Times New Roman" w:cs="Times New Roman"/>
          <w:bCs/>
          <w:iCs/>
          <w:color w:val="FF0000"/>
          <w:sz w:val="28"/>
          <w:szCs w:val="28"/>
        </w:rPr>
      </w:pPr>
    </w:p>
    <w:p w:rsidR="00A66407" w:rsidRPr="00FF46C0" w:rsidRDefault="00A66407" w:rsidP="00A66407">
      <w:pPr>
        <w:spacing w:after="0" w:line="240" w:lineRule="auto"/>
        <w:ind w:firstLine="567"/>
        <w:jc w:val="both"/>
        <w:rPr>
          <w:rFonts w:ascii="Times New Roman" w:eastAsia="Times New Roman" w:hAnsi="Times New Roman" w:cs="Times New Roman"/>
          <w:bCs/>
          <w:iCs/>
          <w:sz w:val="28"/>
          <w:szCs w:val="28"/>
        </w:rPr>
      </w:pPr>
      <w:r w:rsidRPr="00FF46C0">
        <w:rPr>
          <w:rFonts w:ascii="Times New Roman" w:eastAsia="Times New Roman" w:hAnsi="Times New Roman" w:cs="Times New Roman"/>
          <w:bCs/>
          <w:iCs/>
          <w:sz w:val="28"/>
          <w:szCs w:val="28"/>
        </w:rPr>
        <w:t>Збільшення адміністративних витрат  відносно фактичного показника 2018 року відбулось за рахунок:</w:t>
      </w:r>
    </w:p>
    <w:p w:rsidR="00A66407" w:rsidRPr="00FF46C0" w:rsidRDefault="00A66407" w:rsidP="00A66407">
      <w:pPr>
        <w:spacing w:after="0" w:line="240" w:lineRule="auto"/>
        <w:ind w:firstLine="709"/>
        <w:jc w:val="both"/>
        <w:rPr>
          <w:rFonts w:ascii="Times New Roman" w:hAnsi="Times New Roman"/>
          <w:sz w:val="28"/>
          <w:szCs w:val="28"/>
        </w:rPr>
      </w:pPr>
      <w:r w:rsidRPr="00FF46C0">
        <w:rPr>
          <w:rFonts w:ascii="Times New Roman" w:eastAsia="Times New Roman" w:hAnsi="Times New Roman" w:cs="Times New Roman"/>
          <w:bCs/>
          <w:iCs/>
          <w:sz w:val="28"/>
          <w:szCs w:val="28"/>
        </w:rPr>
        <w:t xml:space="preserve">- витрат створеної філії «Днопоглиблювальний флот» на 20 862 тис. грн. - </w:t>
      </w:r>
      <w:r w:rsidRPr="00FF46C0">
        <w:rPr>
          <w:rFonts w:ascii="Times New Roman" w:hAnsi="Times New Roman"/>
          <w:sz w:val="28"/>
          <w:szCs w:val="28"/>
        </w:rPr>
        <w:t>у 2018 році філія «Днопоглиблювальний флот» перебувала у процесі становлення, витрати філії були незначними та за 2018 рік складали лише 7 078 тис. грн.</w:t>
      </w:r>
    </w:p>
    <w:p w:rsidR="00A66407" w:rsidRPr="00604CA4" w:rsidRDefault="00A66407" w:rsidP="00A66407">
      <w:pPr>
        <w:pStyle w:val="a9"/>
        <w:numPr>
          <w:ilvl w:val="0"/>
          <w:numId w:val="24"/>
        </w:numPr>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витрат</w:t>
      </w:r>
      <w:r w:rsidRPr="00604CA4">
        <w:rPr>
          <w:rFonts w:ascii="Times New Roman" w:hAnsi="Times New Roman"/>
          <w:sz w:val="28"/>
          <w:szCs w:val="28"/>
        </w:rPr>
        <w:t xml:space="preserve"> на оплату праці на </w:t>
      </w:r>
      <w:r w:rsidRPr="00604CA4">
        <w:rPr>
          <w:rFonts w:ascii="Times New Roman" w:hAnsi="Times New Roman"/>
          <w:sz w:val="28"/>
          <w:szCs w:val="28"/>
          <w:lang w:val="ru-RU"/>
        </w:rPr>
        <w:t xml:space="preserve">90 261 </w:t>
      </w:r>
      <w:r w:rsidRPr="00604CA4">
        <w:rPr>
          <w:rFonts w:ascii="Times New Roman" w:hAnsi="Times New Roman"/>
          <w:sz w:val="28"/>
          <w:szCs w:val="28"/>
        </w:rPr>
        <w:t xml:space="preserve">тис. грн. (або на 20%) – </w:t>
      </w:r>
      <w:r w:rsidRPr="00604CA4">
        <w:rPr>
          <w:rStyle w:val="af3"/>
          <w:rFonts w:ascii="Times New Roman" w:eastAsia="Times New Roman" w:hAnsi="Times New Roman" w:cs="Times New Roman"/>
          <w:b w:val="0"/>
          <w:sz w:val="28"/>
          <w:szCs w:val="28"/>
        </w:rPr>
        <w:t xml:space="preserve">зростання </w:t>
      </w:r>
      <w:r w:rsidRPr="00604CA4">
        <w:rPr>
          <w:rFonts w:ascii="Times New Roman" w:hAnsi="Times New Roman" w:cs="Times New Roman"/>
          <w:sz w:val="28"/>
          <w:szCs w:val="28"/>
        </w:rPr>
        <w:t>обумовлено порядком визначення тарифних ставок (посадових окладів) працівників на базі прожиткового мінімуму для працездатних осіб відповідно до вимог колективних договорів філій ДП «АМПУ» та Галузевої угоди;</w:t>
      </w:r>
    </w:p>
    <w:p w:rsidR="00A66407" w:rsidRPr="00604CA4" w:rsidRDefault="00A66407" w:rsidP="00A66407">
      <w:pPr>
        <w:pStyle w:val="a9"/>
        <w:numPr>
          <w:ilvl w:val="0"/>
          <w:numId w:val="24"/>
        </w:numPr>
        <w:spacing w:after="0" w:line="240" w:lineRule="auto"/>
        <w:ind w:left="0" w:firstLine="567"/>
        <w:jc w:val="both"/>
        <w:rPr>
          <w:rStyle w:val="af3"/>
          <w:rFonts w:ascii="Times New Roman" w:eastAsia="Times New Roman" w:hAnsi="Times New Roman" w:cs="Times New Roman"/>
          <w:b w:val="0"/>
          <w:bCs w:val="0"/>
          <w:sz w:val="28"/>
          <w:szCs w:val="28"/>
        </w:rPr>
      </w:pPr>
      <w:r>
        <w:rPr>
          <w:rFonts w:ascii="Times New Roman" w:hAnsi="Times New Roman" w:cs="Times New Roman"/>
          <w:sz w:val="28"/>
          <w:szCs w:val="28"/>
        </w:rPr>
        <w:t xml:space="preserve"> </w:t>
      </w:r>
      <w:r w:rsidRPr="00604CA4">
        <w:rPr>
          <w:rFonts w:ascii="Times New Roman" w:hAnsi="Times New Roman" w:cs="Times New Roman"/>
          <w:sz w:val="28"/>
          <w:szCs w:val="28"/>
        </w:rPr>
        <w:t xml:space="preserve">відрахування на соціальні заходи на </w:t>
      </w:r>
      <w:r w:rsidRPr="00604CA4">
        <w:rPr>
          <w:rFonts w:ascii="Times New Roman" w:hAnsi="Times New Roman" w:cs="Times New Roman"/>
          <w:sz w:val="28"/>
          <w:szCs w:val="28"/>
          <w:lang w:val="ru-RU"/>
        </w:rPr>
        <w:t>16 829</w:t>
      </w:r>
      <w:r w:rsidRPr="00604CA4">
        <w:rPr>
          <w:rFonts w:ascii="Times New Roman" w:hAnsi="Times New Roman" w:cs="Times New Roman"/>
          <w:sz w:val="28"/>
          <w:szCs w:val="28"/>
        </w:rPr>
        <w:t xml:space="preserve"> тис. грн. </w:t>
      </w:r>
      <w:r w:rsidRPr="00604CA4">
        <w:rPr>
          <w:rFonts w:ascii="Times New Roman" w:hAnsi="Times New Roman"/>
          <w:sz w:val="28"/>
          <w:szCs w:val="28"/>
        </w:rPr>
        <w:t xml:space="preserve">(або на 19%) </w:t>
      </w:r>
      <w:r w:rsidRPr="00604CA4">
        <w:rPr>
          <w:rStyle w:val="af3"/>
          <w:rFonts w:ascii="Times New Roman" w:eastAsia="Times New Roman" w:hAnsi="Times New Roman" w:cs="Times New Roman"/>
          <w:b w:val="0"/>
          <w:sz w:val="28"/>
          <w:szCs w:val="28"/>
        </w:rPr>
        <w:t>відповідно зростанню витрат на оплату праці;</w:t>
      </w:r>
    </w:p>
    <w:p w:rsidR="00A66407" w:rsidRPr="00604CA4" w:rsidRDefault="00A66407" w:rsidP="00A66407">
      <w:pPr>
        <w:pStyle w:val="a9"/>
        <w:numPr>
          <w:ilvl w:val="0"/>
          <w:numId w:val="23"/>
        </w:numPr>
        <w:spacing w:after="0" w:line="264" w:lineRule="auto"/>
        <w:ind w:left="0" w:firstLine="567"/>
        <w:jc w:val="both"/>
        <w:rPr>
          <w:rFonts w:ascii="Times New Roman" w:eastAsia="Calibri" w:hAnsi="Times New Roman" w:cs="Times New Roman"/>
          <w:sz w:val="28"/>
          <w:szCs w:val="28"/>
        </w:rPr>
      </w:pPr>
      <w:r w:rsidRPr="00604CA4">
        <w:rPr>
          <w:rFonts w:ascii="Times New Roman" w:eastAsia="Times New Roman" w:hAnsi="Times New Roman" w:cs="Times New Roman"/>
          <w:bCs/>
          <w:iCs/>
          <w:sz w:val="28"/>
          <w:szCs w:val="28"/>
        </w:rPr>
        <w:t xml:space="preserve"> </w:t>
      </w:r>
      <w:r w:rsidR="00D04D51">
        <w:rPr>
          <w:rFonts w:ascii="Times New Roman" w:hAnsi="Times New Roman" w:cs="Times New Roman"/>
          <w:sz w:val="28"/>
          <w:szCs w:val="28"/>
        </w:rPr>
        <w:t>амортизації</w:t>
      </w:r>
      <w:r w:rsidRPr="00604CA4">
        <w:rPr>
          <w:rFonts w:ascii="Times New Roman" w:hAnsi="Times New Roman" w:cs="Times New Roman"/>
          <w:sz w:val="28"/>
          <w:szCs w:val="28"/>
        </w:rPr>
        <w:t xml:space="preserve"> основних засобів і нематеріальних активів загальногосподарського призначення на </w:t>
      </w:r>
      <w:r w:rsidRPr="00604CA4">
        <w:rPr>
          <w:rFonts w:ascii="Times New Roman" w:hAnsi="Times New Roman" w:cs="Times New Roman"/>
          <w:sz w:val="28"/>
          <w:szCs w:val="28"/>
          <w:lang w:val="ru-RU"/>
        </w:rPr>
        <w:t>10 187</w:t>
      </w:r>
      <w:r w:rsidRPr="00604CA4">
        <w:rPr>
          <w:rFonts w:ascii="Times New Roman" w:hAnsi="Times New Roman" w:cs="Times New Roman"/>
          <w:sz w:val="28"/>
          <w:szCs w:val="28"/>
        </w:rPr>
        <w:t xml:space="preserve"> тис. грн. </w:t>
      </w:r>
      <w:r w:rsidRPr="00604CA4">
        <w:rPr>
          <w:rFonts w:ascii="Times New Roman" w:hAnsi="Times New Roman"/>
          <w:sz w:val="28"/>
          <w:szCs w:val="28"/>
        </w:rPr>
        <w:t xml:space="preserve">(або на 33%) – переважно </w:t>
      </w:r>
      <w:r w:rsidRPr="00604CA4">
        <w:rPr>
          <w:rFonts w:ascii="OpenSans" w:hAnsi="OpenSans"/>
          <w:sz w:val="28"/>
          <w:szCs w:val="28"/>
          <w:shd w:val="clear" w:color="auto" w:fill="FFFFFF"/>
        </w:rPr>
        <w:t xml:space="preserve">нарахування  амортизації прав користування орендованим майном </w:t>
      </w:r>
      <w:r w:rsidRPr="00604CA4">
        <w:rPr>
          <w:rFonts w:ascii="Times New Roman" w:hAnsi="Times New Roman"/>
          <w:sz w:val="28"/>
          <w:szCs w:val="28"/>
        </w:rPr>
        <w:t xml:space="preserve">ТОВ «Юніверсал Консалтінг Плюс» </w:t>
      </w:r>
      <w:r w:rsidRPr="00604CA4">
        <w:rPr>
          <w:rFonts w:ascii="OpenSans" w:hAnsi="OpenSans"/>
          <w:sz w:val="28"/>
          <w:szCs w:val="28"/>
          <w:shd w:val="clear" w:color="auto" w:fill="FFFFFF"/>
        </w:rPr>
        <w:t xml:space="preserve">на виконання вимог МСФЗ за 2019 рік (договір з </w:t>
      </w:r>
      <w:r w:rsidRPr="00604CA4">
        <w:rPr>
          <w:rFonts w:ascii="Times New Roman" w:hAnsi="Times New Roman"/>
          <w:sz w:val="28"/>
          <w:szCs w:val="28"/>
        </w:rPr>
        <w:t xml:space="preserve">ТОВ «Юніверсал Консалтінг Плюс» укладений лише </w:t>
      </w:r>
      <w:r w:rsidRPr="00604CA4">
        <w:rPr>
          <w:rFonts w:ascii="Times New Roman" w:eastAsia="Times New Roman" w:hAnsi="Times New Roman" w:cs="Times New Roman"/>
          <w:sz w:val="28"/>
          <w:szCs w:val="28"/>
        </w:rPr>
        <w:t>07.09.2018</w:t>
      </w:r>
      <w:r w:rsidRPr="00604CA4">
        <w:rPr>
          <w:rFonts w:ascii="Times New Roman" w:hAnsi="Times New Roman"/>
          <w:sz w:val="28"/>
          <w:szCs w:val="28"/>
        </w:rPr>
        <w:t xml:space="preserve">). </w:t>
      </w:r>
    </w:p>
    <w:p w:rsidR="00A66407" w:rsidRPr="00604CA4" w:rsidRDefault="00A66407" w:rsidP="00A66407">
      <w:pPr>
        <w:pStyle w:val="a9"/>
        <w:numPr>
          <w:ilvl w:val="0"/>
          <w:numId w:val="24"/>
        </w:numPr>
        <w:spacing w:after="0" w:line="240" w:lineRule="auto"/>
        <w:ind w:left="0" w:firstLine="567"/>
        <w:jc w:val="both"/>
        <w:rPr>
          <w:rFonts w:ascii="Times New Roman" w:eastAsia="Times New Roman" w:hAnsi="Times New Roman" w:cs="Times New Roman"/>
          <w:bCs/>
          <w:iCs/>
          <w:sz w:val="28"/>
          <w:szCs w:val="28"/>
        </w:rPr>
      </w:pPr>
      <w:r>
        <w:rPr>
          <w:rFonts w:ascii="Times New Roman" w:hAnsi="Times New Roman"/>
          <w:sz w:val="28"/>
          <w:szCs w:val="28"/>
        </w:rPr>
        <w:t>витрат</w:t>
      </w:r>
      <w:r w:rsidRPr="00604CA4">
        <w:rPr>
          <w:rFonts w:ascii="Times New Roman" w:hAnsi="Times New Roman"/>
          <w:sz w:val="28"/>
          <w:szCs w:val="28"/>
        </w:rPr>
        <w:t xml:space="preserve"> </w:t>
      </w:r>
      <w:r w:rsidRPr="00604CA4">
        <w:rPr>
          <w:rFonts w:ascii="Times New Roman" w:hAnsi="Times New Roman" w:cs="Times New Roman"/>
          <w:sz w:val="28"/>
          <w:szCs w:val="28"/>
        </w:rPr>
        <w:t>на аудиторські послуги на 3 478 тис. грн., які включають:</w:t>
      </w:r>
    </w:p>
    <w:p w:rsidR="00A66407" w:rsidRPr="00604CA4" w:rsidRDefault="00A66407" w:rsidP="00A66407">
      <w:pPr>
        <w:pStyle w:val="a9"/>
        <w:numPr>
          <w:ilvl w:val="0"/>
          <w:numId w:val="30"/>
        </w:numPr>
        <w:spacing w:after="0" w:line="240" w:lineRule="auto"/>
        <w:jc w:val="both"/>
        <w:rPr>
          <w:rFonts w:ascii="Times New Roman" w:eastAsia="Times New Roman" w:hAnsi="Times New Roman" w:cs="Times New Roman"/>
          <w:bCs/>
          <w:iCs/>
          <w:sz w:val="28"/>
          <w:szCs w:val="28"/>
        </w:rPr>
      </w:pPr>
      <w:r w:rsidRPr="00604CA4">
        <w:rPr>
          <w:rFonts w:ascii="Times New Roman" w:hAnsi="Times New Roman" w:cs="Times New Roman"/>
          <w:sz w:val="28"/>
          <w:szCs w:val="28"/>
        </w:rPr>
        <w:t>трансформацію фінансової звітності ДП «АМПУ» за 2018 рік, складеної відповідно до положень (стандартів) бухгалтерського обліку у фінансову звітність, що відповідає вимогам Міжнародних стандартів фінансової звітності, у тому числі вхідних залишків станом на 01.01.2018 року;</w:t>
      </w:r>
    </w:p>
    <w:p w:rsidR="00A66407" w:rsidRPr="00604CA4" w:rsidRDefault="00A66407" w:rsidP="00A66407">
      <w:pPr>
        <w:pStyle w:val="a9"/>
        <w:numPr>
          <w:ilvl w:val="0"/>
          <w:numId w:val="30"/>
        </w:numPr>
        <w:spacing w:after="0" w:line="240" w:lineRule="auto"/>
        <w:jc w:val="both"/>
        <w:rPr>
          <w:rFonts w:ascii="Times New Roman" w:eastAsia="Times New Roman" w:hAnsi="Times New Roman" w:cs="Times New Roman"/>
          <w:bCs/>
          <w:iCs/>
          <w:sz w:val="28"/>
          <w:szCs w:val="28"/>
        </w:rPr>
      </w:pPr>
      <w:r w:rsidRPr="00604CA4">
        <w:rPr>
          <w:rFonts w:ascii="Times New Roman" w:hAnsi="Times New Roman" w:cs="Times New Roman"/>
          <w:sz w:val="28"/>
          <w:szCs w:val="28"/>
        </w:rPr>
        <w:t>аудит фінансової звітності ДП «АМПУ» за 2018 рік на відповідність Міжнародним стандартам фінансової звітності.</w:t>
      </w:r>
    </w:p>
    <w:p w:rsidR="00A66407" w:rsidRPr="00604CA4" w:rsidRDefault="00A66407" w:rsidP="00A66407">
      <w:pPr>
        <w:spacing w:after="0" w:line="264" w:lineRule="auto"/>
        <w:jc w:val="both"/>
        <w:rPr>
          <w:rFonts w:ascii="Times New Roman" w:eastAsia="Calibri" w:hAnsi="Times New Roman" w:cs="Times New Roman"/>
          <w:sz w:val="28"/>
          <w:szCs w:val="28"/>
        </w:rPr>
      </w:pPr>
      <w:r w:rsidRPr="00604CA4">
        <w:rPr>
          <w:rFonts w:ascii="Times New Roman" w:hAnsi="Times New Roman" w:cs="Times New Roman"/>
          <w:sz w:val="28"/>
          <w:szCs w:val="28"/>
        </w:rPr>
        <w:t xml:space="preserve">-          </w:t>
      </w:r>
      <w:r>
        <w:rPr>
          <w:rFonts w:ascii="Times New Roman" w:hAnsi="Times New Roman" w:cs="Times New Roman"/>
          <w:sz w:val="28"/>
          <w:szCs w:val="28"/>
        </w:rPr>
        <w:t>витрат</w:t>
      </w:r>
      <w:r w:rsidRPr="00604CA4">
        <w:rPr>
          <w:rFonts w:ascii="Times New Roman" w:hAnsi="Times New Roman" w:cs="Times New Roman"/>
          <w:sz w:val="28"/>
          <w:szCs w:val="28"/>
        </w:rPr>
        <w:t xml:space="preserve"> на юридичні послуги на </w:t>
      </w:r>
      <w:r w:rsidRPr="00604CA4">
        <w:rPr>
          <w:rFonts w:ascii="Times New Roman" w:hAnsi="Times New Roman" w:cs="Times New Roman"/>
          <w:sz w:val="28"/>
          <w:szCs w:val="28"/>
          <w:lang w:val="ru-RU"/>
        </w:rPr>
        <w:t>3 309</w:t>
      </w:r>
      <w:r w:rsidRPr="00604CA4">
        <w:rPr>
          <w:rFonts w:ascii="Times New Roman" w:hAnsi="Times New Roman" w:cs="Times New Roman"/>
          <w:sz w:val="28"/>
          <w:szCs w:val="28"/>
        </w:rPr>
        <w:t xml:space="preserve"> тис. грн. </w:t>
      </w:r>
      <w:r w:rsidRPr="00604CA4">
        <w:rPr>
          <w:rFonts w:ascii="Times New Roman" w:hAnsi="Times New Roman"/>
          <w:sz w:val="28"/>
          <w:szCs w:val="28"/>
        </w:rPr>
        <w:t xml:space="preserve">(або у 5 р.) – за рахунок витрат на послуги з юридичного консультування та юридичного представництва адвокатської компанії, які не мали місця у </w:t>
      </w:r>
      <w:r w:rsidRPr="00604CA4">
        <w:rPr>
          <w:rFonts w:ascii="Times New Roman" w:eastAsia="Times New Roman" w:hAnsi="Times New Roman" w:cs="Times New Roman"/>
          <w:bCs/>
          <w:iCs/>
          <w:sz w:val="28"/>
          <w:szCs w:val="28"/>
        </w:rPr>
        <w:t xml:space="preserve">аналогічному періоді 2018 року. Договір з адвокатською компанією укладений  відповідно до </w:t>
      </w:r>
      <w:r w:rsidRPr="00604CA4">
        <w:rPr>
          <w:rFonts w:ascii="Times New Roman" w:hAnsi="Times New Roman"/>
          <w:sz w:val="28"/>
          <w:szCs w:val="28"/>
        </w:rPr>
        <w:t>Закону України «Про внесення змін до Конституції України (щодо правосуддя)» № 1401-VIII від 02.06.2016 (далі - Закон), зокрема статтею 131</w:t>
      </w:r>
      <w:r w:rsidRPr="00604CA4">
        <w:rPr>
          <w:rFonts w:ascii="Times New Roman" w:hAnsi="Times New Roman"/>
          <w:sz w:val="28"/>
          <w:szCs w:val="28"/>
          <w:vertAlign w:val="superscript"/>
        </w:rPr>
        <w:t>2</w:t>
      </w:r>
      <w:r w:rsidRPr="00604CA4">
        <w:rPr>
          <w:rFonts w:ascii="Times New Roman" w:hAnsi="Times New Roman"/>
          <w:sz w:val="28"/>
          <w:szCs w:val="28"/>
        </w:rPr>
        <w:t>, відповідно до якої виключно адвокат здійснює представництво іншої особи в суді;</w:t>
      </w:r>
    </w:p>
    <w:p w:rsidR="00A66407" w:rsidRPr="00604CA4" w:rsidRDefault="00A66407" w:rsidP="00A66407">
      <w:pPr>
        <w:pStyle w:val="a9"/>
        <w:numPr>
          <w:ilvl w:val="0"/>
          <w:numId w:val="9"/>
        </w:numPr>
        <w:spacing w:after="0" w:line="264" w:lineRule="auto"/>
        <w:ind w:left="0" w:firstLine="567"/>
        <w:jc w:val="both"/>
        <w:rPr>
          <w:rFonts w:ascii="Times New Roman" w:hAnsi="Times New Roman" w:cs="Times New Roman"/>
          <w:sz w:val="28"/>
          <w:szCs w:val="28"/>
        </w:rPr>
      </w:pPr>
      <w:r>
        <w:rPr>
          <w:rFonts w:ascii="Times New Roman" w:hAnsi="Times New Roman"/>
          <w:sz w:val="28"/>
          <w:szCs w:val="28"/>
        </w:rPr>
        <w:lastRenderedPageBreak/>
        <w:t>витрат</w:t>
      </w:r>
      <w:r w:rsidRPr="00604CA4">
        <w:rPr>
          <w:rFonts w:ascii="Times New Roman" w:hAnsi="Times New Roman"/>
          <w:sz w:val="28"/>
          <w:szCs w:val="28"/>
        </w:rPr>
        <w:t xml:space="preserve"> на послуги банку на 3</w:t>
      </w:r>
      <w:r>
        <w:rPr>
          <w:rFonts w:ascii="Times New Roman" w:hAnsi="Times New Roman"/>
          <w:sz w:val="28"/>
          <w:szCs w:val="28"/>
        </w:rPr>
        <w:t xml:space="preserve"> 260  тис. грн. (або у 3,6</w:t>
      </w:r>
      <w:r w:rsidRPr="00604CA4">
        <w:rPr>
          <w:rFonts w:ascii="Times New Roman" w:hAnsi="Times New Roman"/>
          <w:sz w:val="28"/>
          <w:szCs w:val="28"/>
        </w:rPr>
        <w:t xml:space="preserve"> р.) – у зв’язку із збільшенням обсягів реалізації іноземної валюти;</w:t>
      </w:r>
    </w:p>
    <w:p w:rsidR="00A66407" w:rsidRPr="00604CA4" w:rsidRDefault="00A66407" w:rsidP="00A66407">
      <w:pPr>
        <w:pStyle w:val="a9"/>
        <w:numPr>
          <w:ilvl w:val="0"/>
          <w:numId w:val="24"/>
        </w:numPr>
        <w:spacing w:after="0" w:line="240" w:lineRule="auto"/>
        <w:ind w:left="0" w:firstLine="567"/>
        <w:jc w:val="both"/>
        <w:rPr>
          <w:rFonts w:ascii="Times New Roman" w:eastAsia="Times New Roman" w:hAnsi="Times New Roman" w:cs="Times New Roman"/>
          <w:bCs/>
          <w:iCs/>
          <w:sz w:val="28"/>
          <w:szCs w:val="28"/>
        </w:rPr>
      </w:pPr>
      <w:r>
        <w:rPr>
          <w:rFonts w:ascii="Times New Roman" w:hAnsi="Times New Roman" w:cs="Times New Roman"/>
          <w:sz w:val="28"/>
          <w:szCs w:val="28"/>
        </w:rPr>
        <w:t>витрат</w:t>
      </w:r>
      <w:r w:rsidRPr="00604CA4">
        <w:rPr>
          <w:rFonts w:ascii="Times New Roman" w:hAnsi="Times New Roman" w:cs="Times New Roman"/>
          <w:sz w:val="28"/>
          <w:szCs w:val="28"/>
        </w:rPr>
        <w:t xml:space="preserve">, пов'язані з використанням власних службових автомобілів на 3 115 тис. грн. </w:t>
      </w:r>
      <w:r w:rsidRPr="00604CA4">
        <w:rPr>
          <w:rFonts w:ascii="Times New Roman" w:hAnsi="Times New Roman"/>
          <w:sz w:val="28"/>
          <w:szCs w:val="28"/>
        </w:rPr>
        <w:t xml:space="preserve">(або на 11%)  -  </w:t>
      </w:r>
      <w:r w:rsidRPr="00604CA4">
        <w:rPr>
          <w:rStyle w:val="af3"/>
          <w:rFonts w:ascii="Times New Roman" w:hAnsi="Times New Roman" w:cs="Times New Roman"/>
          <w:b w:val="0"/>
          <w:sz w:val="28"/>
          <w:szCs w:val="28"/>
          <w:bdr w:val="none" w:sz="0" w:space="0" w:color="auto" w:frame="1"/>
        </w:rPr>
        <w:t>збільшення кількості</w:t>
      </w:r>
      <w:r w:rsidRPr="00604CA4">
        <w:rPr>
          <w:rStyle w:val="af3"/>
          <w:rFonts w:ascii="Times New Roman" w:hAnsi="Times New Roman" w:cs="Times New Roman"/>
          <w:sz w:val="28"/>
          <w:szCs w:val="28"/>
          <w:bdr w:val="none" w:sz="0" w:space="0" w:color="auto" w:frame="1"/>
        </w:rPr>
        <w:t xml:space="preserve"> </w:t>
      </w:r>
      <w:r w:rsidRPr="00604CA4">
        <w:rPr>
          <w:rFonts w:ascii="Times New Roman" w:hAnsi="Times New Roman"/>
          <w:sz w:val="28"/>
          <w:szCs w:val="28"/>
          <w:lang w:eastAsia="x-none"/>
        </w:rPr>
        <w:t xml:space="preserve"> відряджень  у зв’язку із виробничою необхідністю </w:t>
      </w:r>
      <w:r w:rsidRPr="00604CA4">
        <w:rPr>
          <w:rFonts w:ascii="Times New Roman" w:hAnsi="Times New Roman" w:cs="Times New Roman"/>
          <w:sz w:val="28"/>
          <w:szCs w:val="28"/>
          <w:lang w:eastAsia="x-none"/>
        </w:rPr>
        <w:t xml:space="preserve">участі працівників філій у </w:t>
      </w:r>
      <w:r w:rsidRPr="00604CA4">
        <w:rPr>
          <w:rFonts w:ascii="Times New Roman" w:hAnsi="Times New Roman" w:cs="Times New Roman"/>
          <w:sz w:val="28"/>
          <w:szCs w:val="28"/>
        </w:rPr>
        <w:t>нарадах, семінарах, тощо;</w:t>
      </w:r>
    </w:p>
    <w:p w:rsidR="00A66407" w:rsidRPr="00EA4692" w:rsidRDefault="00A66407" w:rsidP="00A66407">
      <w:pPr>
        <w:pStyle w:val="a9"/>
        <w:numPr>
          <w:ilvl w:val="0"/>
          <w:numId w:val="24"/>
        </w:numPr>
        <w:spacing w:after="0" w:line="240" w:lineRule="auto"/>
        <w:ind w:left="0" w:firstLine="567"/>
        <w:jc w:val="both"/>
        <w:rPr>
          <w:rFonts w:ascii="Times New Roman" w:hAnsi="Times New Roman"/>
          <w:sz w:val="28"/>
          <w:szCs w:val="28"/>
        </w:rPr>
      </w:pPr>
      <w:r w:rsidRPr="00EA4692">
        <w:rPr>
          <w:rFonts w:ascii="Times New Roman" w:eastAsia="Times New Roman" w:hAnsi="Times New Roman" w:cs="Times New Roman"/>
          <w:bCs/>
          <w:iCs/>
          <w:sz w:val="28"/>
          <w:szCs w:val="28"/>
        </w:rPr>
        <w:t>витрат на зв'язок на 3</w:t>
      </w:r>
      <w:r w:rsidRPr="00EA4692">
        <w:rPr>
          <w:rFonts w:ascii="Times New Roman" w:eastAsia="Times New Roman" w:hAnsi="Times New Roman" w:cs="Times New Roman"/>
          <w:bCs/>
          <w:iCs/>
          <w:sz w:val="28"/>
          <w:szCs w:val="28"/>
          <w:lang w:val="ru-RU"/>
        </w:rPr>
        <w:t xml:space="preserve">26 </w:t>
      </w:r>
      <w:r w:rsidRPr="00EA4692">
        <w:rPr>
          <w:rFonts w:ascii="Times New Roman" w:eastAsia="Times New Roman" w:hAnsi="Times New Roman" w:cs="Times New Roman"/>
          <w:bCs/>
          <w:iCs/>
          <w:sz w:val="28"/>
          <w:szCs w:val="28"/>
        </w:rPr>
        <w:t xml:space="preserve">тис. грн. </w:t>
      </w:r>
      <w:r w:rsidRPr="00EA4692">
        <w:rPr>
          <w:rFonts w:ascii="Times New Roman" w:hAnsi="Times New Roman"/>
          <w:sz w:val="28"/>
          <w:szCs w:val="28"/>
        </w:rPr>
        <w:t>(або на 11%) – за рахунок витрат:</w:t>
      </w:r>
    </w:p>
    <w:p w:rsidR="00A66407" w:rsidRPr="00EA4692" w:rsidRDefault="00A66407" w:rsidP="00A66407">
      <w:pPr>
        <w:spacing w:after="0" w:line="240" w:lineRule="auto"/>
        <w:ind w:firstLine="567"/>
        <w:jc w:val="both"/>
        <w:rPr>
          <w:rFonts w:ascii="Times New Roman" w:hAnsi="Times New Roman"/>
          <w:sz w:val="28"/>
          <w:szCs w:val="28"/>
        </w:rPr>
      </w:pPr>
      <w:r w:rsidRPr="00EA4692">
        <w:rPr>
          <w:rFonts w:ascii="Times New Roman" w:hAnsi="Times New Roman"/>
          <w:sz w:val="28"/>
          <w:szCs w:val="28"/>
        </w:rPr>
        <w:t xml:space="preserve">     1)  на послуги мобільного зв’язку – потреба в мобільному зв’язку на підприємстві обумовлено наявністю розподіленої структури, що викликає необхідність у значній кількості переміщення співробітників, а також оперативним характером роботи багатьох підрозділів підприємства. </w:t>
      </w:r>
    </w:p>
    <w:p w:rsidR="00A66407" w:rsidRPr="00EA4692" w:rsidRDefault="00A66407" w:rsidP="00A66407">
      <w:pPr>
        <w:spacing w:after="0" w:line="240" w:lineRule="auto"/>
        <w:ind w:firstLine="567"/>
        <w:jc w:val="both"/>
        <w:rPr>
          <w:rFonts w:ascii="Times New Roman" w:hAnsi="Times New Roman"/>
          <w:sz w:val="28"/>
          <w:szCs w:val="28"/>
        </w:rPr>
      </w:pPr>
      <w:r w:rsidRPr="00EA4692">
        <w:rPr>
          <w:rFonts w:ascii="Times New Roman" w:hAnsi="Times New Roman"/>
          <w:sz w:val="28"/>
          <w:szCs w:val="28"/>
        </w:rPr>
        <w:t xml:space="preserve">   2)  на послуги з передавання даних – подальший розвиток програми забезпечення надійного зв’язку між відокремленими підрозділами підприємства. Заходи передбачають створення у кожній філії одного основного та додаткового резервного (каналу) передачі даних з відокремленим введенням  та підключенням на територію філій та підключенням до центральної серверної в м. Одеса. Заходи необхідні для надійної та безперебійної роботи інформаційних систем підприємства, що централізуються, зокрема документообіг, АСБО, СЕД з підсистемою корпоративний портал, централізоване керування інфраструктурою.  </w:t>
      </w:r>
    </w:p>
    <w:p w:rsidR="00A66407" w:rsidRPr="00522E39" w:rsidRDefault="00A66407" w:rsidP="00A66407">
      <w:pPr>
        <w:pStyle w:val="a9"/>
        <w:numPr>
          <w:ilvl w:val="0"/>
          <w:numId w:val="23"/>
        </w:numPr>
        <w:spacing w:after="0" w:line="264"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витрат</w:t>
      </w:r>
      <w:r w:rsidRPr="00522E39">
        <w:rPr>
          <w:rFonts w:ascii="Times New Roman" w:hAnsi="Times New Roman" w:cs="Times New Roman"/>
          <w:sz w:val="28"/>
          <w:szCs w:val="28"/>
        </w:rPr>
        <w:t xml:space="preserve"> на охорону праці загальногосподарського персоналу на 68 тис. грн. </w:t>
      </w:r>
      <w:r w:rsidRPr="00522E39">
        <w:rPr>
          <w:rFonts w:ascii="Times New Roman" w:hAnsi="Times New Roman"/>
          <w:sz w:val="28"/>
          <w:szCs w:val="28"/>
        </w:rPr>
        <w:t xml:space="preserve">(або на 35%) – у </w:t>
      </w:r>
      <w:r w:rsidRPr="00522E39">
        <w:rPr>
          <w:rFonts w:ascii="Times New Roman" w:hAnsi="Times New Roman"/>
          <w:sz w:val="28"/>
          <w:szCs w:val="28"/>
          <w:lang w:val="ru-RU"/>
        </w:rPr>
        <w:t xml:space="preserve"> 2019 </w:t>
      </w:r>
      <w:r w:rsidRPr="00522E39">
        <w:rPr>
          <w:rFonts w:ascii="OpenSans" w:hAnsi="OpenSans"/>
          <w:sz w:val="28"/>
          <w:szCs w:val="28"/>
          <w:shd w:val="clear" w:color="auto" w:fill="FFFFFF"/>
        </w:rPr>
        <w:t xml:space="preserve">році </w:t>
      </w:r>
      <w:r w:rsidRPr="00522E39">
        <w:rPr>
          <w:rFonts w:ascii="Times New Roman" w:hAnsi="Times New Roman"/>
          <w:sz w:val="28"/>
          <w:szCs w:val="28"/>
        </w:rPr>
        <w:t>проведена атестація робочих місць (Одеська, Херсонська філія);</w:t>
      </w:r>
    </w:p>
    <w:p w:rsidR="00A66407" w:rsidRPr="00522E39" w:rsidRDefault="00A66407" w:rsidP="00A66407">
      <w:pPr>
        <w:pStyle w:val="a9"/>
        <w:numPr>
          <w:ilvl w:val="0"/>
          <w:numId w:val="9"/>
        </w:numPr>
        <w:spacing w:after="0" w:line="264" w:lineRule="auto"/>
        <w:ind w:left="0" w:firstLine="567"/>
        <w:jc w:val="both"/>
        <w:rPr>
          <w:rFonts w:ascii="Times New Roman" w:hAnsi="Times New Roman" w:cs="Times New Roman"/>
          <w:sz w:val="28"/>
          <w:szCs w:val="28"/>
        </w:rPr>
      </w:pPr>
      <w:r>
        <w:rPr>
          <w:rFonts w:ascii="Times New Roman" w:hAnsi="Times New Roman"/>
          <w:sz w:val="28"/>
          <w:szCs w:val="28"/>
        </w:rPr>
        <w:t>витрат</w:t>
      </w:r>
      <w:r w:rsidRPr="00522E39">
        <w:rPr>
          <w:rFonts w:ascii="Times New Roman" w:hAnsi="Times New Roman"/>
          <w:sz w:val="28"/>
          <w:szCs w:val="28"/>
        </w:rPr>
        <w:t xml:space="preserve"> на паливо на </w:t>
      </w:r>
      <w:r w:rsidRPr="00522E39">
        <w:rPr>
          <w:rFonts w:ascii="Times New Roman" w:hAnsi="Times New Roman"/>
          <w:sz w:val="28"/>
          <w:szCs w:val="28"/>
          <w:lang w:val="ru-RU"/>
        </w:rPr>
        <w:t>135</w:t>
      </w:r>
      <w:r w:rsidRPr="00522E39">
        <w:rPr>
          <w:rFonts w:ascii="Times New Roman" w:hAnsi="Times New Roman"/>
          <w:sz w:val="28"/>
          <w:szCs w:val="28"/>
        </w:rPr>
        <w:t xml:space="preserve"> тис. грн. (або на 12 %) - </w:t>
      </w:r>
      <w:r w:rsidRPr="00522E39">
        <w:rPr>
          <w:rFonts w:ascii="Times New Roman" w:hAnsi="Times New Roman"/>
          <w:sz w:val="28"/>
          <w:szCs w:val="28"/>
          <w:lang w:eastAsia="x-none"/>
        </w:rPr>
        <w:t>у зв’язку із збільшенням кількості відряджень адміністративного персоналу (Миколаївська філія);</w:t>
      </w:r>
    </w:p>
    <w:p w:rsidR="00A66407" w:rsidRPr="00522E39" w:rsidRDefault="00A66407" w:rsidP="00A66407">
      <w:pPr>
        <w:pStyle w:val="a9"/>
        <w:numPr>
          <w:ilvl w:val="0"/>
          <w:numId w:val="9"/>
        </w:numPr>
        <w:spacing w:after="0" w:line="264" w:lineRule="auto"/>
        <w:ind w:left="0" w:firstLine="567"/>
        <w:jc w:val="both"/>
        <w:rPr>
          <w:rFonts w:ascii="Times New Roman" w:hAnsi="Times New Roman" w:cs="Times New Roman"/>
          <w:sz w:val="28"/>
          <w:szCs w:val="28"/>
        </w:rPr>
      </w:pPr>
      <w:r>
        <w:rPr>
          <w:rFonts w:ascii="Times New Roman" w:hAnsi="Times New Roman"/>
          <w:sz w:val="28"/>
          <w:szCs w:val="28"/>
        </w:rPr>
        <w:t>витрат</w:t>
      </w:r>
      <w:r w:rsidRPr="00522E39">
        <w:rPr>
          <w:rFonts w:ascii="Times New Roman" w:hAnsi="Times New Roman"/>
          <w:sz w:val="28"/>
          <w:szCs w:val="28"/>
        </w:rPr>
        <w:t xml:space="preserve"> на охорону навколишнього середовища на 617 тис. грн.– за рахунок уніфікації статті "вивіз сміття", яка у 2018 році була відображена у складі статті "</w:t>
      </w:r>
      <w:r w:rsidRPr="00522E39">
        <w:rPr>
          <w:rFonts w:ascii="Times New Roman" w:hAnsi="Times New Roman"/>
          <w:sz w:val="28"/>
          <w:szCs w:val="28"/>
          <w:lang w:eastAsia="uk-UA"/>
        </w:rPr>
        <w:t>витрати на утримання основних фондів, інших необоротних активів загальногосподарського використання</w:t>
      </w:r>
      <w:r w:rsidRPr="00522E39">
        <w:rPr>
          <w:rFonts w:ascii="Times New Roman" w:hAnsi="Times New Roman"/>
          <w:sz w:val="28"/>
          <w:szCs w:val="28"/>
        </w:rPr>
        <w:t>" (рядок 1050);</w:t>
      </w:r>
    </w:p>
    <w:p w:rsidR="00A66407" w:rsidRPr="00141020" w:rsidRDefault="00A66407" w:rsidP="00A66407">
      <w:pPr>
        <w:pStyle w:val="a9"/>
        <w:numPr>
          <w:ilvl w:val="0"/>
          <w:numId w:val="9"/>
        </w:numPr>
        <w:spacing w:after="0" w:line="264" w:lineRule="auto"/>
        <w:ind w:left="0" w:firstLine="567"/>
        <w:jc w:val="both"/>
        <w:rPr>
          <w:rFonts w:ascii="Times New Roman" w:hAnsi="Times New Roman" w:cs="Times New Roman"/>
          <w:sz w:val="28"/>
          <w:szCs w:val="28"/>
        </w:rPr>
      </w:pPr>
      <w:r>
        <w:rPr>
          <w:rFonts w:ascii="Times New Roman" w:hAnsi="Times New Roman" w:cs="Times New Roman"/>
          <w:sz w:val="28"/>
          <w:szCs w:val="28"/>
        </w:rPr>
        <w:t>витрат</w:t>
      </w:r>
      <w:r w:rsidRPr="00141020">
        <w:rPr>
          <w:rFonts w:ascii="Times New Roman" w:hAnsi="Times New Roman" w:cs="Times New Roman"/>
          <w:sz w:val="28"/>
          <w:szCs w:val="28"/>
        </w:rPr>
        <w:t xml:space="preserve"> на медобстеження працівників на 711 тис. грн.</w:t>
      </w:r>
      <w:r w:rsidRPr="00141020">
        <w:rPr>
          <w:rFonts w:ascii="Times New Roman" w:hAnsi="Times New Roman"/>
          <w:sz w:val="28"/>
          <w:szCs w:val="28"/>
        </w:rPr>
        <w:t>– за рахунок  перенесення витрат зі складу собівартості (Південна філія)</w:t>
      </w:r>
      <w:r>
        <w:rPr>
          <w:rFonts w:ascii="Times New Roman" w:hAnsi="Times New Roman"/>
          <w:sz w:val="28"/>
          <w:szCs w:val="28"/>
        </w:rPr>
        <w:t>;</w:t>
      </w:r>
    </w:p>
    <w:p w:rsidR="00A66407" w:rsidRDefault="00A66407" w:rsidP="00A66407">
      <w:pPr>
        <w:pStyle w:val="a9"/>
        <w:numPr>
          <w:ilvl w:val="0"/>
          <w:numId w:val="9"/>
        </w:numPr>
        <w:spacing w:after="0" w:line="264"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послуг</w:t>
      </w:r>
      <w:r w:rsidRPr="00141020">
        <w:rPr>
          <w:rFonts w:ascii="Times New Roman" w:hAnsi="Times New Roman" w:cs="Times New Roman"/>
          <w:sz w:val="28"/>
          <w:szCs w:val="28"/>
        </w:rPr>
        <w:t xml:space="preserve"> з охорони та зберігання майна на 19 тис грн. (або на 23%)  - пов’язано із необхідністю встановлення приладів охоронної сигналізації у приміщеннях </w:t>
      </w:r>
      <w:r>
        <w:rPr>
          <w:rFonts w:ascii="Times New Roman" w:hAnsi="Times New Roman" w:cs="Times New Roman"/>
          <w:sz w:val="28"/>
          <w:szCs w:val="28"/>
        </w:rPr>
        <w:t xml:space="preserve">(Чорноморська філія); </w:t>
      </w:r>
    </w:p>
    <w:p w:rsidR="00A66407" w:rsidRDefault="00A66407" w:rsidP="00A66407">
      <w:pPr>
        <w:pStyle w:val="a9"/>
        <w:spacing w:after="0" w:line="264" w:lineRule="auto"/>
        <w:ind w:left="567"/>
        <w:jc w:val="both"/>
        <w:rPr>
          <w:rFonts w:ascii="Times New Roman" w:hAnsi="Times New Roman" w:cs="Times New Roman"/>
          <w:bCs/>
          <w:iCs/>
          <w:sz w:val="28"/>
          <w:szCs w:val="28"/>
        </w:rPr>
      </w:pPr>
      <w:r w:rsidRPr="00EA4692">
        <w:rPr>
          <w:rFonts w:ascii="Times New Roman" w:hAnsi="Times New Roman" w:cs="Times New Roman"/>
          <w:sz w:val="28"/>
          <w:szCs w:val="28"/>
          <w:lang w:val="ru-RU"/>
        </w:rPr>
        <w:t xml:space="preserve">- </w:t>
      </w:r>
      <w:r w:rsidRPr="00EA4692">
        <w:rPr>
          <w:rFonts w:ascii="Times New Roman" w:hAnsi="Times New Roman" w:cs="Times New Roman"/>
          <w:sz w:val="28"/>
          <w:szCs w:val="28"/>
        </w:rPr>
        <w:t xml:space="preserve">перерахування профкому на 3 442 тис. грн. (або на 18%) - </w:t>
      </w:r>
      <w:r w:rsidRPr="00EA4692">
        <w:rPr>
          <w:rFonts w:ascii="Times New Roman" w:hAnsi="Times New Roman" w:cs="Times New Roman"/>
          <w:bCs/>
          <w:iCs/>
          <w:sz w:val="28"/>
          <w:szCs w:val="28"/>
        </w:rPr>
        <w:t>нараховано відповідно до витрат на оплату праці згідно умов Колективного договору</w:t>
      </w:r>
      <w:r w:rsidRPr="00EA4692">
        <w:rPr>
          <w:rFonts w:ascii="Times New Roman" w:hAnsi="Times New Roman" w:cs="Times New Roman"/>
          <w:bCs/>
          <w:iCs/>
          <w:sz w:val="28"/>
          <w:szCs w:val="28"/>
          <w:lang w:val="ru-RU"/>
        </w:rPr>
        <w:t>.</w:t>
      </w:r>
      <w:r w:rsidRPr="00EA4692">
        <w:rPr>
          <w:rFonts w:ascii="Times New Roman" w:hAnsi="Times New Roman" w:cs="Times New Roman"/>
          <w:bCs/>
          <w:iCs/>
          <w:sz w:val="28"/>
          <w:szCs w:val="28"/>
        </w:rPr>
        <w:t xml:space="preserve"> </w:t>
      </w:r>
    </w:p>
    <w:p w:rsidR="00A66407" w:rsidRPr="0005357D" w:rsidRDefault="00A66407" w:rsidP="00A66407">
      <w:pPr>
        <w:pStyle w:val="a9"/>
        <w:spacing w:after="0" w:line="264" w:lineRule="auto"/>
        <w:ind w:left="567"/>
        <w:jc w:val="both"/>
        <w:rPr>
          <w:rFonts w:ascii="Times New Roman" w:hAnsi="Times New Roman" w:cs="Times New Roman"/>
          <w:color w:val="FF0000"/>
          <w:sz w:val="28"/>
          <w:szCs w:val="28"/>
        </w:rPr>
      </w:pPr>
    </w:p>
    <w:p w:rsidR="00A66407" w:rsidRPr="0005357D" w:rsidRDefault="00A66407" w:rsidP="00A66407">
      <w:pPr>
        <w:spacing w:after="0" w:line="264" w:lineRule="auto"/>
        <w:ind w:firstLine="567"/>
        <w:jc w:val="both"/>
        <w:rPr>
          <w:rFonts w:ascii="Times New Roman" w:eastAsia="Times New Roman" w:hAnsi="Times New Roman" w:cs="Times New Roman"/>
          <w:bCs/>
          <w:iCs/>
          <w:sz w:val="28"/>
          <w:szCs w:val="28"/>
        </w:rPr>
      </w:pPr>
      <w:r w:rsidRPr="0005357D">
        <w:rPr>
          <w:rFonts w:ascii="Times New Roman" w:eastAsia="Times New Roman" w:hAnsi="Times New Roman" w:cs="Times New Roman"/>
          <w:sz w:val="28"/>
          <w:szCs w:val="28"/>
          <w:lang w:eastAsia="ru-RU"/>
        </w:rPr>
        <w:t>Зменшення інших статей витрат у складі адміністративних витрат  за 2019 рік  відносно аналогічного періоду 2018 року пояснюється 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 та проведення робіт філіями.</w:t>
      </w:r>
    </w:p>
    <w:p w:rsidR="00A66407" w:rsidRDefault="00A66407" w:rsidP="00A66407">
      <w:pPr>
        <w:pStyle w:val="a9"/>
        <w:jc w:val="center"/>
        <w:rPr>
          <w:rFonts w:ascii="Times New Roman" w:eastAsia="Times New Roman" w:hAnsi="Times New Roman" w:cs="Times New Roman"/>
          <w:color w:val="FF0000"/>
          <w:sz w:val="28"/>
          <w:szCs w:val="28"/>
          <w:lang w:eastAsia="ru-RU"/>
        </w:rPr>
      </w:pPr>
    </w:p>
    <w:p w:rsidR="00FE3367" w:rsidRDefault="00FE3367" w:rsidP="00A66407">
      <w:pPr>
        <w:pStyle w:val="a9"/>
        <w:jc w:val="center"/>
        <w:rPr>
          <w:rFonts w:ascii="Times New Roman" w:eastAsia="Times New Roman" w:hAnsi="Times New Roman" w:cs="Times New Roman"/>
          <w:color w:val="FF0000"/>
          <w:sz w:val="28"/>
          <w:szCs w:val="28"/>
          <w:lang w:eastAsia="ru-RU"/>
        </w:rPr>
      </w:pPr>
    </w:p>
    <w:p w:rsidR="00FE3367" w:rsidRPr="00CA6969" w:rsidRDefault="00FE3367" w:rsidP="00A66407">
      <w:pPr>
        <w:pStyle w:val="a9"/>
        <w:jc w:val="center"/>
        <w:rPr>
          <w:rFonts w:ascii="Times New Roman" w:eastAsia="Times New Roman" w:hAnsi="Times New Roman" w:cs="Times New Roman"/>
          <w:color w:val="FF0000"/>
          <w:sz w:val="28"/>
          <w:szCs w:val="28"/>
          <w:lang w:eastAsia="ru-RU"/>
        </w:rPr>
      </w:pPr>
    </w:p>
    <w:p w:rsidR="00297220" w:rsidRPr="00297220" w:rsidRDefault="00B80D85" w:rsidP="00297220">
      <w:pPr>
        <w:spacing w:after="0" w:line="240" w:lineRule="auto"/>
        <w:contextualSpacing/>
        <w:jc w:val="center"/>
        <w:rPr>
          <w:rFonts w:ascii="Times New Roman" w:eastAsia="Times New Roman" w:hAnsi="Times New Roman" w:cs="Times New Roman"/>
          <w:b/>
          <w:sz w:val="28"/>
          <w:szCs w:val="28"/>
          <w:lang w:eastAsia="ru-RU"/>
        </w:rPr>
      </w:pPr>
      <w:r w:rsidRPr="00297220">
        <w:rPr>
          <w:rFonts w:ascii="Times New Roman" w:eastAsia="Times New Roman" w:hAnsi="Times New Roman" w:cs="Times New Roman"/>
          <w:b/>
          <w:sz w:val="28"/>
          <w:szCs w:val="28"/>
          <w:lang w:eastAsia="ru-RU"/>
        </w:rPr>
        <w:lastRenderedPageBreak/>
        <w:t xml:space="preserve">2.3. </w:t>
      </w:r>
      <w:r w:rsidR="00297220" w:rsidRPr="00297220">
        <w:rPr>
          <w:rFonts w:ascii="Times New Roman" w:eastAsia="Times New Roman" w:hAnsi="Times New Roman" w:cs="Times New Roman"/>
          <w:b/>
          <w:sz w:val="28"/>
          <w:szCs w:val="28"/>
          <w:lang w:eastAsia="ru-RU"/>
        </w:rPr>
        <w:t>Інші операційні витрати</w:t>
      </w:r>
    </w:p>
    <w:p w:rsidR="00297220" w:rsidRPr="00297220" w:rsidRDefault="00297220" w:rsidP="00297220">
      <w:pPr>
        <w:spacing w:after="0" w:line="240" w:lineRule="auto"/>
        <w:ind w:left="1855"/>
        <w:contextualSpacing/>
        <w:rPr>
          <w:rFonts w:ascii="Times New Roman" w:eastAsia="Times New Roman" w:hAnsi="Times New Roman" w:cs="Times New Roman"/>
          <w:b/>
          <w:color w:val="FF0000"/>
          <w:sz w:val="28"/>
          <w:szCs w:val="28"/>
          <w:lang w:eastAsia="ru-RU"/>
        </w:rPr>
      </w:pPr>
    </w:p>
    <w:p w:rsidR="00297220" w:rsidRPr="00297220" w:rsidRDefault="00297220" w:rsidP="00297220">
      <w:pPr>
        <w:spacing w:after="0" w:line="240" w:lineRule="auto"/>
        <w:ind w:firstLine="567"/>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bCs/>
          <w:iCs/>
          <w:sz w:val="28"/>
          <w:szCs w:val="28"/>
        </w:rPr>
        <w:t xml:space="preserve">За звітний період інші операційні витрати склали </w:t>
      </w:r>
      <w:r w:rsidRPr="00297220">
        <w:rPr>
          <w:rFonts w:ascii="Times New Roman" w:eastAsia="Times New Roman" w:hAnsi="Times New Roman" w:cs="Times New Roman"/>
          <w:b/>
          <w:bCs/>
          <w:iCs/>
          <w:sz w:val="28"/>
          <w:szCs w:val="28"/>
        </w:rPr>
        <w:t xml:space="preserve">469 884 </w:t>
      </w:r>
      <w:r w:rsidRPr="00297220">
        <w:rPr>
          <w:rFonts w:ascii="Times New Roman" w:eastAsia="Times New Roman" w:hAnsi="Times New Roman" w:cs="Times New Roman"/>
          <w:bCs/>
          <w:iCs/>
          <w:sz w:val="28"/>
          <w:szCs w:val="28"/>
        </w:rPr>
        <w:t xml:space="preserve">тис. грн., що більше на 98 814 тис. грн. або на 27 відсотків </w:t>
      </w:r>
      <w:r w:rsidRPr="00297220">
        <w:rPr>
          <w:rFonts w:ascii="Times New Roman" w:eastAsia="Times New Roman" w:hAnsi="Times New Roman" w:cs="Times New Roman"/>
          <w:bCs/>
          <w:iCs/>
          <w:sz w:val="28"/>
          <w:szCs w:val="28"/>
          <w:lang w:eastAsia="x-none"/>
        </w:rPr>
        <w:t xml:space="preserve">планового показника 2019 року та менше на 29 819 тис. грн. або на 6 відсотків аналогічного періоду </w:t>
      </w:r>
      <w:r w:rsidRPr="00297220">
        <w:rPr>
          <w:rFonts w:ascii="Times New Roman" w:eastAsia="Times New Roman" w:hAnsi="Times New Roman" w:cs="Times New Roman"/>
          <w:bCs/>
          <w:iCs/>
          <w:sz w:val="28"/>
          <w:szCs w:val="28"/>
        </w:rPr>
        <w:t>2018 року.</w:t>
      </w:r>
    </w:p>
    <w:p w:rsidR="00297220" w:rsidRPr="00D3606C" w:rsidRDefault="00297220" w:rsidP="00297220">
      <w:pPr>
        <w:spacing w:after="0" w:line="240" w:lineRule="auto"/>
        <w:ind w:firstLine="567"/>
        <w:jc w:val="right"/>
        <w:rPr>
          <w:rFonts w:ascii="Times New Roman" w:eastAsia="Times New Roman" w:hAnsi="Times New Roman" w:cs="Times New Roman"/>
          <w:bCs/>
          <w:iCs/>
          <w:sz w:val="24"/>
          <w:szCs w:val="24"/>
        </w:rPr>
      </w:pPr>
      <w:r w:rsidRPr="00D3606C">
        <w:rPr>
          <w:rFonts w:ascii="Times New Roman" w:hAnsi="Times New Roman" w:cs="Times New Roman"/>
          <w:sz w:val="24"/>
          <w:szCs w:val="24"/>
        </w:rPr>
        <w:t xml:space="preserve">Таблиця </w:t>
      </w:r>
      <w:r w:rsidR="00970A49" w:rsidRPr="00D3606C">
        <w:rPr>
          <w:rFonts w:ascii="Times New Roman" w:hAnsi="Times New Roman" w:cs="Times New Roman"/>
          <w:sz w:val="24"/>
          <w:szCs w:val="24"/>
        </w:rPr>
        <w:t>12</w:t>
      </w:r>
      <w:r w:rsidRPr="00D3606C">
        <w:rPr>
          <w:rFonts w:ascii="Times New Roman" w:hAnsi="Times New Roman" w:cs="Times New Roman"/>
          <w:sz w:val="24"/>
          <w:szCs w:val="24"/>
        </w:rPr>
        <w:t xml:space="preserve"> (тис. грн.)</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04"/>
        <w:gridCol w:w="1142"/>
        <w:gridCol w:w="1285"/>
        <w:gridCol w:w="1427"/>
        <w:gridCol w:w="1142"/>
        <w:gridCol w:w="1193"/>
      </w:tblGrid>
      <w:tr w:rsidR="00297220" w:rsidRPr="00297220" w:rsidTr="00D3606C">
        <w:trPr>
          <w:trHeight w:val="279"/>
        </w:trPr>
        <w:tc>
          <w:tcPr>
            <w:tcW w:w="3704" w:type="dxa"/>
            <w:vMerge w:val="restart"/>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Показники</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план</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r>
      <w:tr w:rsidR="00297220" w:rsidRPr="00297220" w:rsidTr="00D3606C">
        <w:trPr>
          <w:trHeight w:val="839"/>
        </w:trPr>
        <w:tc>
          <w:tcPr>
            <w:tcW w:w="3704" w:type="dxa"/>
            <w:vMerge/>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2018 рік </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 2019/ план 2019</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факт 2019/ факт 2018 </w:t>
            </w:r>
          </w:p>
        </w:tc>
      </w:tr>
      <w:tr w:rsidR="00297220" w:rsidRPr="00297220" w:rsidTr="00D3606C">
        <w:trPr>
          <w:trHeight w:val="325"/>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Інші операційні витрати, усього</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499 703</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371 070</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469 884</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127</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94</w:t>
            </w:r>
          </w:p>
        </w:tc>
      </w:tr>
      <w:tr w:rsidR="00297220" w:rsidRPr="00297220" w:rsidTr="00D3606C">
        <w:trPr>
          <w:trHeight w:val="325"/>
        </w:trPr>
        <w:tc>
          <w:tcPr>
            <w:tcW w:w="3704" w:type="dxa"/>
            <w:shd w:val="clear" w:color="auto" w:fill="FFFFFF" w:themeFill="background1"/>
            <w:noWrap/>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витрати на дослідження та розробки</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853</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4 135</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1 617</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39</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189</w:t>
            </w:r>
          </w:p>
        </w:tc>
      </w:tr>
      <w:tr w:rsidR="00297220" w:rsidRPr="00297220" w:rsidTr="00D3606C">
        <w:trPr>
          <w:trHeight w:val="325"/>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собівартість реалізованих виробничих запасів</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5 595</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1 185</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726</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61</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13</w:t>
            </w:r>
          </w:p>
        </w:tc>
      </w:tr>
      <w:tr w:rsidR="00297220" w:rsidRPr="00297220" w:rsidTr="00D3606C">
        <w:trPr>
          <w:trHeight w:val="325"/>
        </w:trPr>
        <w:tc>
          <w:tcPr>
            <w:tcW w:w="3704" w:type="dxa"/>
            <w:shd w:val="clear" w:color="auto" w:fill="FFFFFF" w:themeFill="background1"/>
            <w:noWrap/>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 xml:space="preserve">витрати від операційної курсової різниці </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58 164</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200 016</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228 277</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114</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в 3,9 р.</w:t>
            </w:r>
          </w:p>
        </w:tc>
      </w:tr>
      <w:tr w:rsidR="00297220" w:rsidRPr="00297220" w:rsidTr="00D3606C">
        <w:trPr>
          <w:trHeight w:val="325"/>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 xml:space="preserve">визначені економічні санкції </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275</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570</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731</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128</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в 2,7 р.</w:t>
            </w:r>
          </w:p>
        </w:tc>
      </w:tr>
      <w:tr w:rsidR="00297220" w:rsidRPr="00297220" w:rsidTr="00D3606C">
        <w:trPr>
          <w:trHeight w:val="527"/>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 xml:space="preserve">витрати на утримання, експлуатацію та забезпечення основної діяльності об'єктів соціальної інфраструктури </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108 311</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100 439</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97 274</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97</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90</w:t>
            </w:r>
          </w:p>
        </w:tc>
      </w:tr>
      <w:tr w:rsidR="00297220" w:rsidRPr="00297220" w:rsidTr="00D3606C">
        <w:trPr>
          <w:trHeight w:val="527"/>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витрати на утримання підрозділів мобілізаційної роботи та захисних споруд</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12 791</w:t>
            </w:r>
          </w:p>
        </w:tc>
        <w:tc>
          <w:tcPr>
            <w:tcW w:w="1285" w:type="dxa"/>
            <w:shd w:val="clear" w:color="auto" w:fill="FFFFFF" w:themeFill="background1"/>
            <w:vAlign w:val="center"/>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p>
        </w:tc>
        <w:tc>
          <w:tcPr>
            <w:tcW w:w="1427" w:type="dxa"/>
            <w:shd w:val="clear" w:color="auto" w:fill="FFFFFF" w:themeFill="background1"/>
            <w:vAlign w:val="center"/>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p>
        </w:tc>
        <w:tc>
          <w:tcPr>
            <w:tcW w:w="1142" w:type="dxa"/>
            <w:shd w:val="clear" w:color="auto" w:fill="FFFFFF" w:themeFill="background1"/>
            <w:vAlign w:val="center"/>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p>
        </w:tc>
        <w:tc>
          <w:tcPr>
            <w:tcW w:w="1193" w:type="dxa"/>
            <w:shd w:val="clear" w:color="auto" w:fill="FFFFFF" w:themeFill="background1"/>
            <w:vAlign w:val="center"/>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p>
        </w:tc>
      </w:tr>
      <w:tr w:rsidR="00297220" w:rsidRPr="00297220" w:rsidTr="00D3606C">
        <w:trPr>
          <w:trHeight w:val="527"/>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витрати на утримання митниці, прикордонних служб, водної міліції, профкому</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2 801</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3 054</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2 706</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89</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97</w:t>
            </w:r>
          </w:p>
        </w:tc>
      </w:tr>
      <w:tr w:rsidR="00297220" w:rsidRPr="00297220" w:rsidTr="00D3606C">
        <w:trPr>
          <w:trHeight w:val="325"/>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 xml:space="preserve">витрати на утримання основних засобів в оренді </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3 797</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3 485</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3 385</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97</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89</w:t>
            </w:r>
          </w:p>
        </w:tc>
      </w:tr>
      <w:tr w:rsidR="00297220" w:rsidRPr="00297220" w:rsidTr="00D3606C">
        <w:trPr>
          <w:trHeight w:val="325"/>
        </w:trPr>
        <w:tc>
          <w:tcPr>
            <w:tcW w:w="3704"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 xml:space="preserve">витрати на утримання основних засобів в спільної діяльності </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5 194</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5 944</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5 638</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95</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109</w:t>
            </w:r>
          </w:p>
        </w:tc>
      </w:tr>
      <w:tr w:rsidR="00297220" w:rsidRPr="00297220" w:rsidTr="00D3606C">
        <w:trPr>
          <w:trHeight w:val="325"/>
        </w:trPr>
        <w:tc>
          <w:tcPr>
            <w:tcW w:w="3704" w:type="dxa"/>
            <w:shd w:val="clear" w:color="auto" w:fill="FFFFFF" w:themeFill="background1"/>
            <w:noWrap/>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амортизація основних засобів невиробничого призначення</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904</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2 428</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1 579</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65</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175</w:t>
            </w:r>
          </w:p>
        </w:tc>
      </w:tr>
      <w:tr w:rsidR="00297220" w:rsidRPr="00297220" w:rsidTr="00D3606C">
        <w:trPr>
          <w:trHeight w:val="325"/>
        </w:trPr>
        <w:tc>
          <w:tcPr>
            <w:tcW w:w="3704" w:type="dxa"/>
            <w:shd w:val="clear" w:color="auto" w:fill="FFFFFF" w:themeFill="background1"/>
            <w:noWrap/>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 xml:space="preserve">відшкодування збитків рибному господарству </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3 758</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1 911</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1 640</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86</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44</w:t>
            </w:r>
          </w:p>
        </w:tc>
      </w:tr>
      <w:tr w:rsidR="00297220" w:rsidRPr="00297220" w:rsidTr="00D3606C">
        <w:trPr>
          <w:trHeight w:val="542"/>
        </w:trPr>
        <w:tc>
          <w:tcPr>
            <w:tcW w:w="3704" w:type="dxa"/>
            <w:shd w:val="clear" w:color="auto" w:fill="FFFFFF" w:themeFill="background1"/>
            <w:vAlign w:val="bottom"/>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частка ПДВ, яка згідно ст.199 Податкового кодексу України не відноситься до податкового кредиту</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9 370</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11 168</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15 647</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140</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167</w:t>
            </w:r>
          </w:p>
        </w:tc>
      </w:tr>
      <w:tr w:rsidR="00297220" w:rsidRPr="00297220" w:rsidTr="00D3606C">
        <w:trPr>
          <w:trHeight w:val="310"/>
        </w:trPr>
        <w:tc>
          <w:tcPr>
            <w:tcW w:w="3704" w:type="dxa"/>
            <w:shd w:val="clear" w:color="auto" w:fill="FFFFFF" w:themeFill="background1"/>
            <w:noWrap/>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членські внески до громадських організацій</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248</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100</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p>
        </w:tc>
      </w:tr>
      <w:tr w:rsidR="00297220" w:rsidRPr="00297220" w:rsidTr="00D3606C">
        <w:trPr>
          <w:trHeight w:val="310"/>
        </w:trPr>
        <w:tc>
          <w:tcPr>
            <w:tcW w:w="3704" w:type="dxa"/>
            <w:shd w:val="clear" w:color="auto" w:fill="FFFFFF" w:themeFill="background1"/>
            <w:noWrap/>
            <w:vAlign w:val="center"/>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резерв під очікувані кредитні збитки</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269 606</w:t>
            </w:r>
          </w:p>
        </w:tc>
        <w:tc>
          <w:tcPr>
            <w:tcW w:w="1285"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95 088</w:t>
            </w:r>
          </w:p>
        </w:tc>
        <w:tc>
          <w:tcPr>
            <w:tcW w:w="1427"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132 135</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139</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49</w:t>
            </w:r>
          </w:p>
        </w:tc>
      </w:tr>
      <w:tr w:rsidR="00297220" w:rsidRPr="00297220" w:rsidTr="00D3606C">
        <w:trPr>
          <w:trHeight w:val="341"/>
        </w:trPr>
        <w:tc>
          <w:tcPr>
            <w:tcW w:w="3704" w:type="dxa"/>
            <w:shd w:val="clear" w:color="auto" w:fill="FFFFFF" w:themeFill="background1"/>
            <w:noWrap/>
            <w:vAlign w:val="bottom"/>
            <w:hideMark/>
          </w:tcPr>
          <w:p w:rsidR="00297220" w:rsidRPr="00297220" w:rsidRDefault="00297220" w:rsidP="00297220">
            <w:pPr>
              <w:spacing w:after="0" w:line="240" w:lineRule="auto"/>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інші витрати</w:t>
            </w:r>
          </w:p>
        </w:tc>
        <w:tc>
          <w:tcPr>
            <w:tcW w:w="1142" w:type="dxa"/>
            <w:shd w:val="clear" w:color="auto" w:fill="FFFFFF" w:themeFill="background1"/>
            <w:noWrap/>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18 036</w:t>
            </w:r>
          </w:p>
        </w:tc>
        <w:tc>
          <w:tcPr>
            <w:tcW w:w="1285" w:type="dxa"/>
            <w:shd w:val="clear" w:color="auto" w:fill="FFFFFF" w:themeFill="background1"/>
            <w:noWrap/>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-58 354</w:t>
            </w:r>
          </w:p>
        </w:tc>
        <w:tc>
          <w:tcPr>
            <w:tcW w:w="1427" w:type="dxa"/>
            <w:shd w:val="clear" w:color="auto" w:fill="FFFFFF" w:themeFill="background1"/>
            <w:noWrap/>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-21 472</w:t>
            </w:r>
          </w:p>
        </w:tc>
        <w:tc>
          <w:tcPr>
            <w:tcW w:w="114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r w:rsidRPr="00297220">
              <w:rPr>
                <w:rFonts w:ascii="Times New Roman" w:eastAsia="Times New Roman" w:hAnsi="Times New Roman" w:cs="Times New Roman"/>
                <w:bCs/>
                <w:sz w:val="24"/>
                <w:szCs w:val="24"/>
                <w:lang w:eastAsia="uk-UA"/>
              </w:rPr>
              <w:t>37</w:t>
            </w:r>
          </w:p>
        </w:tc>
        <w:tc>
          <w:tcPr>
            <w:tcW w:w="1193"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Cs/>
                <w:sz w:val="24"/>
                <w:szCs w:val="24"/>
                <w:lang w:eastAsia="uk-UA"/>
              </w:rPr>
            </w:pPr>
          </w:p>
        </w:tc>
      </w:tr>
    </w:tbl>
    <w:p w:rsidR="00297220" w:rsidRPr="00297220" w:rsidRDefault="00297220" w:rsidP="00297220">
      <w:pPr>
        <w:spacing w:after="0" w:line="240" w:lineRule="auto"/>
        <w:ind w:firstLine="708"/>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 xml:space="preserve">У звітному періоді відображені витрати: </w:t>
      </w:r>
    </w:p>
    <w:p w:rsidR="00297220" w:rsidRPr="00297220" w:rsidRDefault="00297220" w:rsidP="00297220">
      <w:pPr>
        <w:spacing w:after="0" w:line="240" w:lineRule="auto"/>
        <w:ind w:firstLine="708"/>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витрати від операційної курсової різниці 228 277 тис. грн. (відображений чистий збиток від курсових різниць та продажу валюти,</w:t>
      </w:r>
      <w:r w:rsidRPr="00297220">
        <w:rPr>
          <w:rFonts w:ascii="Times New Roman" w:hAnsi="Times New Roman" w:cs="Times New Roman"/>
          <w:sz w:val="28"/>
          <w:szCs w:val="28"/>
        </w:rPr>
        <w:t xml:space="preserve"> що не планується у зв’язку з неможливістю визначення курсу іноземної валюти на етапі планування</w:t>
      </w:r>
      <w:r w:rsidRPr="00297220">
        <w:rPr>
          <w:rFonts w:ascii="Times New Roman" w:eastAsia="Times New Roman" w:hAnsi="Times New Roman" w:cs="Times New Roman"/>
          <w:sz w:val="28"/>
          <w:szCs w:val="28"/>
        </w:rPr>
        <w:t xml:space="preserve">);  </w:t>
      </w:r>
    </w:p>
    <w:p w:rsidR="00297220" w:rsidRPr="00297220" w:rsidRDefault="00297220" w:rsidP="00297220">
      <w:pPr>
        <w:spacing w:after="0" w:line="240" w:lineRule="auto"/>
        <w:ind w:firstLine="708"/>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lastRenderedPageBreak/>
        <w:t>частка ПДВ, яка згідно ст. 199 Податкового кодексу України не відноситься до податкового кредиту, в сумі 15 647 тис. грн.;</w:t>
      </w:r>
    </w:p>
    <w:p w:rsidR="00297220" w:rsidRPr="00297220" w:rsidRDefault="00297220" w:rsidP="00297220">
      <w:pPr>
        <w:spacing w:after="0" w:line="240" w:lineRule="auto"/>
        <w:ind w:firstLine="708"/>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визначені економічні санкції на суму 731 тис. грн., з них 202,4 тис. грн. Херсонської філії (136 тис. грн. на виконання рішення АК МОТВ АМКУ від 24.10.2019 № 1-26.250/40-2019, 68 тис. грн. за рішенням Адміністративної колегії № 71/12-р/к від 28.05.2019 ), 107,8 тис. грн. філією «Ольвія», 141,1 тис. грн. Миколаївської філії (оплата штрафу  за рішенням АМКУ), 97,2 тис. грн. Одеської філії (штраф за актом ДФСУ, відшкодування суми заборгованості та судових витрат, штрафні санкції відповідно рішення АМКУ);</w:t>
      </w:r>
    </w:p>
    <w:p w:rsidR="00297220" w:rsidRPr="00297220" w:rsidRDefault="00297220" w:rsidP="00297220">
      <w:pPr>
        <w:spacing w:after="0" w:line="240" w:lineRule="auto"/>
        <w:ind w:firstLine="708"/>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резерв під очікувані кредитні збитки, який створюється н</w:t>
      </w:r>
      <w:r w:rsidRPr="00297220">
        <w:rPr>
          <w:rFonts w:ascii="Times New Roman" w:hAnsi="Times New Roman" w:cs="Times New Roman"/>
          <w:sz w:val="28"/>
          <w:szCs w:val="28"/>
        </w:rPr>
        <w:t xml:space="preserve">а виконання вимог МСФЗ 9 «Фінансові інструменти», </w:t>
      </w:r>
      <w:r w:rsidRPr="00297220">
        <w:rPr>
          <w:rFonts w:ascii="Times New Roman" w:eastAsia="Times New Roman" w:hAnsi="Times New Roman" w:cs="Times New Roman"/>
          <w:sz w:val="28"/>
          <w:szCs w:val="28"/>
        </w:rPr>
        <w:t>у сумі 132 135 тис. грн., який більше планового показника на 37 046 тис. грн. (план оптимізований на виконання вимог протоколу засідання Кабінету Міністрів України від 15.11.2019 та протоколу наради під головуванням Державного секретаря Міністерства інфраструктури України від 22.11.2019 в рамках доопрацювання проекту фінансового плану ДП «АПМУ» на 2019 рік та оптимізації його планових показників) та менше на 137 471 тис. грн. аналогічного періоду 2018 року;</w:t>
      </w:r>
    </w:p>
    <w:p w:rsidR="00297220" w:rsidRPr="00297220" w:rsidRDefault="00297220" w:rsidP="00297220">
      <w:pPr>
        <w:spacing w:after="0" w:line="240" w:lineRule="auto"/>
        <w:ind w:firstLine="708"/>
        <w:jc w:val="both"/>
        <w:rPr>
          <w:rFonts w:ascii="Times New Roman" w:hAnsi="Times New Roman"/>
          <w:sz w:val="28"/>
          <w:szCs w:val="28"/>
        </w:rPr>
      </w:pPr>
      <w:r w:rsidRPr="00297220">
        <w:rPr>
          <w:rFonts w:ascii="Times New Roman" w:eastAsia="Times New Roman" w:hAnsi="Times New Roman" w:cs="Times New Roman"/>
          <w:sz w:val="28"/>
          <w:szCs w:val="28"/>
        </w:rPr>
        <w:t>переоцінені забезпечення за судовими процесами (</w:t>
      </w:r>
      <w:r w:rsidRPr="00297220">
        <w:rPr>
          <w:rFonts w:ascii="Times New Roman" w:hAnsi="Times New Roman"/>
          <w:sz w:val="28"/>
          <w:szCs w:val="28"/>
        </w:rPr>
        <w:t>ймовірність програшу), сума за якими була зменшена на</w:t>
      </w:r>
      <w:r w:rsidRPr="00297220">
        <w:rPr>
          <w:rFonts w:ascii="Times New Roman" w:eastAsia="Times New Roman" w:hAnsi="Times New Roman" w:cs="Times New Roman"/>
          <w:sz w:val="28"/>
          <w:szCs w:val="28"/>
        </w:rPr>
        <w:t xml:space="preserve"> 79 017 тис. грн. у 3-ому кварталі 2019 р., що в свою чергу вплинуло на зменшення інших витрат за підсумками року. </w:t>
      </w:r>
    </w:p>
    <w:p w:rsidR="00297220" w:rsidRPr="00297220" w:rsidRDefault="00297220" w:rsidP="00297220">
      <w:pPr>
        <w:spacing w:after="0" w:line="240" w:lineRule="auto"/>
        <w:ind w:firstLine="709"/>
        <w:jc w:val="both"/>
        <w:rPr>
          <w:rFonts w:ascii="Times New Roman" w:hAnsi="Times New Roman"/>
          <w:sz w:val="28"/>
          <w:szCs w:val="28"/>
        </w:rPr>
      </w:pPr>
      <w:r w:rsidRPr="00297220">
        <w:rPr>
          <w:rFonts w:ascii="Times New Roman" w:hAnsi="Times New Roman"/>
          <w:sz w:val="28"/>
          <w:szCs w:val="28"/>
        </w:rPr>
        <w:t>Крім того, у складі інших витрат враховані:</w:t>
      </w:r>
    </w:p>
    <w:p w:rsidR="00297220" w:rsidRPr="00297220" w:rsidRDefault="00297220" w:rsidP="00297220">
      <w:pPr>
        <w:spacing w:after="0" w:line="240" w:lineRule="auto"/>
        <w:ind w:firstLine="709"/>
        <w:jc w:val="both"/>
        <w:rPr>
          <w:rFonts w:ascii="Times New Roman" w:hAnsi="Times New Roman"/>
          <w:sz w:val="28"/>
          <w:szCs w:val="28"/>
        </w:rPr>
      </w:pPr>
      <w:r w:rsidRPr="00297220">
        <w:rPr>
          <w:rFonts w:ascii="Times New Roman" w:hAnsi="Times New Roman"/>
          <w:sz w:val="28"/>
          <w:szCs w:val="28"/>
        </w:rPr>
        <w:t xml:space="preserve">витрати послуг плавзасобів (морський буксир «Титан» Чорноморської філії та буксир «Гайдамака» філії «Дельта-лоцман») за період участі судна в поверненні військових кораблів України з анексованого Криму у сумі 1 953,3 тис. грн.; </w:t>
      </w:r>
    </w:p>
    <w:p w:rsidR="00297220" w:rsidRPr="00297220" w:rsidRDefault="00297220" w:rsidP="00297220">
      <w:pPr>
        <w:spacing w:after="0" w:line="240" w:lineRule="auto"/>
        <w:ind w:firstLine="709"/>
        <w:jc w:val="both"/>
        <w:rPr>
          <w:rFonts w:ascii="Times New Roman" w:hAnsi="Times New Roman" w:cs="Times New Roman"/>
          <w:sz w:val="28"/>
          <w:szCs w:val="28"/>
        </w:rPr>
      </w:pPr>
      <w:r w:rsidRPr="00297220">
        <w:rPr>
          <w:rFonts w:ascii="Times New Roman" w:hAnsi="Times New Roman"/>
          <w:sz w:val="28"/>
          <w:szCs w:val="28"/>
        </w:rPr>
        <w:t xml:space="preserve">витрати, пов'язані з передачею  барс "Олесандр Охрименко" до сфери управління  Міністерства оборони України (Наказ  Міністерства інфраструктури України від 12.09.2019 №692), зокрема передані товарно-матеріальні цінності (паливо для переходу, з/частини та інші матеріали), </w:t>
      </w:r>
      <w:r w:rsidRPr="00297220">
        <w:rPr>
          <w:rFonts w:ascii="Times New Roman" w:hAnsi="Times New Roman" w:cs="Times New Roman"/>
          <w:sz w:val="28"/>
          <w:szCs w:val="28"/>
        </w:rPr>
        <w:t xml:space="preserve">в сумі 3 519,9 тис. грн.; </w:t>
      </w:r>
    </w:p>
    <w:p w:rsidR="00297220" w:rsidRPr="00297220" w:rsidRDefault="00297220" w:rsidP="00297220">
      <w:pPr>
        <w:spacing w:after="0" w:line="240" w:lineRule="auto"/>
        <w:ind w:firstLine="709"/>
        <w:jc w:val="both"/>
        <w:rPr>
          <w:rFonts w:ascii="Times New Roman" w:eastAsia="Calibri" w:hAnsi="Times New Roman" w:cs="Times New Roman"/>
          <w:sz w:val="28"/>
          <w:szCs w:val="28"/>
        </w:rPr>
      </w:pPr>
      <w:r w:rsidRPr="00297220">
        <w:rPr>
          <w:rFonts w:ascii="Times New Roman" w:hAnsi="Times New Roman" w:cs="Times New Roman"/>
          <w:sz w:val="28"/>
          <w:szCs w:val="28"/>
        </w:rPr>
        <w:t>витрати на утримання служб капітанів порту в сумі 5 049,9 тис. грн. (</w:t>
      </w:r>
      <w:r w:rsidRPr="00297220">
        <w:rPr>
          <w:rFonts w:ascii="Times New Roman" w:eastAsia="Calibri" w:hAnsi="Times New Roman" w:cs="Times New Roman"/>
          <w:sz w:val="28"/>
          <w:szCs w:val="28"/>
        </w:rPr>
        <w:t xml:space="preserve">пов’язані із виплатами працівникам СКП на виконання окремого доручення в.о. Голови ДП "АМПУ" від 04.06.2019 № 506/10/ОД та наказу від 06.06.2019 № 140-ОД/27 "Про оголошення простою служби капітана порту", обумовлені тривалою процедурою вирішення даного питання); </w:t>
      </w:r>
    </w:p>
    <w:p w:rsidR="00297220" w:rsidRPr="00297220" w:rsidRDefault="00297220" w:rsidP="00297220">
      <w:pPr>
        <w:spacing w:after="0" w:line="240" w:lineRule="auto"/>
        <w:ind w:firstLine="709"/>
        <w:jc w:val="both"/>
        <w:rPr>
          <w:rFonts w:ascii="Times New Roman" w:hAnsi="Times New Roman" w:cs="Times New Roman"/>
          <w:sz w:val="28"/>
          <w:szCs w:val="28"/>
        </w:rPr>
      </w:pPr>
      <w:r w:rsidRPr="00297220">
        <w:rPr>
          <w:rFonts w:ascii="Times New Roman" w:hAnsi="Times New Roman" w:cs="Times New Roman"/>
          <w:sz w:val="28"/>
          <w:szCs w:val="28"/>
        </w:rPr>
        <w:t>витрати, пов’язані з передачею бланків, майна реорганізованих дипломно-паспортних відділів в сумі 5 203,3 тис. грн.;</w:t>
      </w:r>
    </w:p>
    <w:p w:rsidR="00297220" w:rsidRPr="00297220" w:rsidRDefault="00297220" w:rsidP="00297220">
      <w:pPr>
        <w:spacing w:after="0" w:line="240" w:lineRule="auto"/>
        <w:ind w:firstLine="708"/>
        <w:jc w:val="both"/>
        <w:rPr>
          <w:rFonts w:ascii="Times New Roman" w:eastAsia="Times New Roman" w:hAnsi="Times New Roman" w:cs="Times New Roman"/>
          <w:color w:val="000000"/>
          <w:sz w:val="24"/>
          <w:szCs w:val="24"/>
          <w:lang w:eastAsia="uk-UA"/>
        </w:rPr>
      </w:pPr>
      <w:r w:rsidRPr="00297220">
        <w:rPr>
          <w:rFonts w:ascii="Times New Roman" w:eastAsia="Times New Roman" w:hAnsi="Times New Roman" w:cs="Times New Roman"/>
          <w:color w:val="000000"/>
          <w:sz w:val="28"/>
          <w:szCs w:val="28"/>
          <w:lang w:eastAsia="uk-UA"/>
        </w:rPr>
        <w:t xml:space="preserve">витрати від знецінення запасів </w:t>
      </w:r>
      <w:r w:rsidRPr="00297220">
        <w:rPr>
          <w:rFonts w:ascii="Times New Roman" w:hAnsi="Times New Roman"/>
          <w:sz w:val="28"/>
          <w:szCs w:val="28"/>
        </w:rPr>
        <w:t>2 870 тис. грн., пільгові пенсії та допомога непрацюючим пенсіонерам 926 тис. грн., виплати  мобілізованим працівникам 584 тис. грн., списання дебіторської заборгованості 1 595 тис. грн., організація святкових заходів 224 тис. грн., путівки до баз відпочинку відповідних портів 625 тис. грн. тощо.</w:t>
      </w:r>
    </w:p>
    <w:p w:rsidR="00297220" w:rsidRPr="00297220" w:rsidRDefault="00297220" w:rsidP="00297220">
      <w:pPr>
        <w:spacing w:after="0" w:line="240" w:lineRule="auto"/>
        <w:ind w:firstLine="709"/>
        <w:jc w:val="both"/>
        <w:rPr>
          <w:rFonts w:ascii="Times New Roman" w:eastAsia="Times New Roman" w:hAnsi="Times New Roman" w:cs="Times New Roman"/>
          <w:sz w:val="28"/>
          <w:szCs w:val="28"/>
          <w:lang w:eastAsia="uk-UA"/>
        </w:rPr>
      </w:pPr>
      <w:r w:rsidRPr="00297220">
        <w:rPr>
          <w:rFonts w:ascii="Times New Roman" w:eastAsia="Times New Roman" w:hAnsi="Times New Roman" w:cs="Times New Roman"/>
          <w:sz w:val="28"/>
          <w:szCs w:val="28"/>
          <w:lang w:eastAsia="uk-UA"/>
        </w:rPr>
        <w:t>Переважно зменшення відносно планового показника відбулось за рахунок:</w:t>
      </w:r>
    </w:p>
    <w:p w:rsidR="00297220" w:rsidRPr="00297220" w:rsidRDefault="00297220" w:rsidP="00297220">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витрати на дослідження та розробки на 2 518 тис. грн. у зв’язку у зв’язку з продовженням заходів розробки та впровадження системи менеджменту якості (ISO 9001) та системи управління заходами боротьби з корупцією (ISO 37001) на 2020 рік;</w:t>
      </w:r>
    </w:p>
    <w:p w:rsidR="00297220" w:rsidRPr="00297220" w:rsidRDefault="00297220" w:rsidP="00297220">
      <w:pPr>
        <w:numPr>
          <w:ilvl w:val="0"/>
          <w:numId w:val="4"/>
        </w:numPr>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lastRenderedPageBreak/>
        <w:t>собівартість реалізованих виробничих запасів на 459 тис. грн. переважно за рахунок економії запланованих витрат філією «Дельта-лоцман» у розмірі 442,0 тис. грн. на реалізацію геотекстилю, форменого одягу працівникам філії, макулатури, металобрухту тощо;</w:t>
      </w:r>
    </w:p>
    <w:p w:rsidR="00297220" w:rsidRPr="00297220" w:rsidRDefault="00297220" w:rsidP="00297220">
      <w:pPr>
        <w:numPr>
          <w:ilvl w:val="0"/>
          <w:numId w:val="4"/>
        </w:numPr>
        <w:spacing w:line="240" w:lineRule="auto"/>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витрати на утримання приміщень для розміщення прикордонних підрозділів, митних та інших установ, що здійснюють контроль на державному кордоні у пунктах пропуску, пунктах контролю через державний кордон для морського сполучення, згідно ст.11 Закону України "Про морські порти України" та п. постанови КМУ від 22.02.1994 № 100, на 348 тис. грн. переважно за рахунок економії витрат на комунальні послуги;</w:t>
      </w:r>
    </w:p>
    <w:p w:rsidR="00297220" w:rsidRPr="00297220" w:rsidRDefault="00297220" w:rsidP="00297220">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амортизація основних засобів невиробничого призначення на 848 тис. грн. за рахунок корегування цих витрат в 4-ому кв. 2019 р. Миколаївською філією;</w:t>
      </w:r>
    </w:p>
    <w:p w:rsidR="00297220" w:rsidRPr="00297220" w:rsidRDefault="00297220" w:rsidP="00297220">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відшкодування збитків рибному господарству на 271 тис. грн. – відбувається по факту виконання днопоглиблювальних робіт.</w:t>
      </w:r>
    </w:p>
    <w:p w:rsidR="00297220" w:rsidRPr="00297220" w:rsidRDefault="00297220" w:rsidP="00297220">
      <w:pPr>
        <w:spacing w:after="0" w:line="240" w:lineRule="auto"/>
        <w:ind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Збільшення відносно факту 2018 року відбулося за статтями:</w:t>
      </w:r>
    </w:p>
    <w:p w:rsidR="00297220" w:rsidRPr="00297220" w:rsidRDefault="00297220" w:rsidP="00297220">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витрати на дослідження та розробки на 764 тис. грн. У звітному періоді відображені витрати за договорами з ДП "УКРНДІМФ» №109-В-АМПУ-18 від 18.09.2018 на суму 523 тис. грн. (розробка нормативного акту з пожежної безпеки на об’єктах та суднах морського транспорту) та № 108-В-АМПУ-18 от 18.09.2018 на суму 206 тис. грн. (формування посібника чинних нормативних документів, що надаються у морських портах України), за договором з ТОВ «РОЛАНД БЕРГЕР СТРЕТЕДЖИ КОНСАЛТЕНТС» на суму 888 тис. грн. за послуги з розробки маркетингових та інформаційно-рекламних матеріалів для забезпечення підготовки, затвердження та моніторингу виконання корпоративної стратегії ДП «АМПУ»;</w:t>
      </w:r>
    </w:p>
    <w:p w:rsidR="00297220" w:rsidRPr="00297220" w:rsidRDefault="00297220" w:rsidP="00297220">
      <w:pPr>
        <w:numPr>
          <w:ilvl w:val="0"/>
          <w:numId w:val="4"/>
        </w:numPr>
        <w:spacing w:line="240" w:lineRule="auto"/>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витрати на утримання основних засобів в спільної діяльності на 444 тис. грн. у зв’язку з необхідністю проведення ремонту основних засобів, переданих в спільну діяльність (факт 2018 р. 999 тис. грн., факт 2018 р. 1 441 тис. грн.), які не перевищують планові витрати на 2019 рік;</w:t>
      </w:r>
    </w:p>
    <w:p w:rsidR="00297220" w:rsidRPr="00297220" w:rsidRDefault="00297220" w:rsidP="00297220">
      <w:pPr>
        <w:numPr>
          <w:ilvl w:val="0"/>
          <w:numId w:val="4"/>
        </w:numPr>
        <w:spacing w:after="0" w:line="240" w:lineRule="auto"/>
        <w:ind w:left="0" w:firstLine="709"/>
        <w:contextualSpacing/>
        <w:jc w:val="both"/>
        <w:rPr>
          <w:rFonts w:ascii="Times New Roman" w:eastAsia="Times New Roman" w:hAnsi="Times New Roman" w:cs="Times New Roman"/>
          <w:color w:val="FF0000"/>
          <w:sz w:val="28"/>
          <w:szCs w:val="28"/>
        </w:rPr>
      </w:pPr>
      <w:r w:rsidRPr="00297220">
        <w:rPr>
          <w:rFonts w:ascii="Times New Roman" w:eastAsia="Times New Roman" w:hAnsi="Times New Roman" w:cs="Times New Roman"/>
          <w:sz w:val="28"/>
          <w:szCs w:val="28"/>
        </w:rPr>
        <w:t>амортизація основних засобів невиробничого призначення на 676 тис. грн. за рахунок збільшення цих витрат Миколаївською філією у зв’язку з виконанням вимог</w:t>
      </w:r>
      <w:r w:rsidRPr="00297220">
        <w:t xml:space="preserve"> </w:t>
      </w:r>
      <w:r w:rsidRPr="00297220">
        <w:rPr>
          <w:rFonts w:ascii="Times New Roman" w:eastAsia="Times New Roman" w:hAnsi="Times New Roman" w:cs="Times New Roman"/>
          <w:sz w:val="28"/>
          <w:szCs w:val="28"/>
        </w:rPr>
        <w:t>Облікової політики ДП «АМПУ», затвердженої наказом від 03.05.2019 року № 74/10, згідно п.п 24 п.1. розділу III амортизацію не припиняють, коли актив не використовується або він вибуває з активного використання, доки актив не буде амортизований повністю.</w:t>
      </w:r>
    </w:p>
    <w:p w:rsidR="00297220" w:rsidRPr="00297220" w:rsidRDefault="00297220" w:rsidP="00297220">
      <w:pPr>
        <w:spacing w:after="0" w:line="240" w:lineRule="auto"/>
        <w:ind w:firstLine="709"/>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При цьому, спостерігається зменшення витрат у порівнянні з фактичними показниками 2018 року за статтями:</w:t>
      </w:r>
    </w:p>
    <w:p w:rsidR="00297220" w:rsidRPr="00297220" w:rsidRDefault="00297220" w:rsidP="00297220">
      <w:pPr>
        <w:numPr>
          <w:ilvl w:val="0"/>
          <w:numId w:val="3"/>
        </w:numPr>
        <w:spacing w:after="0" w:line="240" w:lineRule="auto"/>
        <w:ind w:left="0" w:firstLine="709"/>
        <w:contextualSpacing/>
        <w:jc w:val="both"/>
        <w:rPr>
          <w:rFonts w:ascii="Times New Roman" w:eastAsia="Times New Roman" w:hAnsi="Times New Roman" w:cs="Times New Roman"/>
          <w:bCs/>
          <w:iCs/>
          <w:sz w:val="28"/>
          <w:szCs w:val="28"/>
        </w:rPr>
      </w:pPr>
      <w:r w:rsidRPr="00297220">
        <w:rPr>
          <w:rFonts w:ascii="Times New Roman" w:eastAsia="Times New Roman" w:hAnsi="Times New Roman" w:cs="Times New Roman"/>
          <w:sz w:val="28"/>
          <w:szCs w:val="28"/>
        </w:rPr>
        <w:t xml:space="preserve">собівартість реалізованих виробничих запасів на 4 869 тис. грн. </w:t>
      </w:r>
      <w:r w:rsidRPr="00297220">
        <w:rPr>
          <w:rFonts w:ascii="Times New Roman" w:eastAsia="Times New Roman" w:hAnsi="Times New Roman" w:cs="Times New Roman"/>
          <w:sz w:val="28"/>
          <w:szCs w:val="28"/>
          <w:lang w:eastAsia="ru-RU"/>
        </w:rPr>
        <w:t xml:space="preserve">у зв'язку зі зменшенням обсягів реалізації оприбуткованої вторинної сировини (металобрухту,  брухту свинцю, макулатури) на 3 417 тис. тон Південною філією, на 456 тис. грн. Миколаївською філією та на 819 тис. грн Маріупольською філією у зв’язку з реорганізацією служб капітанів портів та відповідно передачі функції з видачі дипломів, сертифікатів, посвідчень особи моряка тощо Морській Адміністрації; </w:t>
      </w:r>
    </w:p>
    <w:p w:rsidR="00297220" w:rsidRPr="00297220" w:rsidRDefault="00297220" w:rsidP="00297220">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lastRenderedPageBreak/>
        <w:t>відшкодування збитків рибному господарству на 2 117 тис. грн. за рахунок відображення цих витрат з 2019 року Бердянською, Білгород-Дністровською та Маріупольською філіями у складі собівартості.</w:t>
      </w:r>
    </w:p>
    <w:p w:rsidR="00297220" w:rsidRPr="00297220" w:rsidRDefault="00297220" w:rsidP="00297220">
      <w:pPr>
        <w:spacing w:after="0" w:line="240" w:lineRule="auto"/>
        <w:jc w:val="both"/>
        <w:rPr>
          <w:rFonts w:ascii="Times New Roman" w:eastAsia="Times New Roman" w:hAnsi="Times New Roman" w:cs="Times New Roman"/>
          <w:color w:val="FF0000"/>
          <w:sz w:val="28"/>
          <w:szCs w:val="28"/>
        </w:rPr>
      </w:pPr>
    </w:p>
    <w:p w:rsidR="00297220" w:rsidRPr="0060147C" w:rsidRDefault="00297220" w:rsidP="00297220">
      <w:pPr>
        <w:numPr>
          <w:ilvl w:val="1"/>
          <w:numId w:val="5"/>
        </w:numPr>
        <w:spacing w:after="0" w:line="240" w:lineRule="auto"/>
        <w:ind w:left="0" w:firstLine="0"/>
        <w:contextualSpacing/>
        <w:jc w:val="center"/>
        <w:rPr>
          <w:rFonts w:ascii="Times New Roman" w:eastAsia="Times New Roman" w:hAnsi="Times New Roman" w:cs="Times New Roman"/>
          <w:b/>
          <w:sz w:val="28"/>
          <w:szCs w:val="28"/>
          <w:lang w:eastAsia="ru-RU"/>
        </w:rPr>
      </w:pPr>
      <w:r w:rsidRPr="0060147C">
        <w:rPr>
          <w:rFonts w:ascii="Times New Roman" w:eastAsia="Times New Roman" w:hAnsi="Times New Roman" w:cs="Times New Roman"/>
          <w:b/>
          <w:sz w:val="28"/>
          <w:szCs w:val="28"/>
          <w:lang w:eastAsia="ru-RU"/>
        </w:rPr>
        <w:t>Ф</w:t>
      </w:r>
      <w:r w:rsidR="0060147C" w:rsidRPr="0060147C">
        <w:rPr>
          <w:rFonts w:ascii="Times New Roman" w:eastAsia="Times New Roman" w:hAnsi="Times New Roman" w:cs="Times New Roman"/>
          <w:b/>
          <w:sz w:val="28"/>
          <w:szCs w:val="28"/>
          <w:lang w:eastAsia="ru-RU"/>
        </w:rPr>
        <w:t>інансові</w:t>
      </w:r>
      <w:r w:rsidRPr="0060147C">
        <w:rPr>
          <w:rFonts w:ascii="Times New Roman" w:eastAsia="Times New Roman" w:hAnsi="Times New Roman" w:cs="Times New Roman"/>
          <w:b/>
          <w:sz w:val="28"/>
          <w:szCs w:val="28"/>
          <w:lang w:eastAsia="ru-RU"/>
        </w:rPr>
        <w:t xml:space="preserve"> витрати</w:t>
      </w:r>
    </w:p>
    <w:p w:rsidR="00297220" w:rsidRPr="00297220" w:rsidRDefault="00297220" w:rsidP="00297220">
      <w:pPr>
        <w:spacing w:after="0" w:line="240" w:lineRule="auto"/>
        <w:contextualSpacing/>
        <w:rPr>
          <w:rFonts w:ascii="Times New Roman" w:eastAsia="Times New Roman" w:hAnsi="Times New Roman" w:cs="Times New Roman"/>
          <w:b/>
          <w:sz w:val="28"/>
          <w:szCs w:val="28"/>
          <w:lang w:eastAsia="ru-RU"/>
        </w:rPr>
      </w:pPr>
    </w:p>
    <w:p w:rsidR="00297220" w:rsidRPr="00297220" w:rsidRDefault="00297220" w:rsidP="00297220">
      <w:pPr>
        <w:spacing w:after="0" w:line="240" w:lineRule="auto"/>
        <w:ind w:firstLine="708"/>
        <w:contextualSpacing/>
        <w:jc w:val="both"/>
        <w:rPr>
          <w:rFonts w:ascii="Times New Roman" w:hAnsi="Times New Roman" w:cs="Times New Roman"/>
        </w:rPr>
      </w:pPr>
      <w:r w:rsidRPr="00297220">
        <w:rPr>
          <w:rFonts w:ascii="Times New Roman" w:eastAsia="Times New Roman" w:hAnsi="Times New Roman" w:cs="Times New Roman"/>
          <w:sz w:val="28"/>
          <w:szCs w:val="28"/>
          <w:lang w:eastAsia="ru-RU"/>
        </w:rPr>
        <w:t xml:space="preserve">Фінансові витрати за 2019 рік склали </w:t>
      </w:r>
      <w:r w:rsidRPr="00297220">
        <w:rPr>
          <w:rFonts w:ascii="Times New Roman" w:eastAsia="Times New Roman" w:hAnsi="Times New Roman" w:cs="Times New Roman"/>
          <w:b/>
          <w:sz w:val="28"/>
          <w:szCs w:val="28"/>
          <w:lang w:eastAsia="ru-RU"/>
        </w:rPr>
        <w:t>10 247</w:t>
      </w:r>
      <w:r w:rsidRPr="00297220">
        <w:rPr>
          <w:rFonts w:ascii="Times New Roman" w:eastAsia="Times New Roman" w:hAnsi="Times New Roman" w:cs="Times New Roman"/>
          <w:sz w:val="28"/>
          <w:szCs w:val="28"/>
          <w:lang w:eastAsia="ru-RU"/>
        </w:rPr>
        <w:t xml:space="preserve"> тис. грн</w:t>
      </w:r>
      <w:r w:rsidRPr="00297220">
        <w:rPr>
          <w:rFonts w:ascii="Times New Roman" w:eastAsia="Times New Roman" w:hAnsi="Times New Roman" w:cs="Times New Roman"/>
          <w:bCs/>
          <w:iCs/>
          <w:sz w:val="28"/>
          <w:szCs w:val="28"/>
        </w:rPr>
        <w:t>. та пов’язані зі с</w:t>
      </w:r>
      <w:r w:rsidRPr="00297220">
        <w:rPr>
          <w:rFonts w:ascii="Times New Roman" w:hAnsi="Times New Roman" w:cs="Times New Roman"/>
          <w:sz w:val="28"/>
          <w:szCs w:val="28"/>
        </w:rPr>
        <w:t xml:space="preserve">кладанням ДП «АМПУ» з 2019 року фінансової звітності за </w:t>
      </w:r>
      <w:r w:rsidRPr="00297220">
        <w:rPr>
          <w:rFonts w:ascii="Times New Roman" w:hAnsi="Times New Roman"/>
          <w:sz w:val="28"/>
          <w:szCs w:val="28"/>
        </w:rPr>
        <w:t xml:space="preserve">міжнародними стандартами. </w:t>
      </w:r>
      <w:r w:rsidRPr="00297220">
        <w:rPr>
          <w:rFonts w:ascii="Times New Roman" w:eastAsia="Times New Roman" w:hAnsi="Times New Roman" w:cs="Times New Roman"/>
          <w:bCs/>
          <w:sz w:val="28"/>
          <w:szCs w:val="28"/>
          <w:lang w:eastAsia="ru-RU"/>
        </w:rPr>
        <w:t xml:space="preserve">МСФЗ (IFRS) 16 «Оренда» визначається, що </w:t>
      </w:r>
      <w:r w:rsidRPr="00297220">
        <w:rPr>
          <w:rFonts w:ascii="Times New Roman" w:eastAsia="Times New Roman" w:hAnsi="Times New Roman" w:cs="Times New Roman"/>
          <w:sz w:val="28"/>
          <w:szCs w:val="28"/>
          <w:lang w:eastAsia="ru-RU"/>
        </w:rPr>
        <w:t xml:space="preserve">для орендаря є лише одна модель обліку оренди – фінансова, за якою орендар у момент укладення договору повинен визнати право користування активом і відповідне зобов'язання у звіті про фінансовий стан у сумі дисконтованих майбутніх платежів за договором оренди. </w:t>
      </w:r>
    </w:p>
    <w:p w:rsidR="00297220" w:rsidRPr="00D3606C" w:rsidRDefault="00297220" w:rsidP="00297220">
      <w:pPr>
        <w:spacing w:after="0" w:line="240" w:lineRule="auto"/>
        <w:ind w:firstLine="708"/>
        <w:contextualSpacing/>
        <w:jc w:val="right"/>
        <w:rPr>
          <w:rFonts w:ascii="Times New Roman" w:hAnsi="Times New Roman" w:cs="Times New Roman"/>
          <w:sz w:val="24"/>
          <w:szCs w:val="24"/>
        </w:rPr>
      </w:pPr>
      <w:r w:rsidRPr="00D3606C">
        <w:rPr>
          <w:rFonts w:ascii="Times New Roman" w:hAnsi="Times New Roman" w:cs="Times New Roman"/>
          <w:sz w:val="24"/>
          <w:szCs w:val="24"/>
        </w:rPr>
        <w:t xml:space="preserve">Таблиця </w:t>
      </w:r>
      <w:r w:rsidR="00970A49" w:rsidRPr="00D3606C">
        <w:rPr>
          <w:rFonts w:ascii="Times New Roman" w:hAnsi="Times New Roman" w:cs="Times New Roman"/>
          <w:sz w:val="24"/>
          <w:szCs w:val="24"/>
        </w:rPr>
        <w:t>13</w:t>
      </w:r>
      <w:r w:rsidRPr="00D3606C">
        <w:rPr>
          <w:rFonts w:ascii="Times New Roman" w:hAnsi="Times New Roman" w:cs="Times New Roman"/>
          <w:sz w:val="24"/>
          <w:szCs w:val="24"/>
        </w:rPr>
        <w:t xml:space="preserve"> ( тис. грн.)</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72"/>
        <w:gridCol w:w="1314"/>
        <w:gridCol w:w="1462"/>
        <w:gridCol w:w="1461"/>
        <w:gridCol w:w="1462"/>
        <w:gridCol w:w="1461"/>
      </w:tblGrid>
      <w:tr w:rsidR="00297220" w:rsidRPr="00297220" w:rsidTr="00D3606C">
        <w:trPr>
          <w:trHeight w:val="294"/>
        </w:trPr>
        <w:tc>
          <w:tcPr>
            <w:tcW w:w="2772" w:type="dxa"/>
            <w:vMerge w:val="restart"/>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Показники</w:t>
            </w:r>
          </w:p>
        </w:tc>
        <w:tc>
          <w:tcPr>
            <w:tcW w:w="1314"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план</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r>
      <w:tr w:rsidR="00297220" w:rsidRPr="00297220" w:rsidTr="00D3606C">
        <w:trPr>
          <w:trHeight w:val="778"/>
        </w:trPr>
        <w:tc>
          <w:tcPr>
            <w:tcW w:w="2772" w:type="dxa"/>
            <w:vMerge/>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p>
        </w:tc>
        <w:tc>
          <w:tcPr>
            <w:tcW w:w="1314"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2018 рік </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2019 рік</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 2019/ план 2019</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факт 2019/ факт 2018 </w:t>
            </w:r>
          </w:p>
        </w:tc>
      </w:tr>
      <w:tr w:rsidR="00297220" w:rsidRPr="00297220" w:rsidTr="00D3606C">
        <w:trPr>
          <w:trHeight w:val="294"/>
        </w:trPr>
        <w:tc>
          <w:tcPr>
            <w:tcW w:w="2772" w:type="dxa"/>
            <w:shd w:val="clear" w:color="auto" w:fill="FFFFFF" w:themeFill="background1"/>
            <w:noWrap/>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Фінансові витрати</w:t>
            </w:r>
          </w:p>
        </w:tc>
        <w:tc>
          <w:tcPr>
            <w:tcW w:w="1314"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4 989</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10 074</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10 247</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102</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в 2,0 р.</w:t>
            </w:r>
          </w:p>
        </w:tc>
      </w:tr>
      <w:tr w:rsidR="00297220" w:rsidRPr="00297220" w:rsidTr="00D3606C">
        <w:trPr>
          <w:trHeight w:val="294"/>
        </w:trPr>
        <w:tc>
          <w:tcPr>
            <w:tcW w:w="2772" w:type="dxa"/>
            <w:shd w:val="clear" w:color="auto" w:fill="FFFFFF" w:themeFill="background1"/>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інші</w:t>
            </w:r>
          </w:p>
        </w:tc>
        <w:tc>
          <w:tcPr>
            <w:tcW w:w="1314"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4 989</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10 074</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10 247</w:t>
            </w:r>
          </w:p>
        </w:tc>
        <w:tc>
          <w:tcPr>
            <w:tcW w:w="1462"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102</w:t>
            </w:r>
          </w:p>
        </w:tc>
        <w:tc>
          <w:tcPr>
            <w:tcW w:w="1461" w:type="dxa"/>
            <w:shd w:val="clear" w:color="auto" w:fill="FFFFFF" w:themeFill="background1"/>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в 2,0 р.</w:t>
            </w:r>
          </w:p>
        </w:tc>
      </w:tr>
    </w:tbl>
    <w:p w:rsidR="00297220" w:rsidRPr="00297220" w:rsidRDefault="00297220" w:rsidP="00297220">
      <w:pPr>
        <w:spacing w:after="0" w:line="240" w:lineRule="auto"/>
        <w:ind w:firstLine="708"/>
        <w:contextualSpacing/>
        <w:jc w:val="right"/>
        <w:rPr>
          <w:rFonts w:ascii="Times New Roman" w:hAnsi="Times New Roman" w:cs="Times New Roman"/>
          <w:sz w:val="28"/>
          <w:szCs w:val="28"/>
        </w:rPr>
      </w:pPr>
    </w:p>
    <w:p w:rsidR="00297220" w:rsidRPr="00297220" w:rsidRDefault="00297220" w:rsidP="00297220">
      <w:pPr>
        <w:spacing w:after="0" w:line="240" w:lineRule="auto"/>
        <w:ind w:firstLine="708"/>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sz w:val="28"/>
          <w:szCs w:val="28"/>
        </w:rPr>
        <w:t>Збільшення витрат у порівнянні з аналогічним періодом 2018 року пов’язане з заключенням ДП «АМПУ» договору № 104-В-АМПУ-18 від 07.09.2018 про оренду нежитлових приміщень з ТОВ «Юніверсал Консалтінг Плюс» (оренда 1 898,3 кв. м за адресою: м. Київ, Контрактова площа, буд. 10 для розміщення апарату управління ДП «АМПУ»).</w:t>
      </w:r>
    </w:p>
    <w:p w:rsidR="00297220" w:rsidRPr="00297220" w:rsidRDefault="00297220" w:rsidP="00297220">
      <w:pPr>
        <w:spacing w:after="0" w:line="240" w:lineRule="auto"/>
        <w:rPr>
          <w:rFonts w:ascii="Times New Roman" w:eastAsia="Times New Roman" w:hAnsi="Times New Roman" w:cs="Times New Roman"/>
          <w:b/>
          <w:color w:val="FF0000"/>
          <w:sz w:val="28"/>
          <w:szCs w:val="28"/>
          <w:lang w:eastAsia="ru-RU"/>
        </w:rPr>
      </w:pPr>
    </w:p>
    <w:p w:rsidR="00297220" w:rsidRPr="00297220" w:rsidRDefault="00297220" w:rsidP="00297220">
      <w:pPr>
        <w:numPr>
          <w:ilvl w:val="1"/>
          <w:numId w:val="5"/>
        </w:numPr>
        <w:spacing w:after="0" w:line="240" w:lineRule="auto"/>
        <w:ind w:left="0" w:firstLine="0"/>
        <w:contextualSpacing/>
        <w:jc w:val="center"/>
        <w:rPr>
          <w:rFonts w:ascii="Times New Roman" w:eastAsia="Times New Roman" w:hAnsi="Times New Roman" w:cs="Times New Roman"/>
          <w:b/>
          <w:sz w:val="28"/>
          <w:szCs w:val="28"/>
          <w:lang w:eastAsia="ru-RU"/>
        </w:rPr>
      </w:pPr>
      <w:r w:rsidRPr="00297220">
        <w:rPr>
          <w:rFonts w:ascii="Times New Roman" w:eastAsia="Times New Roman" w:hAnsi="Times New Roman" w:cs="Times New Roman"/>
          <w:b/>
          <w:color w:val="FF0000"/>
          <w:sz w:val="28"/>
          <w:szCs w:val="28"/>
          <w:lang w:eastAsia="ru-RU"/>
        </w:rPr>
        <w:t xml:space="preserve"> </w:t>
      </w:r>
      <w:r w:rsidRPr="00297220">
        <w:rPr>
          <w:rFonts w:ascii="Times New Roman" w:eastAsia="Times New Roman" w:hAnsi="Times New Roman" w:cs="Times New Roman"/>
          <w:b/>
          <w:sz w:val="28"/>
          <w:szCs w:val="28"/>
          <w:lang w:eastAsia="ru-RU"/>
        </w:rPr>
        <w:t>Інші витрати</w:t>
      </w:r>
    </w:p>
    <w:p w:rsidR="00297220" w:rsidRPr="00297220" w:rsidRDefault="00297220" w:rsidP="00297220">
      <w:pPr>
        <w:spacing w:after="0" w:line="240" w:lineRule="auto"/>
        <w:ind w:firstLine="567"/>
        <w:contextualSpacing/>
        <w:jc w:val="both"/>
        <w:rPr>
          <w:rFonts w:ascii="Times New Roman" w:eastAsia="Times New Roman" w:hAnsi="Times New Roman" w:cs="Times New Roman"/>
          <w:sz w:val="28"/>
          <w:szCs w:val="28"/>
          <w:lang w:eastAsia="ru-RU"/>
        </w:rPr>
      </w:pPr>
    </w:p>
    <w:p w:rsidR="00297220" w:rsidRPr="00297220" w:rsidRDefault="00297220" w:rsidP="00297220">
      <w:pPr>
        <w:spacing w:after="0" w:line="240" w:lineRule="auto"/>
        <w:ind w:firstLine="709"/>
        <w:jc w:val="both"/>
        <w:rPr>
          <w:rFonts w:ascii="Times New Roman" w:eastAsia="Times New Roman" w:hAnsi="Times New Roman" w:cs="Times New Roman"/>
          <w:bCs/>
          <w:iCs/>
          <w:sz w:val="28"/>
          <w:szCs w:val="28"/>
          <w:lang w:eastAsia="x-none"/>
        </w:rPr>
      </w:pPr>
      <w:r w:rsidRPr="00297220">
        <w:rPr>
          <w:rFonts w:ascii="Times New Roman" w:eastAsia="Times New Roman" w:hAnsi="Times New Roman" w:cs="Times New Roman"/>
          <w:sz w:val="28"/>
          <w:szCs w:val="28"/>
          <w:lang w:eastAsia="ru-RU"/>
        </w:rPr>
        <w:t xml:space="preserve">Інші витрати за 2019 рік склали </w:t>
      </w:r>
      <w:r w:rsidRPr="00297220">
        <w:rPr>
          <w:rFonts w:ascii="Times New Roman" w:hAnsi="Times New Roman"/>
          <w:b/>
          <w:bCs/>
          <w:sz w:val="28"/>
          <w:szCs w:val="28"/>
          <w:lang w:eastAsia="x-none"/>
        </w:rPr>
        <w:t>8 388</w:t>
      </w:r>
      <w:r w:rsidRPr="00297220">
        <w:rPr>
          <w:rFonts w:ascii="Times New Roman" w:eastAsia="Times New Roman" w:hAnsi="Times New Roman" w:cs="Times New Roman"/>
          <w:sz w:val="28"/>
          <w:szCs w:val="28"/>
          <w:lang w:eastAsia="ru-RU"/>
        </w:rPr>
        <w:t xml:space="preserve"> тис. грн. </w:t>
      </w:r>
      <w:r w:rsidRPr="00297220">
        <w:rPr>
          <w:rFonts w:ascii="Times New Roman" w:eastAsia="Times New Roman" w:hAnsi="Times New Roman" w:cs="Times New Roman"/>
          <w:bCs/>
          <w:iCs/>
          <w:sz w:val="28"/>
          <w:szCs w:val="28"/>
        </w:rPr>
        <w:t xml:space="preserve">що становить 75 відсотків до </w:t>
      </w:r>
      <w:r w:rsidRPr="00297220">
        <w:rPr>
          <w:rFonts w:ascii="Times New Roman" w:eastAsia="Times New Roman" w:hAnsi="Times New Roman" w:cs="Times New Roman"/>
          <w:bCs/>
          <w:iCs/>
          <w:sz w:val="28"/>
          <w:szCs w:val="28"/>
          <w:lang w:eastAsia="x-none"/>
        </w:rPr>
        <w:t xml:space="preserve">планового показника періоду, що аналізується. </w:t>
      </w:r>
    </w:p>
    <w:p w:rsidR="00297220" w:rsidRPr="00D3606C" w:rsidRDefault="00297220" w:rsidP="00297220">
      <w:pPr>
        <w:spacing w:line="240" w:lineRule="auto"/>
        <w:ind w:firstLine="709"/>
        <w:jc w:val="right"/>
        <w:rPr>
          <w:rFonts w:ascii="Times New Roman" w:hAnsi="Times New Roman" w:cs="Times New Roman"/>
          <w:sz w:val="24"/>
          <w:szCs w:val="24"/>
        </w:rPr>
      </w:pPr>
      <w:r w:rsidRPr="00D3606C">
        <w:rPr>
          <w:rFonts w:ascii="Times New Roman" w:hAnsi="Times New Roman" w:cs="Times New Roman"/>
          <w:sz w:val="24"/>
          <w:szCs w:val="24"/>
        </w:rPr>
        <w:t xml:space="preserve">Таблиця </w:t>
      </w:r>
      <w:r w:rsidR="00970A49" w:rsidRPr="00D3606C">
        <w:rPr>
          <w:rFonts w:ascii="Times New Roman" w:hAnsi="Times New Roman" w:cs="Times New Roman"/>
          <w:sz w:val="24"/>
          <w:szCs w:val="24"/>
        </w:rPr>
        <w:t>14</w:t>
      </w:r>
      <w:r w:rsidRPr="00D3606C">
        <w:rPr>
          <w:rFonts w:ascii="Times New Roman" w:hAnsi="Times New Roman" w:cs="Times New Roman"/>
          <w:sz w:val="24"/>
          <w:szCs w:val="24"/>
        </w:rPr>
        <w:t xml:space="preserve"> ( тис. грн.)</w:t>
      </w:r>
    </w:p>
    <w:tbl>
      <w:tblPr>
        <w:tblW w:w="9826" w:type="dxa"/>
        <w:tblLook w:val="04A0" w:firstRow="1" w:lastRow="0" w:firstColumn="1" w:lastColumn="0" w:noHBand="0" w:noVBand="1"/>
      </w:tblPr>
      <w:tblGrid>
        <w:gridCol w:w="4248"/>
        <w:gridCol w:w="1276"/>
        <w:gridCol w:w="1275"/>
        <w:gridCol w:w="1134"/>
        <w:gridCol w:w="993"/>
        <w:gridCol w:w="900"/>
      </w:tblGrid>
      <w:tr w:rsidR="00297220" w:rsidRPr="00297220" w:rsidTr="00E33D93">
        <w:trPr>
          <w:trHeight w:val="315"/>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Показники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факт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w:t>
            </w:r>
          </w:p>
        </w:tc>
      </w:tr>
      <w:tr w:rsidR="00297220" w:rsidRPr="00297220" w:rsidTr="00E33D93">
        <w:trPr>
          <w:trHeight w:val="66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2018 рік </w:t>
            </w:r>
          </w:p>
        </w:tc>
        <w:tc>
          <w:tcPr>
            <w:tcW w:w="127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11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2019 рік </w:t>
            </w:r>
          </w:p>
        </w:tc>
        <w:tc>
          <w:tcPr>
            <w:tcW w:w="993"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факт 2019/ план 2019</w:t>
            </w:r>
          </w:p>
        </w:tc>
        <w:tc>
          <w:tcPr>
            <w:tcW w:w="90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факт 2019/ факт 2018 </w:t>
            </w:r>
          </w:p>
        </w:tc>
      </w:tr>
      <w:tr w:rsidR="00297220" w:rsidRPr="00297220" w:rsidTr="00E33D93">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Інші витрати</w:t>
            </w:r>
          </w:p>
        </w:tc>
        <w:tc>
          <w:tcPr>
            <w:tcW w:w="127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30 301</w:t>
            </w:r>
          </w:p>
        </w:tc>
        <w:tc>
          <w:tcPr>
            <w:tcW w:w="127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11 141</w:t>
            </w:r>
          </w:p>
        </w:tc>
        <w:tc>
          <w:tcPr>
            <w:tcW w:w="11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8 388</w:t>
            </w:r>
          </w:p>
        </w:tc>
        <w:tc>
          <w:tcPr>
            <w:tcW w:w="993"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75</w:t>
            </w:r>
          </w:p>
        </w:tc>
        <w:tc>
          <w:tcPr>
            <w:tcW w:w="90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b/>
                <w:bCs/>
                <w:sz w:val="24"/>
                <w:szCs w:val="24"/>
                <w:lang w:eastAsia="uk-UA"/>
              </w:rPr>
            </w:pPr>
            <w:r w:rsidRPr="00297220">
              <w:rPr>
                <w:rFonts w:ascii="Times New Roman" w:eastAsia="Times New Roman" w:hAnsi="Times New Roman" w:cs="Times New Roman"/>
                <w:b/>
                <w:bCs/>
                <w:sz w:val="24"/>
                <w:szCs w:val="24"/>
                <w:lang w:eastAsia="uk-UA"/>
              </w:rPr>
              <w:t>28</w:t>
            </w:r>
          </w:p>
        </w:tc>
      </w:tr>
      <w:tr w:rsidR="00297220" w:rsidRPr="00297220" w:rsidTr="00E33D93">
        <w:trPr>
          <w:trHeight w:val="31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списання майна, основних засобів, тощо</w:t>
            </w:r>
          </w:p>
        </w:tc>
        <w:tc>
          <w:tcPr>
            <w:tcW w:w="127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736</w:t>
            </w:r>
          </w:p>
        </w:tc>
        <w:tc>
          <w:tcPr>
            <w:tcW w:w="127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2 288</w:t>
            </w:r>
          </w:p>
        </w:tc>
        <w:tc>
          <w:tcPr>
            <w:tcW w:w="11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96</w:t>
            </w:r>
          </w:p>
        </w:tc>
        <w:tc>
          <w:tcPr>
            <w:tcW w:w="993"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4</w:t>
            </w:r>
          </w:p>
        </w:tc>
        <w:tc>
          <w:tcPr>
            <w:tcW w:w="90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13</w:t>
            </w:r>
          </w:p>
        </w:tc>
      </w:tr>
      <w:tr w:rsidR="00297220" w:rsidRPr="00297220" w:rsidTr="00E33D93">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членські внески до громадських організацій</w:t>
            </w:r>
          </w:p>
        </w:tc>
        <w:tc>
          <w:tcPr>
            <w:tcW w:w="127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7 706</w:t>
            </w:r>
          </w:p>
        </w:tc>
        <w:tc>
          <w:tcPr>
            <w:tcW w:w="127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7 461</w:t>
            </w:r>
          </w:p>
        </w:tc>
        <w:tc>
          <w:tcPr>
            <w:tcW w:w="11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6 290</w:t>
            </w:r>
          </w:p>
        </w:tc>
        <w:tc>
          <w:tcPr>
            <w:tcW w:w="993"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84</w:t>
            </w:r>
          </w:p>
        </w:tc>
        <w:tc>
          <w:tcPr>
            <w:tcW w:w="90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82</w:t>
            </w:r>
          </w:p>
        </w:tc>
      </w:tr>
      <w:tr w:rsidR="00297220" w:rsidRPr="00297220" w:rsidTr="00E33D93">
        <w:trPr>
          <w:trHeight w:val="31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297220" w:rsidRPr="00297220" w:rsidRDefault="00297220" w:rsidP="00297220">
            <w:pPr>
              <w:spacing w:after="0" w:line="240" w:lineRule="auto"/>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 xml:space="preserve">інші </w:t>
            </w:r>
          </w:p>
        </w:tc>
        <w:tc>
          <w:tcPr>
            <w:tcW w:w="1276"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21 859</w:t>
            </w:r>
          </w:p>
        </w:tc>
        <w:tc>
          <w:tcPr>
            <w:tcW w:w="1275"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1 392</w:t>
            </w:r>
          </w:p>
        </w:tc>
        <w:tc>
          <w:tcPr>
            <w:tcW w:w="1134"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2 002</w:t>
            </w:r>
          </w:p>
        </w:tc>
        <w:tc>
          <w:tcPr>
            <w:tcW w:w="993"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144</w:t>
            </w:r>
          </w:p>
        </w:tc>
        <w:tc>
          <w:tcPr>
            <w:tcW w:w="900" w:type="dxa"/>
            <w:tcBorders>
              <w:top w:val="nil"/>
              <w:left w:val="nil"/>
              <w:bottom w:val="single" w:sz="4" w:space="0" w:color="auto"/>
              <w:right w:val="single" w:sz="4" w:space="0" w:color="auto"/>
            </w:tcBorders>
            <w:shd w:val="clear" w:color="auto" w:fill="auto"/>
            <w:vAlign w:val="center"/>
            <w:hideMark/>
          </w:tcPr>
          <w:p w:rsidR="00297220" w:rsidRPr="00297220" w:rsidRDefault="00297220" w:rsidP="00297220">
            <w:pPr>
              <w:spacing w:after="0" w:line="240" w:lineRule="auto"/>
              <w:jc w:val="center"/>
              <w:rPr>
                <w:rFonts w:ascii="Times New Roman" w:eastAsia="Times New Roman" w:hAnsi="Times New Roman" w:cs="Times New Roman"/>
                <w:sz w:val="24"/>
                <w:szCs w:val="24"/>
                <w:lang w:eastAsia="uk-UA"/>
              </w:rPr>
            </w:pPr>
            <w:r w:rsidRPr="00297220">
              <w:rPr>
                <w:rFonts w:ascii="Times New Roman" w:eastAsia="Times New Roman" w:hAnsi="Times New Roman" w:cs="Times New Roman"/>
                <w:sz w:val="24"/>
                <w:szCs w:val="24"/>
                <w:lang w:eastAsia="uk-UA"/>
              </w:rPr>
              <w:t>9</w:t>
            </w:r>
          </w:p>
        </w:tc>
      </w:tr>
    </w:tbl>
    <w:p w:rsidR="00297220" w:rsidRPr="00297220" w:rsidRDefault="00297220" w:rsidP="00297220">
      <w:pPr>
        <w:spacing w:after="0" w:line="240" w:lineRule="auto"/>
        <w:ind w:firstLine="708"/>
        <w:contextualSpacing/>
        <w:jc w:val="both"/>
        <w:rPr>
          <w:rFonts w:ascii="Times New Roman" w:eastAsia="Times New Roman" w:hAnsi="Times New Roman" w:cs="Times New Roman"/>
          <w:sz w:val="28"/>
          <w:szCs w:val="28"/>
        </w:rPr>
      </w:pPr>
      <w:r w:rsidRPr="00297220">
        <w:rPr>
          <w:rFonts w:ascii="Times New Roman" w:eastAsia="Times New Roman" w:hAnsi="Times New Roman" w:cs="Times New Roman"/>
          <w:bCs/>
          <w:iCs/>
          <w:sz w:val="28"/>
          <w:szCs w:val="28"/>
          <w:lang w:eastAsia="x-none"/>
        </w:rPr>
        <w:t xml:space="preserve">Невиконання планового показника на 2 753 тис. грн. пов’язано з економією за статтею «списання майна, основних засобів тощо» на 2 192 тис. грн., яке в свою чергу пов’язано </w:t>
      </w:r>
      <w:r w:rsidRPr="00297220">
        <w:rPr>
          <w:rFonts w:ascii="Times New Roman" w:eastAsia="Times New Roman" w:hAnsi="Times New Roman" w:cs="Times New Roman"/>
          <w:sz w:val="28"/>
          <w:szCs w:val="28"/>
        </w:rPr>
        <w:t xml:space="preserve">із тривалим затвердженням фінансового плану ДП «АМПУ» на 2019 рік, що був затверджений </w:t>
      </w:r>
      <w:r w:rsidRPr="00297220">
        <w:rPr>
          <w:rFonts w:ascii="Times New Roman" w:eastAsia="Times New Roman" w:hAnsi="Times New Roman" w:cs="Times New Roman"/>
          <w:bCs/>
          <w:iCs/>
          <w:sz w:val="28"/>
          <w:szCs w:val="28"/>
          <w:lang w:eastAsia="x-none"/>
        </w:rPr>
        <w:t xml:space="preserve">розпорядженням Кабінету Міністрів України від 11 грудня 2019 року, та відповідно неможливістю здійснювати заходи зі списання </w:t>
      </w:r>
      <w:r w:rsidRPr="00297220">
        <w:rPr>
          <w:rFonts w:ascii="Times New Roman" w:eastAsia="Times New Roman" w:hAnsi="Times New Roman" w:cs="Times New Roman"/>
          <w:bCs/>
          <w:iCs/>
          <w:sz w:val="28"/>
          <w:szCs w:val="28"/>
          <w:lang w:eastAsia="x-none"/>
        </w:rPr>
        <w:lastRenderedPageBreak/>
        <w:t>протягом 2019 року відповідно до вимог постанови Кабінету Міністрів України від 3 жовтня 2012 року № 899 «Про порядок здійснення витрат суб’єктами господарювання державного сектору економіки у разі незатвердження (непогодження) річних фінансових планів у встановленому порядку», та на 1 171 тис. грн. за рахунок е</w:t>
      </w:r>
      <w:r w:rsidRPr="00297220">
        <w:rPr>
          <w:rFonts w:ascii="Times New Roman" w:eastAsia="Times New Roman" w:hAnsi="Times New Roman" w:cs="Times New Roman"/>
          <w:sz w:val="28"/>
          <w:szCs w:val="28"/>
        </w:rPr>
        <w:t xml:space="preserve">кономії за статтею «членські внески до громадських організацій», яка пов’язана з фактичною оплатою в січні 2020 року внесків до Міжнародної гідрографічної організації (за планом 553 тис. грн., факт 20 121,60 євро, що складає 531,7 тис. грн. за курсом НБУ на дату оплати) та Комітету Чорноморського меморандуму з контролю державою порту в Чорноморському регіоні (625 тис. грн., факт 25 000,00 доларів США, що складає 592,2 тис. грн. за курсом НБУ на дату оплати). Разом з тим, інші витрати більше планових на 610 тис. грн. </w:t>
      </w:r>
      <w:r w:rsidRPr="00297220">
        <w:rPr>
          <w:rFonts w:ascii="Times New Roman" w:eastAsia="Times New Roman" w:hAnsi="Times New Roman" w:cs="Times New Roman"/>
          <w:sz w:val="28"/>
          <w:szCs w:val="24"/>
        </w:rPr>
        <w:t xml:space="preserve">за рахунок сплати за </w:t>
      </w:r>
      <w:r w:rsidRPr="00297220">
        <w:rPr>
          <w:rFonts w:ascii="Times New Roman" w:eastAsia="Times New Roman" w:hAnsi="Times New Roman" w:cs="Times New Roman"/>
          <w:sz w:val="28"/>
          <w:szCs w:val="28"/>
        </w:rPr>
        <w:t xml:space="preserve">послуги з відбору членів Наглядової ради ДП «АМПУ» (916,1 тис. грн.) при економії інших витрат (на 290,9 тис. грн. на подолання надзвичайних ситуацій (ожеледиця, зливи) тощо). </w:t>
      </w:r>
    </w:p>
    <w:p w:rsidR="00297220" w:rsidRPr="00297220" w:rsidRDefault="00297220" w:rsidP="00297220">
      <w:pPr>
        <w:spacing w:after="0" w:line="240" w:lineRule="auto"/>
        <w:ind w:firstLine="567"/>
        <w:jc w:val="both"/>
        <w:rPr>
          <w:rFonts w:ascii="Times New Roman" w:hAnsi="Times New Roman" w:cs="Times New Roman"/>
          <w:sz w:val="28"/>
          <w:szCs w:val="28"/>
        </w:rPr>
      </w:pPr>
      <w:r w:rsidRPr="00297220">
        <w:rPr>
          <w:rFonts w:ascii="Times New Roman" w:hAnsi="Times New Roman" w:cs="Times New Roman"/>
          <w:sz w:val="28"/>
          <w:szCs w:val="28"/>
        </w:rPr>
        <w:t xml:space="preserve">Значна економія інших витрат у порівнянні з аналогічним показником 2018 року пов’язана з відображенням у фінансовій звітності за 2018 рік Чорноморською філією уцінки необоротних активів в сумі 14 776 тис. грн. у зв’язку з виключенням зі складу статті «Незавершені капітальні інвестиції» об’єкту  «Будівництво комплексу зріджених газів» як такого, що не відповідає критеріям визнання активом. Крім того, у звітному періоді 2018 року відображені витрати </w:t>
      </w:r>
      <w:r w:rsidRPr="00297220">
        <w:rPr>
          <w:rFonts w:ascii="Times New Roman" w:hAnsi="Times New Roman" w:cs="Times New Roman"/>
          <w:spacing w:val="2"/>
          <w:sz w:val="28"/>
          <w:szCs w:val="28"/>
        </w:rPr>
        <w:t>за п</w:t>
      </w:r>
      <w:r w:rsidRPr="00297220">
        <w:rPr>
          <w:rFonts w:ascii="Times New Roman" w:hAnsi="Times New Roman" w:cs="Times New Roman"/>
          <w:sz w:val="28"/>
          <w:szCs w:val="28"/>
        </w:rPr>
        <w:t xml:space="preserve">ослуги з надання ДП «АМПУ» Плану дій з розвитку ХМТП та МП «Ольвія» за договором з ЄБРР від 11.12.2017 № 68-ВАМПУ-17 у сумі 5 288,2 тис. грн. </w:t>
      </w:r>
    </w:p>
    <w:p w:rsidR="00840217" w:rsidRPr="00DD6BF2" w:rsidRDefault="00840217" w:rsidP="00886D48">
      <w:pPr>
        <w:spacing w:after="0" w:line="240" w:lineRule="auto"/>
        <w:ind w:left="1135"/>
        <w:jc w:val="center"/>
        <w:rPr>
          <w:rFonts w:ascii="Times New Roman" w:eastAsia="Times New Roman" w:hAnsi="Times New Roman" w:cs="Times New Roman"/>
          <w:b/>
          <w:sz w:val="28"/>
          <w:szCs w:val="28"/>
          <w:lang w:eastAsia="ru-RU"/>
        </w:rPr>
      </w:pPr>
    </w:p>
    <w:p w:rsidR="002166F7" w:rsidRPr="00DD6BF2" w:rsidRDefault="00743439" w:rsidP="00886D48">
      <w:pPr>
        <w:spacing w:after="0" w:line="240" w:lineRule="auto"/>
        <w:ind w:left="1135"/>
        <w:jc w:val="center"/>
        <w:rPr>
          <w:rFonts w:ascii="Times New Roman" w:eastAsia="Times New Roman" w:hAnsi="Times New Roman" w:cs="Times New Roman"/>
          <w:b/>
          <w:sz w:val="28"/>
          <w:szCs w:val="28"/>
          <w:lang w:eastAsia="ru-RU"/>
        </w:rPr>
      </w:pPr>
      <w:r w:rsidRPr="00DD6BF2">
        <w:rPr>
          <w:rFonts w:ascii="Times New Roman" w:eastAsia="Times New Roman" w:hAnsi="Times New Roman" w:cs="Times New Roman"/>
          <w:b/>
          <w:sz w:val="28"/>
          <w:szCs w:val="28"/>
          <w:lang w:eastAsia="ru-RU"/>
        </w:rPr>
        <w:t xml:space="preserve">  </w:t>
      </w:r>
      <w:r w:rsidR="00C874FD" w:rsidRPr="00DD6BF2">
        <w:rPr>
          <w:rFonts w:ascii="Times New Roman" w:eastAsia="Times New Roman" w:hAnsi="Times New Roman" w:cs="Times New Roman"/>
          <w:b/>
          <w:sz w:val="28"/>
          <w:szCs w:val="28"/>
          <w:lang w:eastAsia="ru-RU"/>
        </w:rPr>
        <w:t xml:space="preserve">3.   </w:t>
      </w:r>
      <w:r w:rsidR="00583198" w:rsidRPr="00DD6BF2">
        <w:rPr>
          <w:rFonts w:ascii="Times New Roman" w:eastAsia="Times New Roman" w:hAnsi="Times New Roman" w:cs="Times New Roman"/>
          <w:b/>
          <w:sz w:val="28"/>
          <w:szCs w:val="28"/>
          <w:lang w:eastAsia="ru-RU"/>
        </w:rPr>
        <w:t>Розрахунки з бюджетом</w:t>
      </w:r>
    </w:p>
    <w:p w:rsidR="00A27FE6" w:rsidRPr="00DD6BF2" w:rsidRDefault="00A27FE6" w:rsidP="00A27FE6">
      <w:pPr>
        <w:pStyle w:val="a9"/>
        <w:spacing w:after="0" w:line="240" w:lineRule="auto"/>
        <w:ind w:left="1068"/>
        <w:rPr>
          <w:rFonts w:ascii="Times New Roman" w:eastAsia="Times New Roman" w:hAnsi="Times New Roman" w:cs="Times New Roman"/>
          <w:b/>
          <w:sz w:val="28"/>
          <w:szCs w:val="28"/>
          <w:lang w:eastAsia="ru-RU"/>
        </w:rPr>
      </w:pPr>
    </w:p>
    <w:p w:rsidR="00DD6BF2" w:rsidRPr="00DD6BF2" w:rsidRDefault="00DD6BF2" w:rsidP="00DD6BF2">
      <w:pPr>
        <w:spacing w:after="0" w:line="276" w:lineRule="auto"/>
        <w:ind w:firstLine="709"/>
        <w:jc w:val="both"/>
        <w:outlineLvl w:val="0"/>
        <w:rPr>
          <w:rFonts w:ascii="Times New Roman" w:hAnsi="Times New Roman" w:cs="Times New Roman"/>
          <w:sz w:val="28"/>
          <w:szCs w:val="28"/>
        </w:rPr>
      </w:pPr>
      <w:r w:rsidRPr="00DD6BF2">
        <w:rPr>
          <w:rFonts w:ascii="Times New Roman" w:eastAsia="Times New Roman" w:hAnsi="Times New Roman" w:cs="Times New Roman"/>
          <w:bCs/>
          <w:iCs/>
          <w:sz w:val="28"/>
          <w:szCs w:val="28"/>
        </w:rPr>
        <w:t>С</w:t>
      </w:r>
      <w:r w:rsidR="00EF29C9" w:rsidRPr="00DD6BF2">
        <w:rPr>
          <w:rFonts w:ascii="Times New Roman" w:eastAsia="Times New Roman" w:hAnsi="Times New Roman" w:cs="Times New Roman"/>
          <w:bCs/>
          <w:iCs/>
          <w:sz w:val="28"/>
          <w:szCs w:val="28"/>
        </w:rPr>
        <w:t xml:space="preserve">плата податків </w:t>
      </w:r>
      <w:r w:rsidRPr="00DD6BF2">
        <w:rPr>
          <w:rFonts w:ascii="Times New Roman" w:eastAsia="Times New Roman" w:hAnsi="Times New Roman" w:cs="Times New Roman"/>
          <w:bCs/>
          <w:iCs/>
          <w:sz w:val="28"/>
          <w:szCs w:val="28"/>
        </w:rPr>
        <w:t xml:space="preserve"> за 2019 рік </w:t>
      </w:r>
      <w:r w:rsidR="00EF29C9" w:rsidRPr="00DD6BF2">
        <w:rPr>
          <w:rFonts w:ascii="Times New Roman" w:eastAsia="Times New Roman" w:hAnsi="Times New Roman" w:cs="Times New Roman"/>
          <w:bCs/>
          <w:iCs/>
          <w:sz w:val="28"/>
          <w:szCs w:val="28"/>
        </w:rPr>
        <w:t xml:space="preserve">складає </w:t>
      </w:r>
      <w:r w:rsidRPr="00DD6BF2">
        <w:rPr>
          <w:rFonts w:ascii="Times New Roman" w:eastAsia="Times New Roman" w:hAnsi="Times New Roman" w:cs="Times New Roman"/>
          <w:b/>
          <w:bCs/>
          <w:iCs/>
          <w:sz w:val="28"/>
          <w:szCs w:val="28"/>
        </w:rPr>
        <w:t>3 526 611</w:t>
      </w:r>
      <w:r w:rsidR="00EF29C9" w:rsidRPr="00DD6BF2">
        <w:rPr>
          <w:rFonts w:ascii="Times New Roman" w:eastAsia="Times New Roman" w:hAnsi="Times New Roman" w:cs="Times New Roman"/>
          <w:bCs/>
          <w:iCs/>
          <w:sz w:val="28"/>
          <w:szCs w:val="28"/>
        </w:rPr>
        <w:t xml:space="preserve"> тис. </w:t>
      </w:r>
      <w:r w:rsidR="00374CAE" w:rsidRPr="00DD6BF2">
        <w:rPr>
          <w:rFonts w:ascii="Times New Roman" w:eastAsia="Times New Roman" w:hAnsi="Times New Roman" w:cs="Times New Roman"/>
          <w:bCs/>
          <w:iCs/>
          <w:sz w:val="28"/>
          <w:szCs w:val="28"/>
        </w:rPr>
        <w:t>грн.</w:t>
      </w:r>
      <w:r w:rsidR="009812D3" w:rsidRPr="00DD6BF2">
        <w:rPr>
          <w:rFonts w:ascii="Times New Roman" w:eastAsia="Times New Roman" w:hAnsi="Times New Roman" w:cs="Times New Roman"/>
          <w:bCs/>
          <w:iCs/>
          <w:sz w:val="28"/>
          <w:szCs w:val="28"/>
          <w:lang w:eastAsia="x-none"/>
        </w:rPr>
        <w:t>,</w:t>
      </w:r>
      <w:r w:rsidR="00374CAE" w:rsidRPr="00DD6BF2">
        <w:rPr>
          <w:rFonts w:ascii="Times New Roman" w:eastAsia="Times New Roman" w:hAnsi="Times New Roman" w:cs="Times New Roman"/>
          <w:bCs/>
          <w:iCs/>
          <w:sz w:val="28"/>
          <w:szCs w:val="28"/>
          <w:lang w:eastAsia="x-none"/>
        </w:rPr>
        <w:t xml:space="preserve"> </w:t>
      </w:r>
      <w:r w:rsidR="009812D3" w:rsidRPr="00DD6BF2">
        <w:rPr>
          <w:rFonts w:ascii="Times New Roman" w:eastAsia="Times New Roman" w:hAnsi="Times New Roman" w:cs="Times New Roman"/>
          <w:bCs/>
          <w:iCs/>
          <w:sz w:val="28"/>
          <w:szCs w:val="28"/>
          <w:lang w:eastAsia="x-none"/>
        </w:rPr>
        <w:t>що становить</w:t>
      </w:r>
      <w:r w:rsidR="00EF29C9" w:rsidRPr="00DD6BF2">
        <w:rPr>
          <w:rFonts w:ascii="Times New Roman" w:eastAsia="Times New Roman" w:hAnsi="Times New Roman" w:cs="Times New Roman"/>
          <w:bCs/>
          <w:iCs/>
          <w:sz w:val="28"/>
          <w:szCs w:val="28"/>
          <w:lang w:eastAsia="x-none"/>
        </w:rPr>
        <w:t xml:space="preserve"> </w:t>
      </w:r>
      <w:r w:rsidRPr="00DD6BF2">
        <w:rPr>
          <w:rFonts w:ascii="Times New Roman" w:eastAsia="Times New Roman" w:hAnsi="Times New Roman" w:cs="Times New Roman"/>
          <w:bCs/>
          <w:iCs/>
          <w:sz w:val="28"/>
          <w:szCs w:val="28"/>
          <w:lang w:eastAsia="x-none"/>
        </w:rPr>
        <w:t>91</w:t>
      </w:r>
      <w:r w:rsidR="00221DB0" w:rsidRPr="00DD6BF2">
        <w:rPr>
          <w:rFonts w:ascii="Times New Roman" w:eastAsia="Times New Roman" w:hAnsi="Times New Roman" w:cs="Times New Roman"/>
          <w:bCs/>
          <w:iCs/>
          <w:sz w:val="28"/>
          <w:szCs w:val="28"/>
          <w:lang w:eastAsia="x-none"/>
        </w:rPr>
        <w:t xml:space="preserve"> </w:t>
      </w:r>
      <w:r w:rsidR="00EF29C9" w:rsidRPr="00DD6BF2">
        <w:rPr>
          <w:rFonts w:ascii="Times New Roman" w:eastAsia="Times New Roman" w:hAnsi="Times New Roman" w:cs="Times New Roman"/>
          <w:bCs/>
          <w:iCs/>
          <w:sz w:val="28"/>
          <w:szCs w:val="28"/>
          <w:lang w:eastAsia="x-none"/>
        </w:rPr>
        <w:t xml:space="preserve">відсотків </w:t>
      </w:r>
      <w:r w:rsidR="009812D3" w:rsidRPr="00DD6BF2">
        <w:rPr>
          <w:rFonts w:ascii="Times New Roman" w:eastAsia="Times New Roman" w:hAnsi="Times New Roman" w:cs="Times New Roman"/>
          <w:bCs/>
          <w:iCs/>
          <w:sz w:val="28"/>
          <w:szCs w:val="28"/>
          <w:lang w:eastAsia="x-none"/>
        </w:rPr>
        <w:t xml:space="preserve">до факту </w:t>
      </w:r>
      <w:r w:rsidR="00EF29C9" w:rsidRPr="00DD6BF2">
        <w:rPr>
          <w:rFonts w:ascii="Times New Roman" w:eastAsia="Times New Roman" w:hAnsi="Times New Roman" w:cs="Times New Roman"/>
          <w:bCs/>
          <w:iCs/>
          <w:sz w:val="28"/>
          <w:szCs w:val="28"/>
        </w:rPr>
        <w:t>201</w:t>
      </w:r>
      <w:r w:rsidR="0021546D" w:rsidRPr="00DD6BF2">
        <w:rPr>
          <w:rFonts w:ascii="Times New Roman" w:eastAsia="Times New Roman" w:hAnsi="Times New Roman" w:cs="Times New Roman"/>
          <w:bCs/>
          <w:iCs/>
          <w:sz w:val="28"/>
          <w:szCs w:val="28"/>
        </w:rPr>
        <w:t>8</w:t>
      </w:r>
      <w:r w:rsidR="00CD7F3E" w:rsidRPr="00DD6BF2">
        <w:rPr>
          <w:rFonts w:ascii="Times New Roman" w:eastAsia="Times New Roman" w:hAnsi="Times New Roman" w:cs="Times New Roman"/>
          <w:bCs/>
          <w:iCs/>
          <w:sz w:val="28"/>
          <w:szCs w:val="28"/>
        </w:rPr>
        <w:t xml:space="preserve"> року</w:t>
      </w:r>
      <w:r w:rsidR="008D66E8" w:rsidRPr="00DD6BF2">
        <w:rPr>
          <w:rFonts w:ascii="Times New Roman" w:eastAsia="Times New Roman" w:hAnsi="Times New Roman" w:cs="Times New Roman"/>
          <w:iCs/>
          <w:sz w:val="28"/>
          <w:szCs w:val="28"/>
          <w:lang w:eastAsia="ru-RU"/>
        </w:rPr>
        <w:t xml:space="preserve"> </w:t>
      </w:r>
      <w:r w:rsidR="0021546D" w:rsidRPr="00DD6BF2">
        <w:rPr>
          <w:rFonts w:ascii="Times New Roman" w:eastAsia="Times New Roman" w:hAnsi="Times New Roman" w:cs="Times New Roman"/>
          <w:iCs/>
          <w:sz w:val="28"/>
          <w:szCs w:val="28"/>
          <w:lang w:eastAsia="ru-RU"/>
        </w:rPr>
        <w:t>та</w:t>
      </w:r>
      <w:r w:rsidR="002D777A" w:rsidRPr="00DD6BF2">
        <w:rPr>
          <w:rFonts w:ascii="Times New Roman" w:eastAsia="Times New Roman" w:hAnsi="Times New Roman" w:cs="Times New Roman"/>
          <w:iCs/>
          <w:sz w:val="28"/>
          <w:szCs w:val="28"/>
          <w:lang w:eastAsia="ru-RU"/>
        </w:rPr>
        <w:t xml:space="preserve"> </w:t>
      </w:r>
      <w:r w:rsidRPr="00DD6BF2">
        <w:rPr>
          <w:rFonts w:ascii="Times New Roman" w:eastAsia="Times New Roman" w:hAnsi="Times New Roman" w:cs="Times New Roman"/>
          <w:iCs/>
          <w:sz w:val="28"/>
          <w:szCs w:val="28"/>
          <w:lang w:eastAsia="ru-RU"/>
        </w:rPr>
        <w:t>108 %</w:t>
      </w:r>
      <w:r w:rsidRPr="00DD6BF2">
        <w:rPr>
          <w:rFonts w:ascii="Times New Roman" w:eastAsia="Times New Roman" w:hAnsi="Times New Roman" w:cs="Times New Roman"/>
          <w:sz w:val="28"/>
          <w:szCs w:val="28"/>
          <w:lang w:eastAsia="ru-RU"/>
        </w:rPr>
        <w:t xml:space="preserve"> відносно планового показника.</w:t>
      </w:r>
    </w:p>
    <w:p w:rsidR="00583198" w:rsidRPr="00CA19BF" w:rsidRDefault="009D1E59" w:rsidP="00FA3CBE">
      <w:pPr>
        <w:pStyle w:val="a9"/>
        <w:spacing w:after="0" w:line="240" w:lineRule="auto"/>
        <w:ind w:left="7080"/>
        <w:jc w:val="right"/>
        <w:rPr>
          <w:rFonts w:ascii="Times New Roman" w:eastAsia="Times New Roman" w:hAnsi="Times New Roman" w:cs="Times New Roman"/>
          <w:sz w:val="28"/>
          <w:szCs w:val="28"/>
          <w:lang w:eastAsia="ru-RU"/>
        </w:rPr>
      </w:pPr>
      <w:r w:rsidRPr="00CA19BF">
        <w:rPr>
          <w:rFonts w:ascii="Times New Roman" w:hAnsi="Times New Roman" w:cs="Times New Roman"/>
        </w:rPr>
        <w:t xml:space="preserve">Таблиця </w:t>
      </w:r>
      <w:r w:rsidR="00FA3CBE" w:rsidRPr="00CA19BF">
        <w:rPr>
          <w:rFonts w:ascii="Times New Roman" w:hAnsi="Times New Roman" w:cs="Times New Roman"/>
        </w:rPr>
        <w:t>1</w:t>
      </w:r>
      <w:r w:rsidR="009A6575" w:rsidRPr="00CA19BF">
        <w:rPr>
          <w:rFonts w:ascii="Times New Roman" w:hAnsi="Times New Roman" w:cs="Times New Roman"/>
        </w:rPr>
        <w:t>5</w:t>
      </w:r>
      <w:r w:rsidR="008D66E8" w:rsidRPr="00CA19BF">
        <w:rPr>
          <w:rFonts w:ascii="Times New Roman" w:hAnsi="Times New Roman" w:cs="Times New Roman"/>
        </w:rPr>
        <w:t xml:space="preserve"> ( тис. грн.)</w:t>
      </w:r>
    </w:p>
    <w:tbl>
      <w:tblPr>
        <w:tblpPr w:leftFromText="180" w:rightFromText="180" w:vertAnchor="text" w:tblpXSpec="center" w:tblpY="1"/>
        <w:tblOverlap w:val="neve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417"/>
        <w:gridCol w:w="1419"/>
        <w:gridCol w:w="1277"/>
        <w:gridCol w:w="1275"/>
        <w:gridCol w:w="1131"/>
      </w:tblGrid>
      <w:tr w:rsidR="00DD6BF2" w:rsidRPr="00CA19BF" w:rsidTr="00D3606C">
        <w:trPr>
          <w:trHeight w:val="554"/>
        </w:trPr>
        <w:tc>
          <w:tcPr>
            <w:tcW w:w="1616" w:type="pct"/>
            <w:vAlign w:val="center"/>
          </w:tcPr>
          <w:p w:rsidR="00DD6BF2" w:rsidRPr="00CA19BF" w:rsidRDefault="00DD6BF2" w:rsidP="00910664">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Показники</w:t>
            </w:r>
          </w:p>
        </w:tc>
        <w:tc>
          <w:tcPr>
            <w:tcW w:w="735" w:type="pct"/>
          </w:tcPr>
          <w:p w:rsidR="00DD6BF2" w:rsidRPr="00CA19BF" w:rsidRDefault="00DD6BF2" w:rsidP="00D3606C">
            <w:pPr>
              <w:spacing w:after="0" w:line="240" w:lineRule="auto"/>
              <w:jc w:val="center"/>
              <w:rPr>
                <w:rFonts w:ascii="Times New Roman" w:hAnsi="Times New Roman" w:cs="Times New Roman"/>
                <w:iCs/>
              </w:rPr>
            </w:pPr>
            <w:r w:rsidRPr="00CA19BF">
              <w:rPr>
                <w:rFonts w:ascii="Times New Roman" w:eastAsia="Times New Roman" w:hAnsi="Times New Roman" w:cs="Times New Roman"/>
                <w:sz w:val="20"/>
                <w:szCs w:val="20"/>
                <w:lang w:eastAsia="uk-UA"/>
              </w:rPr>
              <w:t>Факт                     2018</w:t>
            </w:r>
          </w:p>
        </w:tc>
        <w:tc>
          <w:tcPr>
            <w:tcW w:w="736" w:type="pct"/>
          </w:tcPr>
          <w:p w:rsidR="00DD6BF2" w:rsidRPr="00CA19BF" w:rsidRDefault="00DD6BF2" w:rsidP="00FA3CBE">
            <w:pPr>
              <w:spacing w:after="0" w:line="240" w:lineRule="auto"/>
              <w:jc w:val="center"/>
              <w:rPr>
                <w:rFonts w:ascii="Times New Roman" w:eastAsia="Times New Roman" w:hAnsi="Times New Roman" w:cs="Times New Roman"/>
                <w:sz w:val="20"/>
                <w:szCs w:val="20"/>
                <w:lang w:eastAsia="uk-UA"/>
              </w:rPr>
            </w:pPr>
            <w:r w:rsidRPr="00CA19BF">
              <w:rPr>
                <w:rFonts w:ascii="Times New Roman" w:eastAsia="Times New Roman" w:hAnsi="Times New Roman" w:cs="Times New Roman"/>
                <w:sz w:val="20"/>
                <w:szCs w:val="20"/>
                <w:lang w:eastAsia="uk-UA"/>
              </w:rPr>
              <w:t>План</w:t>
            </w:r>
          </w:p>
          <w:p w:rsidR="00DD6BF2" w:rsidRPr="00CA19BF" w:rsidRDefault="00DD6BF2" w:rsidP="00FA3CBE">
            <w:pPr>
              <w:spacing w:after="0" w:line="240" w:lineRule="auto"/>
              <w:jc w:val="center"/>
              <w:rPr>
                <w:rFonts w:ascii="Times New Roman" w:hAnsi="Times New Roman" w:cs="Times New Roman"/>
                <w:iCs/>
              </w:rPr>
            </w:pPr>
            <w:r w:rsidRPr="00CA19BF">
              <w:rPr>
                <w:rFonts w:ascii="Times New Roman" w:hAnsi="Times New Roman" w:cs="Times New Roman"/>
                <w:sz w:val="20"/>
                <w:szCs w:val="20"/>
                <w:lang w:eastAsia="ru-RU"/>
              </w:rPr>
              <w:t xml:space="preserve"> </w:t>
            </w:r>
            <w:r w:rsidRPr="00CA19BF">
              <w:rPr>
                <w:rFonts w:ascii="Times New Roman" w:eastAsia="Times New Roman" w:hAnsi="Times New Roman" w:cs="Times New Roman"/>
                <w:sz w:val="20"/>
                <w:szCs w:val="20"/>
                <w:lang w:eastAsia="uk-UA"/>
              </w:rPr>
              <w:t>2019</w:t>
            </w:r>
          </w:p>
        </w:tc>
        <w:tc>
          <w:tcPr>
            <w:tcW w:w="663" w:type="pct"/>
          </w:tcPr>
          <w:p w:rsidR="00DD6BF2" w:rsidRPr="00CA19BF" w:rsidRDefault="00DD6BF2" w:rsidP="00DD6BF2">
            <w:pPr>
              <w:contextualSpacing/>
              <w:jc w:val="center"/>
              <w:rPr>
                <w:rFonts w:ascii="Times New Roman" w:hAnsi="Times New Roman" w:cs="Times New Roman"/>
                <w:iCs/>
                <w:sz w:val="20"/>
                <w:szCs w:val="20"/>
              </w:rPr>
            </w:pPr>
            <w:r w:rsidRPr="00CA19BF">
              <w:rPr>
                <w:rFonts w:ascii="Times New Roman" w:eastAsia="Times New Roman" w:hAnsi="Times New Roman" w:cs="Times New Roman"/>
                <w:sz w:val="20"/>
                <w:szCs w:val="20"/>
                <w:lang w:eastAsia="uk-UA"/>
              </w:rPr>
              <w:t>Факт                     2019</w:t>
            </w:r>
          </w:p>
        </w:tc>
        <w:tc>
          <w:tcPr>
            <w:tcW w:w="662" w:type="pct"/>
            <w:vAlign w:val="center"/>
          </w:tcPr>
          <w:p w:rsidR="00DD6BF2" w:rsidRPr="00CA19BF" w:rsidRDefault="00DD6BF2" w:rsidP="0079564B">
            <w:pPr>
              <w:spacing w:after="0" w:line="240" w:lineRule="auto"/>
              <w:jc w:val="center"/>
              <w:rPr>
                <w:rFonts w:ascii="Times New Roman" w:hAnsi="Times New Roman" w:cs="Times New Roman"/>
                <w:iCs/>
                <w:sz w:val="20"/>
                <w:szCs w:val="20"/>
              </w:rPr>
            </w:pPr>
            <w:r w:rsidRPr="00CA19BF">
              <w:rPr>
                <w:rFonts w:ascii="Times New Roman" w:hAnsi="Times New Roman" w:cs="Times New Roman"/>
                <w:bCs/>
                <w:sz w:val="20"/>
                <w:szCs w:val="20"/>
              </w:rPr>
              <w:t>%, факт 2019/факт 2018</w:t>
            </w:r>
          </w:p>
        </w:tc>
        <w:tc>
          <w:tcPr>
            <w:tcW w:w="587" w:type="pct"/>
            <w:vAlign w:val="center"/>
          </w:tcPr>
          <w:p w:rsidR="00DD6BF2" w:rsidRPr="00CA19BF" w:rsidRDefault="00DD6BF2" w:rsidP="0079564B">
            <w:pPr>
              <w:spacing w:after="0" w:line="240" w:lineRule="auto"/>
              <w:jc w:val="center"/>
              <w:rPr>
                <w:rFonts w:ascii="Times New Roman" w:hAnsi="Times New Roman" w:cs="Times New Roman"/>
                <w:iCs/>
                <w:sz w:val="20"/>
                <w:szCs w:val="20"/>
              </w:rPr>
            </w:pPr>
            <w:r w:rsidRPr="00CA19BF">
              <w:rPr>
                <w:rFonts w:ascii="Times New Roman" w:hAnsi="Times New Roman" w:cs="Times New Roman"/>
                <w:bCs/>
                <w:sz w:val="20"/>
                <w:szCs w:val="20"/>
              </w:rPr>
              <w:t>%, факт 2019/план 2019</w:t>
            </w:r>
          </w:p>
        </w:tc>
      </w:tr>
      <w:tr w:rsidR="00DD6BF2" w:rsidRPr="00CA19BF" w:rsidTr="00DD6BF2">
        <w:trPr>
          <w:trHeight w:val="761"/>
        </w:trPr>
        <w:tc>
          <w:tcPr>
            <w:tcW w:w="1616" w:type="pct"/>
            <w:vAlign w:val="center"/>
          </w:tcPr>
          <w:p w:rsidR="00DD6BF2" w:rsidRPr="00CA19BF" w:rsidRDefault="00DD6BF2" w:rsidP="00FF6128">
            <w:pPr>
              <w:spacing w:after="0" w:line="240" w:lineRule="auto"/>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Відрахування частини чистого прибутку державними унітарними підприємствами та їх об’єднаннями</w:t>
            </w:r>
          </w:p>
        </w:tc>
        <w:tc>
          <w:tcPr>
            <w:tcW w:w="735" w:type="pct"/>
            <w:vAlign w:val="center"/>
          </w:tcPr>
          <w:p w:rsidR="00DD6BF2" w:rsidRPr="00CA19BF" w:rsidRDefault="00DD6BF2" w:rsidP="00FA3CBE">
            <w:pPr>
              <w:spacing w:after="0" w:line="240" w:lineRule="atLeast"/>
              <w:jc w:val="center"/>
              <w:rPr>
                <w:rFonts w:ascii="Times New Roman" w:eastAsia="Times New Roman" w:hAnsi="Times New Roman" w:cs="Times New Roman"/>
                <w:bCs/>
                <w:lang w:val="ru-RU" w:eastAsia="ru-RU"/>
              </w:rPr>
            </w:pPr>
            <w:r w:rsidRPr="00CA19BF">
              <w:rPr>
                <w:rFonts w:ascii="Times New Roman" w:eastAsia="Times New Roman" w:hAnsi="Times New Roman" w:cs="Times New Roman"/>
                <w:bCs/>
                <w:lang w:val="ru-RU" w:eastAsia="ru-RU"/>
              </w:rPr>
              <w:t>1 839 011</w:t>
            </w:r>
          </w:p>
        </w:tc>
        <w:tc>
          <w:tcPr>
            <w:tcW w:w="736" w:type="pct"/>
            <w:vAlign w:val="center"/>
          </w:tcPr>
          <w:p w:rsidR="00DD6BF2" w:rsidRPr="00CA19BF" w:rsidRDefault="00DD6BF2" w:rsidP="00FA3CBE">
            <w:pPr>
              <w:spacing w:after="0" w:line="240" w:lineRule="atLeast"/>
              <w:jc w:val="center"/>
              <w:rPr>
                <w:rFonts w:ascii="Times New Roman" w:eastAsia="Times New Roman" w:hAnsi="Times New Roman" w:cs="Times New Roman"/>
                <w:bCs/>
                <w:lang w:val="ru-RU" w:eastAsia="ru-RU"/>
              </w:rPr>
            </w:pPr>
            <w:r w:rsidRPr="00CA19BF">
              <w:rPr>
                <w:rFonts w:ascii="Times New Roman" w:eastAsia="Times New Roman" w:hAnsi="Times New Roman" w:cs="Times New Roman"/>
                <w:bCs/>
                <w:lang w:val="ru-RU" w:eastAsia="ru-RU"/>
              </w:rPr>
              <w:t>1 353 082</w:t>
            </w:r>
          </w:p>
        </w:tc>
        <w:tc>
          <w:tcPr>
            <w:tcW w:w="663" w:type="pct"/>
            <w:vAlign w:val="center"/>
          </w:tcPr>
          <w:p w:rsidR="00DD6BF2" w:rsidRPr="00CA19BF" w:rsidRDefault="00DD6BF2" w:rsidP="00FA3CBE">
            <w:pPr>
              <w:tabs>
                <w:tab w:val="left" w:pos="196"/>
              </w:tabs>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1 564 946</w:t>
            </w:r>
          </w:p>
        </w:tc>
        <w:tc>
          <w:tcPr>
            <w:tcW w:w="662" w:type="pct"/>
            <w:vAlign w:val="center"/>
          </w:tcPr>
          <w:p w:rsidR="00DD6BF2" w:rsidRPr="00CA19BF" w:rsidRDefault="00DD6BF2" w:rsidP="00FA3CBE">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85</w:t>
            </w:r>
          </w:p>
        </w:tc>
        <w:tc>
          <w:tcPr>
            <w:tcW w:w="587" w:type="pct"/>
            <w:vAlign w:val="center"/>
          </w:tcPr>
          <w:p w:rsidR="00DD6BF2" w:rsidRPr="00CA19BF" w:rsidRDefault="00DD6BF2" w:rsidP="00FA3CBE">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116</w:t>
            </w:r>
          </w:p>
        </w:tc>
      </w:tr>
      <w:tr w:rsidR="00DD6BF2" w:rsidRPr="00CA19BF" w:rsidTr="00DD6BF2">
        <w:trPr>
          <w:trHeight w:val="253"/>
        </w:trPr>
        <w:tc>
          <w:tcPr>
            <w:tcW w:w="1616" w:type="pct"/>
            <w:vAlign w:val="center"/>
          </w:tcPr>
          <w:p w:rsidR="00DD6BF2" w:rsidRPr="00CA19BF" w:rsidRDefault="00DD6BF2" w:rsidP="00FF6128">
            <w:pPr>
              <w:spacing w:after="0" w:line="240" w:lineRule="auto"/>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Податок на прибуток підприємства</w:t>
            </w:r>
          </w:p>
        </w:tc>
        <w:tc>
          <w:tcPr>
            <w:tcW w:w="735" w:type="pct"/>
            <w:vAlign w:val="center"/>
          </w:tcPr>
          <w:p w:rsidR="00DD6BF2" w:rsidRPr="00CA19BF" w:rsidRDefault="00DD6BF2" w:rsidP="00FA3CBE">
            <w:pPr>
              <w:spacing w:after="0" w:line="240" w:lineRule="atLeast"/>
              <w:jc w:val="center"/>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625 134</w:t>
            </w:r>
          </w:p>
        </w:tc>
        <w:tc>
          <w:tcPr>
            <w:tcW w:w="736" w:type="pct"/>
            <w:vAlign w:val="center"/>
          </w:tcPr>
          <w:p w:rsidR="00DD6BF2" w:rsidRPr="00CA19BF" w:rsidRDefault="00DD6BF2" w:rsidP="00FA3CBE">
            <w:pPr>
              <w:spacing w:after="0" w:line="240" w:lineRule="atLeast"/>
              <w:jc w:val="center"/>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446 235</w:t>
            </w:r>
          </w:p>
        </w:tc>
        <w:tc>
          <w:tcPr>
            <w:tcW w:w="663" w:type="pct"/>
            <w:vAlign w:val="center"/>
          </w:tcPr>
          <w:p w:rsidR="00DD6BF2" w:rsidRPr="00CA19BF" w:rsidRDefault="00DD6BF2" w:rsidP="00FA3CBE">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500 414</w:t>
            </w:r>
          </w:p>
        </w:tc>
        <w:tc>
          <w:tcPr>
            <w:tcW w:w="662" w:type="pct"/>
            <w:vAlign w:val="center"/>
          </w:tcPr>
          <w:p w:rsidR="00DD6BF2" w:rsidRPr="00CA19BF" w:rsidRDefault="00DD6BF2" w:rsidP="00FA3CBE">
            <w:pPr>
              <w:spacing w:after="0" w:line="240" w:lineRule="atLeast"/>
              <w:jc w:val="center"/>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80</w:t>
            </w:r>
          </w:p>
        </w:tc>
        <w:tc>
          <w:tcPr>
            <w:tcW w:w="587" w:type="pct"/>
            <w:vAlign w:val="center"/>
          </w:tcPr>
          <w:p w:rsidR="00DD6BF2" w:rsidRPr="00CA19BF" w:rsidRDefault="00DD6BF2" w:rsidP="00FA3CBE">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112</w:t>
            </w:r>
          </w:p>
        </w:tc>
      </w:tr>
      <w:tr w:rsidR="00DD6BF2" w:rsidRPr="00CA19BF" w:rsidTr="00DD6BF2">
        <w:trPr>
          <w:trHeight w:val="192"/>
        </w:trPr>
        <w:tc>
          <w:tcPr>
            <w:tcW w:w="1616" w:type="pct"/>
            <w:vAlign w:val="center"/>
          </w:tcPr>
          <w:p w:rsidR="00DD6BF2" w:rsidRPr="00CA19BF" w:rsidRDefault="00DD6BF2" w:rsidP="00FF6128">
            <w:pPr>
              <w:spacing w:after="0" w:line="240" w:lineRule="auto"/>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 xml:space="preserve">ПДВ, що підлягає сплаті до бюджету за підсумками звітного періоду </w:t>
            </w:r>
          </w:p>
        </w:tc>
        <w:tc>
          <w:tcPr>
            <w:tcW w:w="735" w:type="pct"/>
            <w:vAlign w:val="center"/>
          </w:tcPr>
          <w:p w:rsidR="00DD6BF2" w:rsidRPr="00CA19BF" w:rsidRDefault="00CA19BF" w:rsidP="00FA3CBE">
            <w:pPr>
              <w:spacing w:after="0" w:line="240" w:lineRule="atLeast"/>
              <w:jc w:val="center"/>
              <w:rPr>
                <w:rFonts w:ascii="Times New Roman" w:eastAsia="Times New Roman" w:hAnsi="Times New Roman" w:cs="Times New Roman"/>
                <w:lang w:val="ru-RU" w:eastAsia="ru-RU"/>
              </w:rPr>
            </w:pPr>
            <w:r w:rsidRPr="00CA19BF">
              <w:rPr>
                <w:rFonts w:ascii="Times New Roman" w:eastAsia="Times New Roman" w:hAnsi="Times New Roman" w:cs="Times New Roman"/>
                <w:lang w:val="ru-RU" w:eastAsia="ru-RU"/>
              </w:rPr>
              <w:t>525 119</w:t>
            </w:r>
          </w:p>
        </w:tc>
        <w:tc>
          <w:tcPr>
            <w:tcW w:w="736" w:type="pct"/>
            <w:vAlign w:val="center"/>
          </w:tcPr>
          <w:p w:rsidR="00DD6BF2" w:rsidRPr="00CA19BF" w:rsidRDefault="00CA19BF" w:rsidP="00FA3CBE">
            <w:pPr>
              <w:spacing w:after="0" w:line="240" w:lineRule="atLeast"/>
              <w:jc w:val="center"/>
              <w:rPr>
                <w:rFonts w:ascii="Times New Roman" w:eastAsia="Times New Roman" w:hAnsi="Times New Roman" w:cs="Times New Roman"/>
                <w:lang w:val="ru-RU" w:eastAsia="ru-RU"/>
              </w:rPr>
            </w:pPr>
            <w:r w:rsidRPr="00CA19BF">
              <w:rPr>
                <w:rFonts w:ascii="Times New Roman" w:eastAsia="Times New Roman" w:hAnsi="Times New Roman" w:cs="Times New Roman"/>
                <w:lang w:val="ru-RU" w:eastAsia="ru-RU"/>
              </w:rPr>
              <w:t>475 182</w:t>
            </w:r>
          </w:p>
        </w:tc>
        <w:tc>
          <w:tcPr>
            <w:tcW w:w="663" w:type="pct"/>
            <w:vAlign w:val="center"/>
          </w:tcPr>
          <w:p w:rsidR="00DD6BF2" w:rsidRPr="00CA19BF" w:rsidRDefault="00CA19BF" w:rsidP="00FA3CBE">
            <w:pPr>
              <w:spacing w:after="0" w:line="240" w:lineRule="atLeast"/>
              <w:jc w:val="center"/>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458 830</w:t>
            </w:r>
          </w:p>
        </w:tc>
        <w:tc>
          <w:tcPr>
            <w:tcW w:w="662" w:type="pct"/>
            <w:vAlign w:val="center"/>
          </w:tcPr>
          <w:p w:rsidR="00DD6BF2" w:rsidRPr="00CA19BF" w:rsidRDefault="00CA19BF" w:rsidP="00FA3CBE">
            <w:pPr>
              <w:spacing w:after="0" w:line="240" w:lineRule="atLeast"/>
              <w:jc w:val="center"/>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87</w:t>
            </w:r>
          </w:p>
        </w:tc>
        <w:tc>
          <w:tcPr>
            <w:tcW w:w="587" w:type="pct"/>
            <w:vAlign w:val="center"/>
          </w:tcPr>
          <w:p w:rsidR="00DD6BF2" w:rsidRPr="00CA19BF" w:rsidRDefault="00CA19BF" w:rsidP="00FA3CBE">
            <w:pPr>
              <w:spacing w:after="0" w:line="240" w:lineRule="atLeast"/>
              <w:jc w:val="center"/>
              <w:rPr>
                <w:rFonts w:ascii="Times New Roman" w:eastAsia="Times New Roman" w:hAnsi="Times New Roman" w:cs="Times New Roman"/>
                <w:lang w:eastAsia="ru-RU"/>
              </w:rPr>
            </w:pPr>
            <w:r w:rsidRPr="00CA19BF">
              <w:rPr>
                <w:rFonts w:ascii="Times New Roman" w:eastAsia="Times New Roman" w:hAnsi="Times New Roman" w:cs="Times New Roman"/>
                <w:lang w:eastAsia="ru-RU"/>
              </w:rPr>
              <w:t>97</w:t>
            </w:r>
          </w:p>
        </w:tc>
      </w:tr>
      <w:tr w:rsidR="00DD6BF2" w:rsidRPr="00CA19BF" w:rsidTr="00DD6BF2">
        <w:trPr>
          <w:trHeight w:val="253"/>
        </w:trPr>
        <w:tc>
          <w:tcPr>
            <w:tcW w:w="1616" w:type="pct"/>
            <w:vAlign w:val="center"/>
          </w:tcPr>
          <w:p w:rsidR="00DD6BF2" w:rsidRPr="00CA19BF" w:rsidRDefault="00DD6BF2" w:rsidP="00FF6128">
            <w:pPr>
              <w:spacing w:after="0" w:line="240" w:lineRule="atLeast"/>
              <w:rPr>
                <w:rFonts w:ascii="Times New Roman" w:eastAsia="Times New Roman" w:hAnsi="Times New Roman" w:cs="Times New Roman"/>
                <w:b/>
                <w:bCs/>
                <w:lang w:eastAsia="ru-RU"/>
              </w:rPr>
            </w:pPr>
            <w:r w:rsidRPr="00CA19BF">
              <w:rPr>
                <w:rFonts w:ascii="Times New Roman" w:eastAsia="Times New Roman" w:hAnsi="Times New Roman" w:cs="Times New Roman"/>
                <w:bCs/>
                <w:lang w:eastAsia="ru-RU"/>
              </w:rPr>
              <w:t xml:space="preserve">Інші податки, збори та платежі </w:t>
            </w:r>
          </w:p>
        </w:tc>
        <w:tc>
          <w:tcPr>
            <w:tcW w:w="735" w:type="pct"/>
            <w:vAlign w:val="center"/>
          </w:tcPr>
          <w:p w:rsidR="00DD6BF2" w:rsidRPr="00CA19BF" w:rsidRDefault="00CA19BF" w:rsidP="00FA3CBE">
            <w:pPr>
              <w:spacing w:after="0" w:line="240" w:lineRule="atLeast"/>
              <w:jc w:val="center"/>
              <w:rPr>
                <w:rFonts w:ascii="Times New Roman" w:eastAsia="Times New Roman" w:hAnsi="Times New Roman" w:cs="Times New Roman"/>
                <w:bCs/>
                <w:lang w:val="ru-RU" w:eastAsia="ru-RU"/>
              </w:rPr>
            </w:pPr>
            <w:r w:rsidRPr="00CA19BF">
              <w:rPr>
                <w:rFonts w:ascii="Times New Roman" w:eastAsia="Times New Roman" w:hAnsi="Times New Roman" w:cs="Times New Roman"/>
                <w:bCs/>
                <w:lang w:val="ru-RU" w:eastAsia="ru-RU"/>
              </w:rPr>
              <w:t>903 551</w:t>
            </w:r>
          </w:p>
        </w:tc>
        <w:tc>
          <w:tcPr>
            <w:tcW w:w="736" w:type="pct"/>
            <w:vAlign w:val="center"/>
          </w:tcPr>
          <w:p w:rsidR="00DD6BF2" w:rsidRPr="00CA19BF" w:rsidRDefault="00CA19BF" w:rsidP="00FA3CBE">
            <w:pPr>
              <w:spacing w:after="0" w:line="240" w:lineRule="atLeast"/>
              <w:jc w:val="center"/>
              <w:rPr>
                <w:rFonts w:ascii="Times New Roman" w:eastAsia="Times New Roman" w:hAnsi="Times New Roman" w:cs="Times New Roman"/>
                <w:bCs/>
                <w:lang w:val="ru-RU" w:eastAsia="ru-RU"/>
              </w:rPr>
            </w:pPr>
            <w:r w:rsidRPr="00CA19BF">
              <w:rPr>
                <w:rFonts w:ascii="Times New Roman" w:eastAsia="Times New Roman" w:hAnsi="Times New Roman" w:cs="Times New Roman"/>
                <w:bCs/>
                <w:lang w:val="ru-RU" w:eastAsia="ru-RU"/>
              </w:rPr>
              <w:t>992 825</w:t>
            </w:r>
          </w:p>
        </w:tc>
        <w:tc>
          <w:tcPr>
            <w:tcW w:w="663" w:type="pct"/>
            <w:vAlign w:val="center"/>
          </w:tcPr>
          <w:p w:rsidR="00DD6BF2" w:rsidRPr="00CA19BF" w:rsidRDefault="00CA19BF" w:rsidP="00FA3CBE">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1 002 421</w:t>
            </w:r>
          </w:p>
        </w:tc>
        <w:tc>
          <w:tcPr>
            <w:tcW w:w="662" w:type="pct"/>
            <w:vAlign w:val="center"/>
          </w:tcPr>
          <w:p w:rsidR="00DD6BF2" w:rsidRPr="00CA19BF" w:rsidRDefault="00CA19BF" w:rsidP="00FA3CBE">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111</w:t>
            </w:r>
          </w:p>
        </w:tc>
        <w:tc>
          <w:tcPr>
            <w:tcW w:w="587" w:type="pct"/>
            <w:vAlign w:val="center"/>
          </w:tcPr>
          <w:p w:rsidR="00DD6BF2" w:rsidRPr="00CA19BF" w:rsidRDefault="00CA19BF" w:rsidP="00FA3CBE">
            <w:pPr>
              <w:spacing w:after="0" w:line="240" w:lineRule="atLeast"/>
              <w:jc w:val="center"/>
              <w:rPr>
                <w:rFonts w:ascii="Times New Roman" w:eastAsia="Times New Roman" w:hAnsi="Times New Roman" w:cs="Times New Roman"/>
                <w:bCs/>
                <w:lang w:eastAsia="ru-RU"/>
              </w:rPr>
            </w:pPr>
            <w:r w:rsidRPr="00CA19BF">
              <w:rPr>
                <w:rFonts w:ascii="Times New Roman" w:eastAsia="Times New Roman" w:hAnsi="Times New Roman" w:cs="Times New Roman"/>
                <w:bCs/>
                <w:lang w:eastAsia="ru-RU"/>
              </w:rPr>
              <w:t>101</w:t>
            </w:r>
          </w:p>
        </w:tc>
      </w:tr>
      <w:tr w:rsidR="00DD6BF2" w:rsidRPr="00CA19BF" w:rsidTr="00DD6BF2">
        <w:trPr>
          <w:trHeight w:val="253"/>
        </w:trPr>
        <w:tc>
          <w:tcPr>
            <w:tcW w:w="1616" w:type="pct"/>
            <w:vAlign w:val="center"/>
          </w:tcPr>
          <w:p w:rsidR="00DD6BF2" w:rsidRPr="00CA19BF" w:rsidRDefault="00DD6BF2" w:rsidP="00FF6128">
            <w:pPr>
              <w:spacing w:after="0" w:line="240" w:lineRule="atLeast"/>
              <w:rPr>
                <w:rFonts w:ascii="Times New Roman" w:eastAsia="Times New Roman" w:hAnsi="Times New Roman" w:cs="Times New Roman"/>
                <w:b/>
                <w:bCs/>
                <w:lang w:eastAsia="ru-RU"/>
              </w:rPr>
            </w:pPr>
            <w:r w:rsidRPr="00CA19BF">
              <w:rPr>
                <w:rFonts w:ascii="Times New Roman" w:eastAsia="Times New Roman" w:hAnsi="Times New Roman" w:cs="Times New Roman"/>
                <w:b/>
                <w:bCs/>
                <w:lang w:eastAsia="ru-RU"/>
              </w:rPr>
              <w:t>Усього:</w:t>
            </w:r>
          </w:p>
        </w:tc>
        <w:tc>
          <w:tcPr>
            <w:tcW w:w="735" w:type="pct"/>
            <w:vAlign w:val="center"/>
          </w:tcPr>
          <w:p w:rsidR="00DD6BF2" w:rsidRPr="00CA19BF" w:rsidRDefault="00DD6BF2" w:rsidP="00FA3CBE">
            <w:pPr>
              <w:spacing w:after="0" w:line="240" w:lineRule="atLeast"/>
              <w:jc w:val="center"/>
              <w:rPr>
                <w:rFonts w:ascii="Times New Roman" w:eastAsia="Times New Roman" w:hAnsi="Times New Roman" w:cs="Times New Roman"/>
                <w:b/>
                <w:bCs/>
                <w:lang w:eastAsia="ru-RU"/>
              </w:rPr>
            </w:pPr>
            <w:r w:rsidRPr="00CA19BF">
              <w:rPr>
                <w:rFonts w:ascii="Times New Roman" w:eastAsia="Times New Roman" w:hAnsi="Times New Roman" w:cs="Times New Roman"/>
                <w:bCs/>
                <w:lang w:val="ru-RU" w:eastAsia="ru-RU"/>
              </w:rPr>
              <w:t>3 892 815</w:t>
            </w:r>
          </w:p>
        </w:tc>
        <w:tc>
          <w:tcPr>
            <w:tcW w:w="736" w:type="pct"/>
            <w:vAlign w:val="center"/>
          </w:tcPr>
          <w:p w:rsidR="00DD6BF2" w:rsidRPr="00CA19BF" w:rsidRDefault="00DD6BF2" w:rsidP="00FA3CBE">
            <w:pPr>
              <w:spacing w:after="0" w:line="240" w:lineRule="atLeast"/>
              <w:jc w:val="center"/>
              <w:rPr>
                <w:rFonts w:ascii="Times New Roman" w:eastAsia="Times New Roman" w:hAnsi="Times New Roman" w:cs="Times New Roman"/>
                <w:b/>
                <w:bCs/>
                <w:lang w:eastAsia="ru-RU"/>
              </w:rPr>
            </w:pPr>
            <w:r w:rsidRPr="00CA19BF">
              <w:rPr>
                <w:rFonts w:ascii="Times New Roman" w:eastAsia="Times New Roman" w:hAnsi="Times New Roman" w:cs="Times New Roman"/>
                <w:bCs/>
                <w:lang w:val="ru-RU" w:eastAsia="ru-RU"/>
              </w:rPr>
              <w:t>3 267 324</w:t>
            </w:r>
          </w:p>
        </w:tc>
        <w:tc>
          <w:tcPr>
            <w:tcW w:w="663" w:type="pct"/>
            <w:vAlign w:val="center"/>
          </w:tcPr>
          <w:p w:rsidR="00DD6BF2" w:rsidRPr="00CA19BF" w:rsidRDefault="00DD6BF2" w:rsidP="00FA3CBE">
            <w:pPr>
              <w:spacing w:after="0" w:line="240" w:lineRule="atLeast"/>
              <w:jc w:val="center"/>
              <w:rPr>
                <w:rFonts w:ascii="Times New Roman" w:eastAsia="Times New Roman" w:hAnsi="Times New Roman" w:cs="Times New Roman"/>
                <w:b/>
                <w:bCs/>
                <w:lang w:eastAsia="ru-RU"/>
              </w:rPr>
            </w:pPr>
            <w:r w:rsidRPr="00CA19BF">
              <w:rPr>
                <w:rFonts w:ascii="Times New Roman" w:eastAsia="Times New Roman" w:hAnsi="Times New Roman" w:cs="Times New Roman"/>
                <w:bCs/>
                <w:lang w:eastAsia="ru-RU"/>
              </w:rPr>
              <w:t>3 526 611</w:t>
            </w:r>
          </w:p>
        </w:tc>
        <w:tc>
          <w:tcPr>
            <w:tcW w:w="662" w:type="pct"/>
            <w:vAlign w:val="center"/>
          </w:tcPr>
          <w:p w:rsidR="00DD6BF2" w:rsidRPr="00CA19BF" w:rsidRDefault="00CA19BF" w:rsidP="00FA3CBE">
            <w:pPr>
              <w:spacing w:after="0" w:line="240" w:lineRule="atLeast"/>
              <w:jc w:val="center"/>
              <w:rPr>
                <w:rFonts w:ascii="Times New Roman" w:eastAsia="Times New Roman" w:hAnsi="Times New Roman" w:cs="Times New Roman"/>
                <w:b/>
                <w:bCs/>
                <w:lang w:eastAsia="ru-RU"/>
              </w:rPr>
            </w:pPr>
            <w:r w:rsidRPr="00CA19BF">
              <w:rPr>
                <w:rFonts w:ascii="Times New Roman" w:eastAsia="Times New Roman" w:hAnsi="Times New Roman" w:cs="Times New Roman"/>
                <w:b/>
                <w:bCs/>
                <w:lang w:eastAsia="ru-RU"/>
              </w:rPr>
              <w:t>91</w:t>
            </w:r>
          </w:p>
        </w:tc>
        <w:tc>
          <w:tcPr>
            <w:tcW w:w="587" w:type="pct"/>
            <w:vAlign w:val="center"/>
          </w:tcPr>
          <w:p w:rsidR="00DD6BF2" w:rsidRPr="00CA19BF" w:rsidRDefault="00CA19BF" w:rsidP="00FA3CBE">
            <w:pPr>
              <w:spacing w:after="0" w:line="240" w:lineRule="atLeast"/>
              <w:jc w:val="center"/>
              <w:rPr>
                <w:rFonts w:ascii="Times New Roman" w:eastAsia="Times New Roman" w:hAnsi="Times New Roman" w:cs="Times New Roman"/>
                <w:b/>
                <w:bCs/>
                <w:lang w:eastAsia="ru-RU"/>
              </w:rPr>
            </w:pPr>
            <w:r w:rsidRPr="00CA19BF">
              <w:rPr>
                <w:rFonts w:ascii="Times New Roman" w:eastAsia="Times New Roman" w:hAnsi="Times New Roman" w:cs="Times New Roman"/>
                <w:b/>
                <w:bCs/>
                <w:lang w:eastAsia="ru-RU"/>
              </w:rPr>
              <w:t>108</w:t>
            </w:r>
          </w:p>
        </w:tc>
      </w:tr>
    </w:tbl>
    <w:p w:rsidR="008B0449" w:rsidRPr="00CA19BF" w:rsidRDefault="008B0449" w:rsidP="008B0449">
      <w:pPr>
        <w:pStyle w:val="a9"/>
        <w:spacing w:after="0" w:line="240" w:lineRule="auto"/>
        <w:ind w:left="1068"/>
        <w:rPr>
          <w:rFonts w:ascii="Times New Roman" w:eastAsia="Times New Roman" w:hAnsi="Times New Roman" w:cs="Times New Roman"/>
          <w:b/>
          <w:sz w:val="28"/>
          <w:szCs w:val="28"/>
          <w:lang w:eastAsia="ru-RU"/>
        </w:rPr>
      </w:pPr>
    </w:p>
    <w:p w:rsidR="008B0449" w:rsidRDefault="008B0449" w:rsidP="008B0449">
      <w:pPr>
        <w:pStyle w:val="a9"/>
        <w:spacing w:after="0" w:line="240" w:lineRule="auto"/>
        <w:ind w:left="1068"/>
        <w:rPr>
          <w:rFonts w:ascii="Times New Roman" w:eastAsia="Times New Roman" w:hAnsi="Times New Roman" w:cs="Times New Roman"/>
          <w:b/>
          <w:color w:val="FF0000"/>
          <w:sz w:val="28"/>
          <w:szCs w:val="28"/>
          <w:lang w:eastAsia="ru-RU"/>
        </w:rPr>
      </w:pPr>
    </w:p>
    <w:p w:rsidR="00FE3367" w:rsidRDefault="00FE3367" w:rsidP="008B0449">
      <w:pPr>
        <w:pStyle w:val="a9"/>
        <w:spacing w:after="0" w:line="240" w:lineRule="auto"/>
        <w:ind w:left="1068"/>
        <w:rPr>
          <w:rFonts w:ascii="Times New Roman" w:eastAsia="Times New Roman" w:hAnsi="Times New Roman" w:cs="Times New Roman"/>
          <w:b/>
          <w:color w:val="FF0000"/>
          <w:sz w:val="28"/>
          <w:szCs w:val="28"/>
          <w:lang w:eastAsia="ru-RU"/>
        </w:rPr>
      </w:pPr>
    </w:p>
    <w:p w:rsidR="00FE3367" w:rsidRDefault="00FE3367" w:rsidP="008B0449">
      <w:pPr>
        <w:pStyle w:val="a9"/>
        <w:spacing w:after="0" w:line="240" w:lineRule="auto"/>
        <w:ind w:left="1068"/>
        <w:rPr>
          <w:rFonts w:ascii="Times New Roman" w:eastAsia="Times New Roman" w:hAnsi="Times New Roman" w:cs="Times New Roman"/>
          <w:b/>
          <w:color w:val="FF0000"/>
          <w:sz w:val="28"/>
          <w:szCs w:val="28"/>
          <w:lang w:eastAsia="ru-RU"/>
        </w:rPr>
      </w:pPr>
    </w:p>
    <w:p w:rsidR="00FE3367" w:rsidRDefault="00FE3367" w:rsidP="008B0449">
      <w:pPr>
        <w:pStyle w:val="a9"/>
        <w:spacing w:after="0" w:line="240" w:lineRule="auto"/>
        <w:ind w:left="1068"/>
        <w:rPr>
          <w:rFonts w:ascii="Times New Roman" w:eastAsia="Times New Roman" w:hAnsi="Times New Roman" w:cs="Times New Roman"/>
          <w:b/>
          <w:color w:val="FF0000"/>
          <w:sz w:val="28"/>
          <w:szCs w:val="28"/>
          <w:lang w:eastAsia="ru-RU"/>
        </w:rPr>
      </w:pPr>
    </w:p>
    <w:p w:rsidR="00FE3367" w:rsidRDefault="00FE3367" w:rsidP="008B0449">
      <w:pPr>
        <w:pStyle w:val="a9"/>
        <w:spacing w:after="0" w:line="240" w:lineRule="auto"/>
        <w:ind w:left="1068"/>
        <w:rPr>
          <w:rFonts w:ascii="Times New Roman" w:eastAsia="Times New Roman" w:hAnsi="Times New Roman" w:cs="Times New Roman"/>
          <w:b/>
          <w:color w:val="FF0000"/>
          <w:sz w:val="28"/>
          <w:szCs w:val="28"/>
          <w:lang w:eastAsia="ru-RU"/>
        </w:rPr>
      </w:pPr>
    </w:p>
    <w:p w:rsidR="00FE3367" w:rsidRPr="00C61B4C" w:rsidRDefault="00FE3367" w:rsidP="008B0449">
      <w:pPr>
        <w:pStyle w:val="a9"/>
        <w:spacing w:after="0" w:line="240" w:lineRule="auto"/>
        <w:ind w:left="1068"/>
        <w:rPr>
          <w:rFonts w:ascii="Times New Roman" w:eastAsia="Times New Roman" w:hAnsi="Times New Roman" w:cs="Times New Roman"/>
          <w:b/>
          <w:color w:val="FF0000"/>
          <w:sz w:val="28"/>
          <w:szCs w:val="28"/>
          <w:lang w:eastAsia="ru-RU"/>
        </w:rPr>
      </w:pPr>
    </w:p>
    <w:p w:rsidR="00A664EA" w:rsidRPr="005E5C6E" w:rsidRDefault="00A664EA" w:rsidP="00A664EA">
      <w:pPr>
        <w:pStyle w:val="a9"/>
        <w:numPr>
          <w:ilvl w:val="0"/>
          <w:numId w:val="6"/>
        </w:numPr>
        <w:spacing w:after="0" w:line="240" w:lineRule="auto"/>
        <w:jc w:val="center"/>
        <w:rPr>
          <w:rFonts w:ascii="Times New Roman" w:eastAsia="Times New Roman" w:hAnsi="Times New Roman" w:cs="Times New Roman"/>
          <w:b/>
          <w:sz w:val="28"/>
          <w:szCs w:val="28"/>
          <w:lang w:eastAsia="ru-RU"/>
        </w:rPr>
      </w:pPr>
      <w:r w:rsidRPr="005E5C6E">
        <w:rPr>
          <w:rFonts w:ascii="Times New Roman" w:eastAsia="Times New Roman" w:hAnsi="Times New Roman" w:cs="Times New Roman"/>
          <w:b/>
          <w:sz w:val="28"/>
          <w:szCs w:val="28"/>
          <w:lang w:eastAsia="ru-RU"/>
        </w:rPr>
        <w:lastRenderedPageBreak/>
        <w:t xml:space="preserve">Аналіз показників праці </w:t>
      </w:r>
    </w:p>
    <w:p w:rsidR="00A664EA" w:rsidRPr="005E5C6E" w:rsidRDefault="00A664EA" w:rsidP="00D3606C">
      <w:pPr>
        <w:pStyle w:val="a9"/>
        <w:spacing w:after="0" w:line="240" w:lineRule="auto"/>
        <w:ind w:left="7797"/>
        <w:jc w:val="both"/>
        <w:rPr>
          <w:rFonts w:ascii="Times New Roman" w:eastAsia="Times New Roman" w:hAnsi="Times New Roman" w:cs="Times New Roman"/>
          <w:sz w:val="24"/>
          <w:szCs w:val="24"/>
          <w:lang w:eastAsia="ru-RU"/>
        </w:rPr>
      </w:pPr>
      <w:r w:rsidRPr="005E5C6E">
        <w:rPr>
          <w:rFonts w:ascii="Times New Roman" w:eastAsia="Times New Roman" w:hAnsi="Times New Roman" w:cs="Times New Roman"/>
          <w:iCs/>
          <w:sz w:val="24"/>
          <w:szCs w:val="24"/>
          <w:lang w:eastAsia="ru-RU"/>
        </w:rPr>
        <w:t xml:space="preserve">             </w:t>
      </w:r>
      <w:r w:rsidRPr="005E5C6E">
        <w:rPr>
          <w:rFonts w:ascii="Times New Roman" w:hAnsi="Times New Roman" w:cs="Times New Roman"/>
          <w:sz w:val="24"/>
          <w:szCs w:val="24"/>
        </w:rPr>
        <w:t xml:space="preserve">Таблиця 16 </w:t>
      </w:r>
    </w:p>
    <w:tbl>
      <w:tblPr>
        <w:tblStyle w:val="ad"/>
        <w:tblW w:w="9863" w:type="dxa"/>
        <w:tblInd w:w="-5" w:type="dxa"/>
        <w:tblLayout w:type="fixed"/>
        <w:tblLook w:val="04A0" w:firstRow="1" w:lastRow="0" w:firstColumn="1" w:lastColumn="0" w:noHBand="0" w:noVBand="1"/>
      </w:tblPr>
      <w:tblGrid>
        <w:gridCol w:w="3242"/>
        <w:gridCol w:w="1436"/>
        <w:gridCol w:w="1418"/>
        <w:gridCol w:w="1275"/>
        <w:gridCol w:w="1276"/>
        <w:gridCol w:w="1216"/>
      </w:tblGrid>
      <w:tr w:rsidR="00A664EA" w:rsidRPr="005E5C6E" w:rsidTr="00303870">
        <w:trPr>
          <w:trHeight w:val="1248"/>
        </w:trPr>
        <w:tc>
          <w:tcPr>
            <w:tcW w:w="3242" w:type="dxa"/>
            <w:vAlign w:val="center"/>
          </w:tcPr>
          <w:p w:rsidR="00A664EA" w:rsidRPr="005E5C6E" w:rsidRDefault="00A664EA" w:rsidP="00A664EA">
            <w:pPr>
              <w:jc w:val="center"/>
              <w:rPr>
                <w:rFonts w:ascii="Times New Roman" w:eastAsia="Times New Roman" w:hAnsi="Times New Roman" w:cs="Times New Roman"/>
                <w:lang w:eastAsia="uk-UA"/>
              </w:rPr>
            </w:pPr>
            <w:r w:rsidRPr="005E5C6E">
              <w:rPr>
                <w:rFonts w:ascii="Times New Roman" w:eastAsia="Times New Roman" w:hAnsi="Times New Roman" w:cs="Times New Roman"/>
                <w:lang w:eastAsia="uk-UA"/>
              </w:rPr>
              <w:t>Показники</w:t>
            </w:r>
          </w:p>
        </w:tc>
        <w:tc>
          <w:tcPr>
            <w:tcW w:w="1436" w:type="dxa"/>
            <w:vAlign w:val="center"/>
          </w:tcPr>
          <w:p w:rsidR="00A664EA" w:rsidRPr="005E5C6E" w:rsidRDefault="00A664EA" w:rsidP="00A664EA">
            <w:pPr>
              <w:jc w:val="center"/>
              <w:rPr>
                <w:rFonts w:ascii="Times New Roman" w:hAnsi="Times New Roman" w:cs="Times New Roman"/>
                <w:sz w:val="20"/>
                <w:szCs w:val="20"/>
              </w:rPr>
            </w:pPr>
            <w:r w:rsidRPr="005E5C6E">
              <w:rPr>
                <w:rFonts w:ascii="Times New Roman" w:hAnsi="Times New Roman" w:cs="Times New Roman"/>
                <w:sz w:val="20"/>
                <w:szCs w:val="20"/>
              </w:rPr>
              <w:t>Факт 201</w:t>
            </w:r>
            <w:r>
              <w:rPr>
                <w:rFonts w:ascii="Times New Roman" w:hAnsi="Times New Roman" w:cs="Times New Roman"/>
                <w:sz w:val="20"/>
                <w:szCs w:val="20"/>
              </w:rPr>
              <w:t>8</w:t>
            </w:r>
          </w:p>
        </w:tc>
        <w:tc>
          <w:tcPr>
            <w:tcW w:w="1418" w:type="dxa"/>
            <w:shd w:val="clear" w:color="auto" w:fill="auto"/>
            <w:vAlign w:val="center"/>
          </w:tcPr>
          <w:p w:rsidR="00A664EA" w:rsidRPr="005E5C6E" w:rsidRDefault="00A664EA" w:rsidP="00A664EA">
            <w:pPr>
              <w:jc w:val="center"/>
              <w:rPr>
                <w:rFonts w:ascii="Times New Roman" w:hAnsi="Times New Roman" w:cs="Times New Roman"/>
                <w:sz w:val="20"/>
                <w:szCs w:val="20"/>
              </w:rPr>
            </w:pPr>
            <w:r w:rsidRPr="005E5C6E">
              <w:rPr>
                <w:rFonts w:ascii="Times New Roman" w:hAnsi="Times New Roman" w:cs="Times New Roman"/>
                <w:sz w:val="20"/>
                <w:szCs w:val="20"/>
              </w:rPr>
              <w:t>План  2019</w:t>
            </w:r>
          </w:p>
        </w:tc>
        <w:tc>
          <w:tcPr>
            <w:tcW w:w="1275" w:type="dxa"/>
            <w:shd w:val="clear" w:color="auto" w:fill="auto"/>
            <w:vAlign w:val="center"/>
          </w:tcPr>
          <w:p w:rsidR="00A664EA" w:rsidRPr="005E5C6E" w:rsidRDefault="00A664EA" w:rsidP="00A664EA">
            <w:pPr>
              <w:jc w:val="center"/>
              <w:rPr>
                <w:rFonts w:ascii="Times New Roman" w:hAnsi="Times New Roman" w:cs="Times New Roman"/>
                <w:sz w:val="20"/>
                <w:szCs w:val="20"/>
              </w:rPr>
            </w:pPr>
            <w:r w:rsidRPr="005E5C6E">
              <w:rPr>
                <w:rFonts w:ascii="Times New Roman" w:hAnsi="Times New Roman" w:cs="Times New Roman"/>
                <w:sz w:val="20"/>
                <w:szCs w:val="20"/>
              </w:rPr>
              <w:t>Факт 2019</w:t>
            </w:r>
          </w:p>
        </w:tc>
        <w:tc>
          <w:tcPr>
            <w:tcW w:w="1276" w:type="dxa"/>
            <w:shd w:val="clear" w:color="auto" w:fill="auto"/>
            <w:vAlign w:val="center"/>
          </w:tcPr>
          <w:p w:rsidR="00A664EA" w:rsidRPr="00C61B4C" w:rsidRDefault="00A664EA" w:rsidP="00A664EA">
            <w:pPr>
              <w:jc w:val="center"/>
              <w:rPr>
                <w:rFonts w:ascii="Times New Roman" w:hAnsi="Times New Roman" w:cs="Times New Roman"/>
                <w:bCs/>
                <w:sz w:val="20"/>
                <w:szCs w:val="20"/>
              </w:rPr>
            </w:pPr>
            <w:r w:rsidRPr="00C61B4C">
              <w:rPr>
                <w:rFonts w:ascii="Times New Roman" w:hAnsi="Times New Roman" w:cs="Times New Roman"/>
                <w:bCs/>
                <w:sz w:val="20"/>
                <w:szCs w:val="20"/>
              </w:rPr>
              <w:t>%, факт 2019/факт 2018</w:t>
            </w:r>
          </w:p>
        </w:tc>
        <w:tc>
          <w:tcPr>
            <w:tcW w:w="1216" w:type="dxa"/>
            <w:shd w:val="clear" w:color="auto" w:fill="auto"/>
            <w:vAlign w:val="center"/>
          </w:tcPr>
          <w:p w:rsidR="00A664EA" w:rsidRPr="00C61B4C" w:rsidRDefault="00A664EA" w:rsidP="00A664EA">
            <w:pPr>
              <w:jc w:val="center"/>
              <w:rPr>
                <w:rFonts w:ascii="Times New Roman" w:hAnsi="Times New Roman" w:cs="Times New Roman"/>
                <w:bCs/>
                <w:sz w:val="20"/>
                <w:szCs w:val="20"/>
              </w:rPr>
            </w:pPr>
            <w:r w:rsidRPr="00C61B4C">
              <w:rPr>
                <w:rFonts w:ascii="Times New Roman" w:hAnsi="Times New Roman" w:cs="Times New Roman"/>
                <w:bCs/>
                <w:sz w:val="20"/>
                <w:szCs w:val="20"/>
              </w:rPr>
              <w:t>%, факт 2019/план 2019</w:t>
            </w:r>
          </w:p>
        </w:tc>
      </w:tr>
      <w:tr w:rsidR="00A664EA" w:rsidRPr="005E5C6E" w:rsidTr="00303870">
        <w:trPr>
          <w:trHeight w:val="826"/>
        </w:trPr>
        <w:tc>
          <w:tcPr>
            <w:tcW w:w="3242" w:type="dxa"/>
          </w:tcPr>
          <w:p w:rsidR="00A664EA" w:rsidRPr="005E5C6E" w:rsidRDefault="00A664EA" w:rsidP="00A664EA">
            <w:pPr>
              <w:pStyle w:val="a9"/>
              <w:ind w:left="0"/>
              <w:rPr>
                <w:rFonts w:ascii="Times New Roman" w:eastAsia="Times New Roman" w:hAnsi="Times New Roman" w:cs="Times New Roman"/>
                <w:sz w:val="24"/>
                <w:szCs w:val="24"/>
                <w:lang w:eastAsia="ru-RU"/>
              </w:rPr>
            </w:pPr>
            <w:r w:rsidRPr="005E5C6E">
              <w:rPr>
                <w:rFonts w:ascii="Times New Roman" w:eastAsia="Times New Roman" w:hAnsi="Times New Roman" w:cs="Times New Roman"/>
                <w:sz w:val="24"/>
                <w:szCs w:val="24"/>
                <w:lang w:eastAsia="ru-RU"/>
              </w:rPr>
              <w:t>Витрати на оплату праці, тис. грн.</w:t>
            </w:r>
          </w:p>
        </w:tc>
        <w:tc>
          <w:tcPr>
            <w:tcW w:w="1436" w:type="dxa"/>
            <w:vAlign w:val="center"/>
          </w:tcPr>
          <w:p w:rsidR="00A664EA" w:rsidRPr="005E5C6E" w:rsidRDefault="00A664EA" w:rsidP="00FF0268">
            <w:pPr>
              <w:jc w:val="center"/>
              <w:rPr>
                <w:rFonts w:ascii="Times New Roman" w:hAnsi="Times New Roman" w:cs="Times New Roman"/>
              </w:rPr>
            </w:pPr>
            <w:r w:rsidRPr="00FF0268">
              <w:rPr>
                <w:rFonts w:ascii="Times New Roman" w:hAnsi="Times New Roman" w:cs="Times New Roman"/>
              </w:rPr>
              <w:t>1 770 633</w:t>
            </w:r>
          </w:p>
        </w:tc>
        <w:tc>
          <w:tcPr>
            <w:tcW w:w="1418" w:type="dxa"/>
            <w:shd w:val="clear" w:color="auto" w:fill="auto"/>
            <w:vAlign w:val="center"/>
          </w:tcPr>
          <w:p w:rsidR="00A664EA" w:rsidRPr="005E5C6E" w:rsidRDefault="00A664EA" w:rsidP="00A664EA">
            <w:pPr>
              <w:jc w:val="center"/>
              <w:rPr>
                <w:rFonts w:ascii="Times New Roman" w:hAnsi="Times New Roman" w:cs="Times New Roman"/>
                <w:sz w:val="24"/>
                <w:szCs w:val="24"/>
              </w:rPr>
            </w:pPr>
            <w:r w:rsidRPr="005E5C6E">
              <w:rPr>
                <w:rFonts w:ascii="Times New Roman" w:hAnsi="Times New Roman" w:cs="Times New Roman"/>
              </w:rPr>
              <w:t>1 968 614</w:t>
            </w:r>
          </w:p>
        </w:tc>
        <w:tc>
          <w:tcPr>
            <w:tcW w:w="1275"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1 989 022</w:t>
            </w:r>
          </w:p>
        </w:tc>
        <w:tc>
          <w:tcPr>
            <w:tcW w:w="1276" w:type="dxa"/>
            <w:shd w:val="clear" w:color="auto" w:fill="auto"/>
            <w:vAlign w:val="center"/>
          </w:tcPr>
          <w:p w:rsidR="00A664EA" w:rsidRPr="005E5C6E" w:rsidRDefault="00A664EA" w:rsidP="00A664EA">
            <w:pPr>
              <w:jc w:val="center"/>
              <w:rPr>
                <w:rFonts w:ascii="Times New Roman" w:hAnsi="Times New Roman" w:cs="Times New Roman"/>
              </w:rPr>
            </w:pPr>
            <w:r>
              <w:rPr>
                <w:rFonts w:ascii="Times New Roman" w:hAnsi="Times New Roman" w:cs="Times New Roman"/>
              </w:rPr>
              <w:t>113</w:t>
            </w:r>
          </w:p>
        </w:tc>
        <w:tc>
          <w:tcPr>
            <w:tcW w:w="1216"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101</w:t>
            </w:r>
          </w:p>
        </w:tc>
      </w:tr>
      <w:tr w:rsidR="00A664EA" w:rsidRPr="005E5C6E" w:rsidTr="00303870">
        <w:trPr>
          <w:trHeight w:val="724"/>
        </w:trPr>
        <w:tc>
          <w:tcPr>
            <w:tcW w:w="3242" w:type="dxa"/>
          </w:tcPr>
          <w:p w:rsidR="00A664EA" w:rsidRPr="005E5C6E" w:rsidRDefault="00A664EA" w:rsidP="00A664EA">
            <w:pPr>
              <w:pStyle w:val="a9"/>
              <w:ind w:left="0"/>
              <w:rPr>
                <w:rFonts w:ascii="Times New Roman" w:eastAsia="Times New Roman" w:hAnsi="Times New Roman" w:cs="Times New Roman"/>
                <w:sz w:val="24"/>
                <w:szCs w:val="24"/>
                <w:lang w:eastAsia="ru-RU"/>
              </w:rPr>
            </w:pPr>
            <w:r w:rsidRPr="005E5C6E">
              <w:rPr>
                <w:rFonts w:ascii="Times New Roman" w:eastAsia="Times New Roman" w:hAnsi="Times New Roman" w:cs="Times New Roman"/>
                <w:sz w:val="24"/>
                <w:szCs w:val="24"/>
                <w:lang w:eastAsia="ru-RU"/>
              </w:rPr>
              <w:t>Середня кількість працівників, осіб</w:t>
            </w:r>
          </w:p>
        </w:tc>
        <w:tc>
          <w:tcPr>
            <w:tcW w:w="1436" w:type="dxa"/>
            <w:vAlign w:val="center"/>
          </w:tcPr>
          <w:p w:rsidR="00A664EA" w:rsidRPr="005E5C6E" w:rsidRDefault="00FF0268" w:rsidP="00FF0268">
            <w:pPr>
              <w:jc w:val="center"/>
              <w:rPr>
                <w:rFonts w:ascii="Times New Roman" w:hAnsi="Times New Roman" w:cs="Times New Roman"/>
              </w:rPr>
            </w:pPr>
            <w:r>
              <w:rPr>
                <w:rFonts w:ascii="Times New Roman" w:hAnsi="Times New Roman" w:cs="Times New Roman"/>
              </w:rPr>
              <w:t>7 620</w:t>
            </w:r>
          </w:p>
        </w:tc>
        <w:tc>
          <w:tcPr>
            <w:tcW w:w="1418"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7 390</w:t>
            </w:r>
          </w:p>
        </w:tc>
        <w:tc>
          <w:tcPr>
            <w:tcW w:w="1275"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7 302</w:t>
            </w:r>
          </w:p>
        </w:tc>
        <w:tc>
          <w:tcPr>
            <w:tcW w:w="1276" w:type="dxa"/>
            <w:shd w:val="clear" w:color="auto" w:fill="auto"/>
            <w:vAlign w:val="center"/>
          </w:tcPr>
          <w:p w:rsidR="00A664EA" w:rsidRPr="005E5C6E" w:rsidRDefault="00A664EA" w:rsidP="00A664EA">
            <w:pPr>
              <w:jc w:val="center"/>
              <w:rPr>
                <w:rFonts w:ascii="Times New Roman" w:hAnsi="Times New Roman" w:cs="Times New Roman"/>
              </w:rPr>
            </w:pPr>
            <w:r>
              <w:rPr>
                <w:rFonts w:ascii="Times New Roman" w:hAnsi="Times New Roman" w:cs="Times New Roman"/>
              </w:rPr>
              <w:t>96</w:t>
            </w:r>
          </w:p>
        </w:tc>
        <w:tc>
          <w:tcPr>
            <w:tcW w:w="1216"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99</w:t>
            </w:r>
          </w:p>
        </w:tc>
      </w:tr>
      <w:tr w:rsidR="00A664EA" w:rsidRPr="005E5C6E" w:rsidTr="00303870">
        <w:trPr>
          <w:trHeight w:val="962"/>
        </w:trPr>
        <w:tc>
          <w:tcPr>
            <w:tcW w:w="3242" w:type="dxa"/>
          </w:tcPr>
          <w:p w:rsidR="00A664EA" w:rsidRPr="005E5C6E" w:rsidRDefault="00A664EA" w:rsidP="00A664EA">
            <w:pPr>
              <w:pStyle w:val="a9"/>
              <w:ind w:left="0"/>
              <w:rPr>
                <w:rFonts w:ascii="Times New Roman" w:eastAsia="Times New Roman" w:hAnsi="Times New Roman" w:cs="Times New Roman"/>
                <w:sz w:val="24"/>
                <w:szCs w:val="24"/>
                <w:lang w:eastAsia="ru-RU"/>
              </w:rPr>
            </w:pPr>
            <w:r w:rsidRPr="005E5C6E">
              <w:rPr>
                <w:rFonts w:ascii="Times New Roman" w:eastAsia="Times New Roman" w:hAnsi="Times New Roman" w:cs="Times New Roman"/>
                <w:sz w:val="24"/>
                <w:szCs w:val="24"/>
                <w:lang w:eastAsia="ru-RU"/>
              </w:rPr>
              <w:t>Середньомісячні витрати на оплату праці  одного працівника, грн.</w:t>
            </w:r>
          </w:p>
        </w:tc>
        <w:tc>
          <w:tcPr>
            <w:tcW w:w="1436" w:type="dxa"/>
            <w:vAlign w:val="center"/>
          </w:tcPr>
          <w:p w:rsidR="00A664EA" w:rsidRPr="005E5C6E" w:rsidRDefault="00A664EA" w:rsidP="00FF0268">
            <w:pPr>
              <w:jc w:val="center"/>
              <w:rPr>
                <w:rFonts w:ascii="Times New Roman" w:hAnsi="Times New Roman" w:cs="Times New Roman"/>
              </w:rPr>
            </w:pPr>
            <w:r w:rsidRPr="00FF0268">
              <w:rPr>
                <w:rFonts w:ascii="Times New Roman" w:hAnsi="Times New Roman" w:cs="Times New Roman"/>
              </w:rPr>
              <w:t>19 363,9</w:t>
            </w:r>
          </w:p>
        </w:tc>
        <w:tc>
          <w:tcPr>
            <w:tcW w:w="1418"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22 199,1</w:t>
            </w:r>
          </w:p>
        </w:tc>
        <w:tc>
          <w:tcPr>
            <w:tcW w:w="1275"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22 699,5</w:t>
            </w:r>
          </w:p>
        </w:tc>
        <w:tc>
          <w:tcPr>
            <w:tcW w:w="1276" w:type="dxa"/>
            <w:shd w:val="clear" w:color="auto" w:fill="auto"/>
            <w:vAlign w:val="center"/>
          </w:tcPr>
          <w:p w:rsidR="00A664EA" w:rsidRPr="005E5C6E" w:rsidRDefault="00A664EA" w:rsidP="00A664EA">
            <w:pPr>
              <w:jc w:val="center"/>
              <w:rPr>
                <w:rFonts w:ascii="Times New Roman" w:hAnsi="Times New Roman" w:cs="Times New Roman"/>
              </w:rPr>
            </w:pPr>
            <w:r>
              <w:rPr>
                <w:rFonts w:ascii="Times New Roman" w:hAnsi="Times New Roman" w:cs="Times New Roman"/>
              </w:rPr>
              <w:t>117</w:t>
            </w:r>
          </w:p>
        </w:tc>
        <w:tc>
          <w:tcPr>
            <w:tcW w:w="1216" w:type="dxa"/>
            <w:shd w:val="clear" w:color="auto" w:fill="auto"/>
            <w:vAlign w:val="center"/>
          </w:tcPr>
          <w:p w:rsidR="00A664EA" w:rsidRPr="005E5C6E" w:rsidRDefault="00A664EA" w:rsidP="00A664EA">
            <w:pPr>
              <w:jc w:val="center"/>
              <w:rPr>
                <w:rFonts w:ascii="Times New Roman" w:hAnsi="Times New Roman" w:cs="Times New Roman"/>
              </w:rPr>
            </w:pPr>
            <w:r w:rsidRPr="005E5C6E">
              <w:rPr>
                <w:rFonts w:ascii="Times New Roman" w:hAnsi="Times New Roman" w:cs="Times New Roman"/>
              </w:rPr>
              <w:t>102</w:t>
            </w:r>
          </w:p>
        </w:tc>
      </w:tr>
    </w:tbl>
    <w:p w:rsidR="00A664EA" w:rsidRPr="00244671" w:rsidRDefault="00A664EA" w:rsidP="00A664EA">
      <w:pPr>
        <w:pStyle w:val="a9"/>
        <w:spacing w:after="0" w:line="240" w:lineRule="auto"/>
        <w:ind w:left="0" w:right="139" w:firstLine="567"/>
        <w:jc w:val="both"/>
        <w:rPr>
          <w:rFonts w:ascii="Times New Roman" w:eastAsia="Times New Roman" w:hAnsi="Times New Roman" w:cs="Times New Roman"/>
          <w:color w:val="FF0000"/>
          <w:sz w:val="28"/>
          <w:szCs w:val="28"/>
          <w:lang w:eastAsia="ru-RU"/>
        </w:rPr>
      </w:pPr>
    </w:p>
    <w:p w:rsidR="00A664EA" w:rsidRPr="001E00F3" w:rsidRDefault="00A664EA" w:rsidP="00A664EA">
      <w:pPr>
        <w:spacing w:after="0" w:line="276" w:lineRule="auto"/>
        <w:ind w:firstLine="709"/>
        <w:jc w:val="both"/>
        <w:outlineLvl w:val="0"/>
        <w:rPr>
          <w:rFonts w:ascii="Times New Roman" w:hAnsi="Times New Roman" w:cs="Times New Roman"/>
          <w:color w:val="000000" w:themeColor="text1"/>
          <w:sz w:val="28"/>
          <w:szCs w:val="28"/>
        </w:rPr>
      </w:pPr>
      <w:r w:rsidRPr="001E00F3">
        <w:rPr>
          <w:rFonts w:ascii="Times New Roman" w:eastAsia="Times New Roman" w:hAnsi="Times New Roman" w:cs="Times New Roman"/>
          <w:color w:val="000000" w:themeColor="text1"/>
          <w:sz w:val="28"/>
          <w:szCs w:val="28"/>
          <w:lang w:eastAsia="ru-RU"/>
        </w:rPr>
        <w:t>Витрати на оплату праці працівників</w:t>
      </w:r>
      <w:r>
        <w:rPr>
          <w:rFonts w:ascii="Times New Roman" w:eastAsia="Times New Roman" w:hAnsi="Times New Roman" w:cs="Times New Roman"/>
          <w:color w:val="000000" w:themeColor="text1"/>
          <w:sz w:val="28"/>
          <w:szCs w:val="28"/>
          <w:lang w:eastAsia="ru-RU"/>
        </w:rPr>
        <w:t xml:space="preserve"> ДП «АМПУ»</w:t>
      </w:r>
      <w:r w:rsidRPr="001E00F3">
        <w:rPr>
          <w:rFonts w:ascii="Times New Roman" w:eastAsia="Times New Roman" w:hAnsi="Times New Roman" w:cs="Times New Roman"/>
          <w:color w:val="000000" w:themeColor="text1"/>
          <w:sz w:val="28"/>
          <w:szCs w:val="28"/>
          <w:lang w:eastAsia="ru-RU"/>
        </w:rPr>
        <w:t xml:space="preserve"> за </w:t>
      </w:r>
      <w:r w:rsidRPr="001E00F3">
        <w:rPr>
          <w:rFonts w:ascii="Times New Roman" w:hAnsi="Times New Roman" w:cs="Times New Roman"/>
          <w:color w:val="000000" w:themeColor="text1"/>
          <w:sz w:val="28"/>
          <w:szCs w:val="28"/>
          <w:lang w:eastAsia="ru-RU"/>
        </w:rPr>
        <w:t xml:space="preserve">2019 </w:t>
      </w:r>
      <w:r>
        <w:rPr>
          <w:rFonts w:ascii="Times New Roman" w:hAnsi="Times New Roman" w:cs="Times New Roman"/>
          <w:color w:val="000000" w:themeColor="text1"/>
          <w:sz w:val="28"/>
          <w:szCs w:val="28"/>
          <w:lang w:eastAsia="ru-RU"/>
        </w:rPr>
        <w:t>рік</w:t>
      </w:r>
      <w:r w:rsidRPr="001E00F3">
        <w:rPr>
          <w:rFonts w:ascii="Times New Roman" w:hAnsi="Times New Roman" w:cs="Times New Roman"/>
          <w:color w:val="000000" w:themeColor="text1"/>
          <w:sz w:val="28"/>
          <w:szCs w:val="28"/>
          <w:lang w:eastAsia="ru-RU"/>
        </w:rPr>
        <w:t xml:space="preserve"> </w:t>
      </w:r>
      <w:r w:rsidRPr="001E00F3">
        <w:rPr>
          <w:rFonts w:ascii="Times New Roman" w:eastAsia="Times New Roman" w:hAnsi="Times New Roman" w:cs="Times New Roman"/>
          <w:color w:val="000000" w:themeColor="text1"/>
          <w:sz w:val="28"/>
          <w:szCs w:val="28"/>
          <w:lang w:eastAsia="ru-RU"/>
        </w:rPr>
        <w:t>склали</w:t>
      </w:r>
      <w:r w:rsidR="0064086F" w:rsidRPr="0064086F">
        <w:rPr>
          <w:rFonts w:ascii="Times New Roman" w:eastAsia="Times New Roman" w:hAnsi="Times New Roman" w:cs="Times New Roman"/>
          <w:color w:val="000000" w:themeColor="text1"/>
          <w:sz w:val="28"/>
          <w:szCs w:val="28"/>
          <w:lang w:val="ru-RU" w:eastAsia="ru-RU"/>
        </w:rPr>
        <w:t xml:space="preserve">                            </w:t>
      </w:r>
      <w:r w:rsidRPr="001E00F3">
        <w:rPr>
          <w:rFonts w:ascii="Times New Roman" w:eastAsia="Times New Roman" w:hAnsi="Times New Roman" w:cs="Times New Roman"/>
          <w:color w:val="000000" w:themeColor="text1"/>
          <w:sz w:val="28"/>
          <w:szCs w:val="28"/>
          <w:lang w:eastAsia="ru-RU"/>
        </w:rPr>
        <w:t xml:space="preserve"> </w:t>
      </w:r>
      <w:r w:rsidRPr="00F07BAA">
        <w:rPr>
          <w:rFonts w:ascii="Times New Roman" w:hAnsi="Times New Roman" w:cs="Times New Roman"/>
          <w:sz w:val="28"/>
          <w:szCs w:val="28"/>
        </w:rPr>
        <w:t>1 989 022</w:t>
      </w:r>
      <w:r w:rsidRPr="001E00F3">
        <w:rPr>
          <w:rFonts w:ascii="Times New Roman" w:hAnsi="Times New Roman" w:cs="Times New Roman"/>
          <w:color w:val="000000" w:themeColor="text1"/>
          <w:sz w:val="28"/>
          <w:szCs w:val="28"/>
        </w:rPr>
        <w:t xml:space="preserve"> </w:t>
      </w:r>
      <w:r w:rsidRPr="001E00F3">
        <w:rPr>
          <w:rFonts w:ascii="Times New Roman" w:eastAsia="Times New Roman" w:hAnsi="Times New Roman" w:cs="Times New Roman"/>
          <w:color w:val="000000" w:themeColor="text1"/>
          <w:sz w:val="28"/>
          <w:szCs w:val="28"/>
          <w:lang w:eastAsia="ru-RU"/>
        </w:rPr>
        <w:t xml:space="preserve">тис. грн., що складає </w:t>
      </w:r>
      <w:r w:rsidRPr="00F07BAA">
        <w:rPr>
          <w:rFonts w:ascii="Times New Roman" w:eastAsia="Times New Roman" w:hAnsi="Times New Roman" w:cs="Times New Roman"/>
          <w:b/>
          <w:color w:val="000000" w:themeColor="text1"/>
          <w:sz w:val="28"/>
          <w:szCs w:val="28"/>
          <w:lang w:eastAsia="ru-RU"/>
        </w:rPr>
        <w:t>101%</w:t>
      </w:r>
      <w:r w:rsidRPr="001E00F3">
        <w:rPr>
          <w:rFonts w:ascii="Times New Roman" w:eastAsia="Times New Roman" w:hAnsi="Times New Roman" w:cs="Times New Roman"/>
          <w:color w:val="000000" w:themeColor="text1"/>
          <w:sz w:val="28"/>
          <w:szCs w:val="28"/>
          <w:lang w:eastAsia="ru-RU"/>
        </w:rPr>
        <w:t xml:space="preserve"> від</w:t>
      </w:r>
      <w:r w:rsidR="00781C67">
        <w:rPr>
          <w:rFonts w:ascii="Times New Roman" w:eastAsia="Times New Roman" w:hAnsi="Times New Roman" w:cs="Times New Roman"/>
          <w:color w:val="000000" w:themeColor="text1"/>
          <w:sz w:val="28"/>
          <w:szCs w:val="28"/>
          <w:lang w:eastAsia="ru-RU"/>
        </w:rPr>
        <w:t>носно</w:t>
      </w:r>
      <w:r w:rsidRPr="001E00F3">
        <w:rPr>
          <w:rFonts w:ascii="Times New Roman" w:eastAsia="Times New Roman" w:hAnsi="Times New Roman" w:cs="Times New Roman"/>
          <w:color w:val="000000" w:themeColor="text1"/>
          <w:sz w:val="28"/>
          <w:szCs w:val="28"/>
          <w:lang w:eastAsia="ru-RU"/>
        </w:rPr>
        <w:t xml:space="preserve"> планового показника</w:t>
      </w:r>
      <w:r>
        <w:rPr>
          <w:rFonts w:ascii="Times New Roman" w:eastAsia="Times New Roman" w:hAnsi="Times New Roman" w:cs="Times New Roman"/>
          <w:color w:val="000000" w:themeColor="text1"/>
          <w:sz w:val="28"/>
          <w:szCs w:val="28"/>
          <w:lang w:eastAsia="ru-RU"/>
        </w:rPr>
        <w:t>.</w:t>
      </w:r>
    </w:p>
    <w:p w:rsidR="008B4D3A" w:rsidRDefault="00A664EA" w:rsidP="00172AA5">
      <w:pPr>
        <w:pStyle w:val="a9"/>
        <w:spacing w:after="0" w:line="240" w:lineRule="auto"/>
        <w:ind w:left="0" w:right="139" w:firstLine="567"/>
        <w:jc w:val="both"/>
        <w:rPr>
          <w:rFonts w:ascii="Times New Roman" w:hAnsi="Times New Roman" w:cs="Times New Roman"/>
          <w:sz w:val="28"/>
          <w:szCs w:val="28"/>
          <w:lang w:eastAsia="ru-RU"/>
        </w:rPr>
      </w:pPr>
      <w:r w:rsidRPr="001E00F3">
        <w:rPr>
          <w:rFonts w:ascii="Times New Roman" w:eastAsia="Times New Roman" w:hAnsi="Times New Roman" w:cs="Times New Roman"/>
          <w:sz w:val="28"/>
          <w:szCs w:val="28"/>
          <w:lang w:eastAsia="ru-RU"/>
        </w:rPr>
        <w:t xml:space="preserve"> Середньомісячні  витрати на оплату одного працівника </w:t>
      </w:r>
      <w:r w:rsidRPr="00781C67">
        <w:rPr>
          <w:rFonts w:ascii="Times New Roman" w:eastAsia="Times New Roman" w:hAnsi="Times New Roman" w:cs="Times New Roman"/>
          <w:sz w:val="28"/>
          <w:szCs w:val="28"/>
          <w:lang w:eastAsia="ru-RU"/>
        </w:rPr>
        <w:t xml:space="preserve">становить </w:t>
      </w:r>
      <w:r w:rsidR="008B4D3A" w:rsidRPr="00781C67">
        <w:rPr>
          <w:rFonts w:ascii="Times New Roman" w:hAnsi="Times New Roman" w:cs="Times New Roman"/>
          <w:sz w:val="28"/>
          <w:szCs w:val="28"/>
        </w:rPr>
        <w:t xml:space="preserve">22 699,5 </w:t>
      </w:r>
      <w:r w:rsidRPr="001E00F3">
        <w:rPr>
          <w:rFonts w:ascii="Times New Roman" w:eastAsia="Times New Roman" w:hAnsi="Times New Roman" w:cs="Times New Roman"/>
          <w:sz w:val="28"/>
          <w:szCs w:val="28"/>
          <w:lang w:eastAsia="ru-RU"/>
        </w:rPr>
        <w:t xml:space="preserve">грн. </w:t>
      </w:r>
      <w:r w:rsidRPr="001E00F3">
        <w:rPr>
          <w:rFonts w:ascii="Times New Roman" w:eastAsia="Times New Roman" w:hAnsi="Times New Roman" w:cs="Times New Roman"/>
          <w:color w:val="000000" w:themeColor="text1"/>
          <w:sz w:val="28"/>
          <w:szCs w:val="28"/>
          <w:lang w:eastAsia="ru-RU"/>
        </w:rPr>
        <w:t>що складає 10</w:t>
      </w:r>
      <w:r w:rsidR="008B4D3A">
        <w:rPr>
          <w:rFonts w:ascii="Times New Roman" w:eastAsia="Times New Roman" w:hAnsi="Times New Roman" w:cs="Times New Roman"/>
          <w:color w:val="000000" w:themeColor="text1"/>
          <w:sz w:val="28"/>
          <w:szCs w:val="28"/>
          <w:lang w:eastAsia="ru-RU"/>
        </w:rPr>
        <w:t>2</w:t>
      </w:r>
      <w:r w:rsidRPr="001E00F3">
        <w:rPr>
          <w:rFonts w:ascii="Times New Roman" w:eastAsia="Times New Roman" w:hAnsi="Times New Roman" w:cs="Times New Roman"/>
          <w:color w:val="000000" w:themeColor="text1"/>
          <w:sz w:val="28"/>
          <w:szCs w:val="28"/>
          <w:lang w:eastAsia="ru-RU"/>
        </w:rPr>
        <w:t>% від планового показник</w:t>
      </w:r>
      <w:r w:rsidR="008B4D3A">
        <w:rPr>
          <w:rFonts w:ascii="Times New Roman" w:eastAsia="Times New Roman" w:hAnsi="Times New Roman" w:cs="Times New Roman"/>
          <w:color w:val="000000" w:themeColor="text1"/>
          <w:sz w:val="28"/>
          <w:szCs w:val="28"/>
          <w:lang w:eastAsia="ru-RU"/>
        </w:rPr>
        <w:t>а, та 117% до фактичного показника 2018 року</w:t>
      </w:r>
      <w:r w:rsidR="006C6AFC">
        <w:rPr>
          <w:rFonts w:ascii="Times New Roman" w:eastAsia="Times New Roman" w:hAnsi="Times New Roman" w:cs="Times New Roman"/>
          <w:color w:val="000000" w:themeColor="text1"/>
          <w:sz w:val="28"/>
          <w:szCs w:val="28"/>
          <w:lang w:eastAsia="ru-RU"/>
        </w:rPr>
        <w:t>, щ</w:t>
      </w:r>
      <w:r w:rsidR="006C6AFC">
        <w:rPr>
          <w:rFonts w:ascii="Times New Roman" w:hAnsi="Times New Roman" w:cs="Times New Roman"/>
          <w:sz w:val="28"/>
          <w:szCs w:val="28"/>
          <w:lang w:eastAsia="ru-RU"/>
        </w:rPr>
        <w:t>о відповідає темпу зростання середньомісячної заробітної плати одного працівника за основними показниками соціально-екологічного розвитку України  Державної служби статистики України (темп зростання 118,4%).</w:t>
      </w:r>
    </w:p>
    <w:p w:rsidR="006C6AFC" w:rsidRDefault="006C6AFC" w:rsidP="00172AA5">
      <w:pPr>
        <w:pStyle w:val="a9"/>
        <w:spacing w:after="0" w:line="240" w:lineRule="auto"/>
        <w:ind w:left="0" w:right="139" w:firstLine="567"/>
        <w:jc w:val="both"/>
        <w:rPr>
          <w:rFonts w:ascii="Times New Roman" w:hAnsi="Times New Roman" w:cs="Times New Roman"/>
          <w:sz w:val="28"/>
          <w:szCs w:val="28"/>
          <w:lang w:eastAsia="ru-RU"/>
        </w:rPr>
      </w:pPr>
    </w:p>
    <w:p w:rsidR="006C6AFC" w:rsidRDefault="006C6AFC" w:rsidP="00172AA5">
      <w:pPr>
        <w:pStyle w:val="a9"/>
        <w:spacing w:after="0" w:line="240" w:lineRule="auto"/>
        <w:ind w:left="0" w:right="139" w:firstLine="567"/>
        <w:jc w:val="both"/>
        <w:rPr>
          <w:rFonts w:ascii="Times New Roman" w:hAnsi="Times New Roman" w:cs="Times New Roman"/>
          <w:sz w:val="28"/>
          <w:szCs w:val="28"/>
          <w:lang w:eastAsia="ru-RU"/>
        </w:rPr>
      </w:pPr>
    </w:p>
    <w:p w:rsidR="000A4EEA" w:rsidRDefault="000A4EEA" w:rsidP="000A4EEA">
      <w:pPr>
        <w:pStyle w:val="a9"/>
        <w:numPr>
          <w:ilvl w:val="0"/>
          <w:numId w:val="34"/>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Дебіторська та кредиторська заборгованість</w:t>
      </w:r>
    </w:p>
    <w:p w:rsidR="000A4EEA" w:rsidRDefault="000A4EEA" w:rsidP="000A4EEA">
      <w:pPr>
        <w:pStyle w:val="a9"/>
        <w:spacing w:after="0" w:line="240" w:lineRule="auto"/>
        <w:ind w:left="1068"/>
        <w:jc w:val="center"/>
        <w:rPr>
          <w:rFonts w:ascii="Times New Roman" w:eastAsia="Times New Roman" w:hAnsi="Times New Roman" w:cs="Times New Roman"/>
          <w:sz w:val="28"/>
          <w:szCs w:val="28"/>
          <w:lang w:eastAsia="ru-RU"/>
        </w:rPr>
      </w:pPr>
    </w:p>
    <w:p w:rsidR="000A4EEA" w:rsidRDefault="000A4EEA" w:rsidP="000A4EEA">
      <w:pPr>
        <w:pStyle w:val="a9"/>
        <w:spacing w:after="0" w:line="240" w:lineRule="auto"/>
        <w:ind w:left="10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Дебіторська заборгованість:</w:t>
      </w:r>
    </w:p>
    <w:p w:rsidR="000A4EEA" w:rsidRDefault="000A4EEA" w:rsidP="000A4EEA">
      <w:pPr>
        <w:pStyle w:val="a9"/>
        <w:spacing w:after="0" w:line="240" w:lineRule="auto"/>
        <w:ind w:left="1068"/>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станом на 01.01.2020 – 434 415 </w:t>
      </w:r>
      <w:r>
        <w:rPr>
          <w:rFonts w:ascii="Times New Roman" w:eastAsia="Times New Roman" w:hAnsi="Times New Roman" w:cs="Times New Roman"/>
          <w:sz w:val="28"/>
          <w:szCs w:val="28"/>
          <w:lang w:val="ru-RU" w:eastAsia="ru-RU"/>
        </w:rPr>
        <w:t>тис. грн.</w:t>
      </w:r>
    </w:p>
    <w:p w:rsidR="000A4EEA" w:rsidRDefault="000A4EEA" w:rsidP="000A4EEA">
      <w:pPr>
        <w:pStyle w:val="a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Кредиторська заборгованість:</w:t>
      </w:r>
    </w:p>
    <w:p w:rsidR="000A4EEA" w:rsidRDefault="000A4EEA" w:rsidP="000A4EEA">
      <w:pPr>
        <w:pStyle w:val="a9"/>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станом на 01.01.2020 – 819 674 </w:t>
      </w:r>
      <w:r>
        <w:rPr>
          <w:rFonts w:ascii="Times New Roman" w:eastAsia="Times New Roman" w:hAnsi="Times New Roman" w:cs="Times New Roman"/>
          <w:sz w:val="28"/>
          <w:szCs w:val="28"/>
          <w:lang w:val="ru-RU" w:eastAsia="ru-RU"/>
        </w:rPr>
        <w:t xml:space="preserve">тис. грн. </w:t>
      </w:r>
    </w:p>
    <w:p w:rsidR="000A4EEA" w:rsidRDefault="000A4EEA" w:rsidP="000A4EEA">
      <w:pPr>
        <w:pStyle w:val="a9"/>
        <w:jc w:val="center"/>
        <w:rPr>
          <w:rFonts w:ascii="Times New Roman" w:eastAsia="Times New Roman" w:hAnsi="Times New Roman" w:cs="Times New Roman"/>
          <w:sz w:val="28"/>
          <w:szCs w:val="28"/>
          <w:lang w:val="ru-RU" w:eastAsia="ru-RU"/>
        </w:rPr>
      </w:pPr>
    </w:p>
    <w:p w:rsidR="008B4338" w:rsidRPr="00A66407" w:rsidRDefault="008B4338" w:rsidP="00D9499E">
      <w:pPr>
        <w:pStyle w:val="a9"/>
        <w:numPr>
          <w:ilvl w:val="0"/>
          <w:numId w:val="6"/>
        </w:numPr>
        <w:spacing w:after="0"/>
        <w:jc w:val="center"/>
        <w:rPr>
          <w:rFonts w:ascii="Times New Roman" w:hAnsi="Times New Roman" w:cs="Times New Roman"/>
          <w:b/>
          <w:sz w:val="28"/>
          <w:szCs w:val="28"/>
        </w:rPr>
      </w:pPr>
      <w:r w:rsidRPr="00A66407">
        <w:rPr>
          <w:rFonts w:ascii="Times New Roman" w:hAnsi="Times New Roman" w:cs="Times New Roman"/>
          <w:b/>
          <w:sz w:val="28"/>
          <w:szCs w:val="28"/>
        </w:rPr>
        <w:t>Розподіл чистого прибутку ДП «АМПУ» за 201</w:t>
      </w:r>
      <w:r w:rsidR="00804631" w:rsidRPr="00A66407">
        <w:rPr>
          <w:rFonts w:ascii="Times New Roman" w:hAnsi="Times New Roman" w:cs="Times New Roman"/>
          <w:b/>
          <w:sz w:val="28"/>
          <w:szCs w:val="28"/>
        </w:rPr>
        <w:t>9</w:t>
      </w:r>
      <w:r w:rsidRPr="00A66407">
        <w:rPr>
          <w:rFonts w:ascii="Times New Roman" w:hAnsi="Times New Roman" w:cs="Times New Roman"/>
          <w:b/>
          <w:sz w:val="28"/>
          <w:szCs w:val="28"/>
        </w:rPr>
        <w:t xml:space="preserve"> року</w:t>
      </w:r>
    </w:p>
    <w:p w:rsidR="00804631" w:rsidRPr="00A66407" w:rsidRDefault="00804631" w:rsidP="00804631">
      <w:pPr>
        <w:spacing w:after="0"/>
        <w:jc w:val="center"/>
        <w:rPr>
          <w:rFonts w:ascii="Times New Roman" w:hAnsi="Times New Roman" w:cs="Times New Roman"/>
          <w:b/>
          <w:sz w:val="28"/>
          <w:szCs w:val="28"/>
        </w:rPr>
      </w:pPr>
    </w:p>
    <w:p w:rsidR="00A66407" w:rsidRPr="0065175A" w:rsidRDefault="00A66407" w:rsidP="00A66407">
      <w:pPr>
        <w:spacing w:after="0"/>
        <w:ind w:firstLine="567"/>
        <w:jc w:val="both"/>
        <w:rPr>
          <w:rFonts w:ascii="Times New Roman" w:eastAsia="Times New Roman" w:hAnsi="Times New Roman" w:cs="Times New Roman"/>
          <w:sz w:val="28"/>
          <w:szCs w:val="28"/>
          <w:lang w:eastAsia="uk-UA"/>
        </w:rPr>
      </w:pPr>
      <w:r w:rsidRPr="0065175A">
        <w:rPr>
          <w:rFonts w:ascii="Times New Roman" w:eastAsia="Calibri" w:hAnsi="Times New Roman" w:cs="Times New Roman"/>
          <w:sz w:val="28"/>
          <w:szCs w:val="28"/>
        </w:rPr>
        <w:t xml:space="preserve">ДП «АМПУ» починаючи з 2019 року складає першу звітність за МСФЗ. Для порівняльного аналізу з минулим роком </w:t>
      </w:r>
      <w:r w:rsidRPr="0065175A">
        <w:rPr>
          <w:rFonts w:ascii="Times New Roman" w:eastAsia="Times New Roman" w:hAnsi="Times New Roman" w:cs="Times New Roman"/>
          <w:noProof/>
          <w:sz w:val="28"/>
          <w:szCs w:val="28"/>
          <w:lang w:eastAsia="uk-UA"/>
        </w:rPr>
        <w:t xml:space="preserve">здіснюється </w:t>
      </w:r>
      <w:r w:rsidRPr="0065175A">
        <w:rPr>
          <w:rFonts w:ascii="Times New Roman" w:hAnsi="Times New Roman"/>
          <w:sz w:val="28"/>
          <w:szCs w:val="28"/>
        </w:rPr>
        <w:t>трансформація відповідно до вимог МСФЗ  проміжної та річної фінансової звітності ДП «АМПУ» за 2018 рік, складеної відповідно до вимог НП(С)БО.</w:t>
      </w:r>
      <w:r w:rsidRPr="0065175A">
        <w:rPr>
          <w:rFonts w:ascii="Times New Roman" w:hAnsi="Times New Roman" w:cs="Times New Roman"/>
          <w:b/>
          <w:sz w:val="28"/>
          <w:szCs w:val="28"/>
        </w:rPr>
        <w:t xml:space="preserve"> </w:t>
      </w:r>
      <w:r w:rsidRPr="0065175A">
        <w:rPr>
          <w:rFonts w:ascii="Times New Roman" w:eastAsia="Times New Roman" w:hAnsi="Times New Roman" w:cs="Times New Roman"/>
          <w:bCs/>
          <w:sz w:val="28"/>
          <w:szCs w:val="28"/>
          <w:lang w:eastAsia="uk-UA"/>
        </w:rPr>
        <w:t xml:space="preserve">Залишок нерозподіленого прибутку (непокритого збитку) на 01.01.2019 відповідно вимог </w:t>
      </w:r>
      <w:r w:rsidRPr="0065175A">
        <w:rPr>
          <w:rFonts w:ascii="Times New Roman" w:hAnsi="Times New Roman"/>
          <w:sz w:val="28"/>
          <w:szCs w:val="28"/>
        </w:rPr>
        <w:t xml:space="preserve">НП(С)БО складав </w:t>
      </w:r>
      <w:r w:rsidRPr="0065175A">
        <w:rPr>
          <w:rFonts w:ascii="Times New Roman" w:eastAsia="Times New Roman" w:hAnsi="Times New Roman" w:cs="Times New Roman"/>
          <w:sz w:val="28"/>
          <w:szCs w:val="28"/>
          <w:lang w:eastAsia="uk-UA"/>
        </w:rPr>
        <w:t>1 013 118 тис. грн., відповідно вимог МСФЗ складає 7 151 157 тис. грн. Зміни виникли у зв’язку з визначенням справедливої вартості основних засобів, списання з балансу ДП «АМПУ» дооцінки основних засобів та нематеріальних активів, а також нарахування резервів згідно вимог МСФЗ та облікової політики ДП «АМПУ».</w:t>
      </w:r>
    </w:p>
    <w:p w:rsidR="00A66407" w:rsidRDefault="00A66407" w:rsidP="00A66407">
      <w:pPr>
        <w:spacing w:after="0"/>
        <w:ind w:firstLine="567"/>
        <w:jc w:val="both"/>
        <w:rPr>
          <w:rFonts w:ascii="Times New Roman" w:eastAsia="Times New Roman" w:hAnsi="Times New Roman" w:cs="Times New Roman"/>
          <w:bCs/>
          <w:sz w:val="28"/>
          <w:szCs w:val="28"/>
          <w:lang w:eastAsia="uk-UA"/>
        </w:rPr>
      </w:pPr>
      <w:r w:rsidRPr="0065175A">
        <w:rPr>
          <w:rFonts w:ascii="Times New Roman" w:eastAsia="Times New Roman" w:hAnsi="Times New Roman" w:cs="Times New Roman"/>
          <w:sz w:val="28"/>
          <w:szCs w:val="28"/>
          <w:lang w:eastAsia="uk-UA"/>
        </w:rPr>
        <w:t xml:space="preserve">Залишок </w:t>
      </w:r>
      <w:r w:rsidRPr="0065175A">
        <w:rPr>
          <w:rFonts w:ascii="Times New Roman" w:eastAsia="Times New Roman" w:hAnsi="Times New Roman" w:cs="Times New Roman"/>
          <w:bCs/>
          <w:sz w:val="28"/>
          <w:szCs w:val="28"/>
          <w:lang w:eastAsia="uk-UA"/>
        </w:rPr>
        <w:t>нерозподіленого прибутку (непокритого збитку) на початок звітного 2019 року складає  7 151 157 тис. грн. Розподіл чистого прибутку за 2019 рік виглядає наступним чином:</w:t>
      </w:r>
    </w:p>
    <w:p w:rsidR="00FE3367" w:rsidRDefault="00FE3367" w:rsidP="00A66407">
      <w:pPr>
        <w:spacing w:after="0"/>
        <w:ind w:firstLine="567"/>
        <w:jc w:val="both"/>
        <w:rPr>
          <w:rFonts w:ascii="Times New Roman" w:eastAsia="Times New Roman" w:hAnsi="Times New Roman" w:cs="Times New Roman"/>
          <w:bCs/>
          <w:sz w:val="28"/>
          <w:szCs w:val="28"/>
          <w:lang w:eastAsia="uk-UA"/>
        </w:rPr>
      </w:pPr>
    </w:p>
    <w:p w:rsidR="00A66407" w:rsidRPr="0065175A" w:rsidRDefault="00A66407" w:rsidP="00A66407">
      <w:pPr>
        <w:spacing w:after="0"/>
        <w:ind w:firstLine="567"/>
        <w:jc w:val="both"/>
        <w:rPr>
          <w:rFonts w:ascii="Times New Roman" w:hAnsi="Times New Roman" w:cs="Times New Roman"/>
          <w:b/>
          <w:sz w:val="28"/>
          <w:szCs w:val="28"/>
        </w:rPr>
      </w:pPr>
    </w:p>
    <w:tbl>
      <w:tblPr>
        <w:tblW w:w="9967" w:type="dxa"/>
        <w:tblLook w:val="04A0" w:firstRow="1" w:lastRow="0" w:firstColumn="1" w:lastColumn="0" w:noHBand="0" w:noVBand="1"/>
      </w:tblPr>
      <w:tblGrid>
        <w:gridCol w:w="6659"/>
        <w:gridCol w:w="3308"/>
      </w:tblGrid>
      <w:tr w:rsidR="00A66407" w:rsidRPr="0065175A" w:rsidTr="00E33D93">
        <w:trPr>
          <w:trHeight w:val="625"/>
        </w:trPr>
        <w:tc>
          <w:tcPr>
            <w:tcW w:w="6659" w:type="dxa"/>
            <w:shd w:val="clear" w:color="auto" w:fill="auto"/>
            <w:vAlign w:val="center"/>
          </w:tcPr>
          <w:p w:rsidR="00A66407" w:rsidRPr="0065175A" w:rsidRDefault="00A66407" w:rsidP="00E33D93">
            <w:pPr>
              <w:spacing w:after="0" w:line="240" w:lineRule="auto"/>
              <w:rPr>
                <w:rFonts w:ascii="Times New Roman" w:hAnsi="Times New Roman" w:cs="Times New Roman"/>
                <w:b/>
                <w:sz w:val="28"/>
                <w:szCs w:val="28"/>
              </w:rPr>
            </w:pPr>
            <w:r w:rsidRPr="0065175A">
              <w:rPr>
                <w:rFonts w:ascii="Times New Roman" w:hAnsi="Times New Roman" w:cs="Times New Roman"/>
                <w:b/>
                <w:sz w:val="28"/>
                <w:szCs w:val="28"/>
              </w:rPr>
              <w:t>Чистий прибуток за 2019 рік</w:t>
            </w:r>
          </w:p>
        </w:tc>
        <w:tc>
          <w:tcPr>
            <w:tcW w:w="3308" w:type="dxa"/>
            <w:shd w:val="clear" w:color="auto" w:fill="auto"/>
            <w:vAlign w:val="center"/>
          </w:tcPr>
          <w:p w:rsidR="00A66407" w:rsidRPr="0065175A" w:rsidRDefault="00A66407" w:rsidP="00E33D93">
            <w:pPr>
              <w:spacing w:after="0" w:line="240" w:lineRule="auto"/>
              <w:jc w:val="center"/>
              <w:rPr>
                <w:rFonts w:ascii="Times New Roman" w:hAnsi="Times New Roman" w:cs="Times New Roman"/>
                <w:b/>
                <w:sz w:val="28"/>
                <w:szCs w:val="28"/>
              </w:rPr>
            </w:pPr>
            <w:r w:rsidRPr="0065175A">
              <w:rPr>
                <w:rFonts w:ascii="Times New Roman" w:hAnsi="Times New Roman" w:cs="Times New Roman"/>
                <w:b/>
                <w:sz w:val="28"/>
                <w:szCs w:val="28"/>
              </w:rPr>
              <w:t>1 631 058 тис. грн.</w:t>
            </w:r>
          </w:p>
        </w:tc>
      </w:tr>
      <w:tr w:rsidR="00A66407" w:rsidRPr="0065175A" w:rsidTr="00E33D93">
        <w:trPr>
          <w:trHeight w:val="252"/>
        </w:trPr>
        <w:tc>
          <w:tcPr>
            <w:tcW w:w="6659" w:type="dxa"/>
            <w:shd w:val="clear" w:color="auto" w:fill="auto"/>
            <w:vAlign w:val="center"/>
            <w:hideMark/>
          </w:tcPr>
          <w:p w:rsidR="00A66407" w:rsidRPr="0065175A" w:rsidRDefault="00A66407" w:rsidP="00E33D93">
            <w:pPr>
              <w:spacing w:after="0" w:line="240" w:lineRule="auto"/>
              <w:rPr>
                <w:rFonts w:ascii="Times New Roman" w:hAnsi="Times New Roman" w:cs="Times New Roman"/>
                <w:b/>
                <w:sz w:val="28"/>
                <w:szCs w:val="28"/>
              </w:rPr>
            </w:pPr>
            <w:r w:rsidRPr="0065175A">
              <w:rPr>
                <w:rFonts w:ascii="Times New Roman" w:hAnsi="Times New Roman" w:cs="Times New Roman"/>
                <w:b/>
                <w:sz w:val="28"/>
                <w:szCs w:val="28"/>
              </w:rPr>
              <w:t xml:space="preserve">Залишок нерозподіленого прибутку </w:t>
            </w:r>
            <w:r w:rsidRPr="0065175A">
              <w:rPr>
                <w:rFonts w:ascii="Times New Roman" w:eastAsia="Times New Roman" w:hAnsi="Times New Roman" w:cs="Times New Roman"/>
                <w:b/>
                <w:bCs/>
                <w:sz w:val="28"/>
                <w:szCs w:val="28"/>
                <w:lang w:eastAsia="uk-UA"/>
              </w:rPr>
              <w:t xml:space="preserve">(непокритого збитку) </w:t>
            </w:r>
            <w:r w:rsidRPr="0065175A">
              <w:rPr>
                <w:rFonts w:ascii="Times New Roman" w:hAnsi="Times New Roman" w:cs="Times New Roman"/>
                <w:b/>
                <w:sz w:val="28"/>
                <w:szCs w:val="28"/>
              </w:rPr>
              <w:t xml:space="preserve"> на початок звітного періоду (01.01.2019)                           </w:t>
            </w:r>
          </w:p>
        </w:tc>
        <w:tc>
          <w:tcPr>
            <w:tcW w:w="3308" w:type="dxa"/>
            <w:shd w:val="clear" w:color="auto" w:fill="auto"/>
            <w:vAlign w:val="center"/>
          </w:tcPr>
          <w:p w:rsidR="00A66407" w:rsidRPr="0065175A" w:rsidRDefault="00A66407" w:rsidP="00E33D93">
            <w:pPr>
              <w:spacing w:after="0" w:line="240" w:lineRule="auto"/>
              <w:jc w:val="center"/>
              <w:rPr>
                <w:rFonts w:ascii="Times New Roman" w:hAnsi="Times New Roman" w:cs="Times New Roman"/>
                <w:b/>
                <w:sz w:val="28"/>
                <w:szCs w:val="28"/>
              </w:rPr>
            </w:pPr>
            <w:r w:rsidRPr="0065175A">
              <w:rPr>
                <w:rFonts w:ascii="Times New Roman" w:eastAsia="Times New Roman" w:hAnsi="Times New Roman" w:cs="Times New Roman"/>
                <w:bCs/>
                <w:sz w:val="28"/>
                <w:szCs w:val="28"/>
                <w:lang w:eastAsia="uk-UA"/>
              </w:rPr>
              <w:t xml:space="preserve">7 151 157 </w:t>
            </w:r>
            <w:r w:rsidRPr="0065175A">
              <w:rPr>
                <w:rFonts w:ascii="Times New Roman" w:hAnsi="Times New Roman" w:cs="Times New Roman"/>
                <w:sz w:val="28"/>
                <w:szCs w:val="28"/>
              </w:rPr>
              <w:t>тис. грн.</w:t>
            </w:r>
          </w:p>
        </w:tc>
      </w:tr>
      <w:tr w:rsidR="00A66407" w:rsidRPr="0065175A" w:rsidTr="00E33D93">
        <w:trPr>
          <w:trHeight w:val="463"/>
        </w:trPr>
        <w:tc>
          <w:tcPr>
            <w:tcW w:w="6659" w:type="dxa"/>
            <w:shd w:val="clear" w:color="auto" w:fill="auto"/>
            <w:vAlign w:val="center"/>
            <w:hideMark/>
          </w:tcPr>
          <w:p w:rsidR="00A66407" w:rsidRPr="0065175A" w:rsidRDefault="00A66407" w:rsidP="00E33D93">
            <w:pPr>
              <w:spacing w:after="0" w:line="240" w:lineRule="auto"/>
              <w:rPr>
                <w:rFonts w:ascii="Times New Roman" w:eastAsia="Times New Roman" w:hAnsi="Times New Roman" w:cs="Times New Roman"/>
                <w:sz w:val="28"/>
                <w:szCs w:val="28"/>
                <w:lang w:eastAsia="uk-UA"/>
              </w:rPr>
            </w:pPr>
            <w:r w:rsidRPr="0065175A">
              <w:rPr>
                <w:rFonts w:ascii="Times New Roman" w:eastAsia="Times New Roman" w:hAnsi="Times New Roman" w:cs="Times New Roman"/>
                <w:sz w:val="28"/>
                <w:szCs w:val="28"/>
                <w:lang w:eastAsia="uk-UA"/>
              </w:rPr>
              <w:t xml:space="preserve">Дивіденди нараховані  </w:t>
            </w:r>
          </w:p>
        </w:tc>
        <w:tc>
          <w:tcPr>
            <w:tcW w:w="3308" w:type="dxa"/>
            <w:shd w:val="clear" w:color="auto" w:fill="auto"/>
            <w:vAlign w:val="center"/>
          </w:tcPr>
          <w:p w:rsidR="00A66407" w:rsidRPr="0065175A" w:rsidRDefault="00A66407" w:rsidP="00E33D93">
            <w:pPr>
              <w:spacing w:after="0" w:line="240" w:lineRule="auto"/>
              <w:jc w:val="center"/>
              <w:rPr>
                <w:rFonts w:ascii="Times New Roman" w:hAnsi="Times New Roman" w:cs="Times New Roman"/>
                <w:sz w:val="28"/>
                <w:szCs w:val="28"/>
              </w:rPr>
            </w:pPr>
            <w:r w:rsidRPr="0065175A">
              <w:rPr>
                <w:rFonts w:ascii="Times New Roman" w:hAnsi="Times New Roman" w:cs="Times New Roman"/>
                <w:sz w:val="28"/>
                <w:szCs w:val="28"/>
              </w:rPr>
              <w:t>1 467 952 тис. грн.</w:t>
            </w:r>
          </w:p>
        </w:tc>
      </w:tr>
      <w:tr w:rsidR="00A66407" w:rsidRPr="0065175A" w:rsidTr="00E33D93">
        <w:trPr>
          <w:trHeight w:val="501"/>
        </w:trPr>
        <w:tc>
          <w:tcPr>
            <w:tcW w:w="6659" w:type="dxa"/>
            <w:shd w:val="clear" w:color="auto" w:fill="auto"/>
            <w:vAlign w:val="center"/>
            <w:hideMark/>
          </w:tcPr>
          <w:p w:rsidR="00A66407" w:rsidRPr="0065175A" w:rsidRDefault="00A66407" w:rsidP="00E33D93">
            <w:pPr>
              <w:spacing w:after="0" w:line="240" w:lineRule="auto"/>
              <w:rPr>
                <w:rFonts w:ascii="Times New Roman" w:eastAsia="Times New Roman" w:hAnsi="Times New Roman" w:cs="Times New Roman"/>
                <w:sz w:val="28"/>
                <w:szCs w:val="28"/>
                <w:lang w:eastAsia="uk-UA"/>
              </w:rPr>
            </w:pPr>
            <w:r w:rsidRPr="0065175A">
              <w:rPr>
                <w:rFonts w:ascii="Times New Roman" w:hAnsi="Times New Roman" w:cs="Times New Roman"/>
                <w:sz w:val="28"/>
                <w:szCs w:val="28"/>
              </w:rPr>
              <w:t>Фонд розвитку виробництва</w:t>
            </w:r>
          </w:p>
        </w:tc>
        <w:tc>
          <w:tcPr>
            <w:tcW w:w="3308" w:type="dxa"/>
            <w:shd w:val="clear" w:color="auto" w:fill="auto"/>
            <w:vAlign w:val="center"/>
          </w:tcPr>
          <w:p w:rsidR="00A66407" w:rsidRPr="0065175A" w:rsidRDefault="00A66407" w:rsidP="00E33D93">
            <w:pPr>
              <w:spacing w:after="0" w:line="240" w:lineRule="auto"/>
              <w:jc w:val="center"/>
              <w:rPr>
                <w:rFonts w:ascii="Times New Roman" w:hAnsi="Times New Roman" w:cs="Times New Roman"/>
                <w:sz w:val="28"/>
                <w:szCs w:val="28"/>
              </w:rPr>
            </w:pPr>
            <w:r w:rsidRPr="0065175A">
              <w:rPr>
                <w:rFonts w:ascii="Times New Roman" w:hAnsi="Times New Roman" w:cs="Times New Roman"/>
                <w:sz w:val="28"/>
                <w:szCs w:val="28"/>
              </w:rPr>
              <w:t>146 795 тис. грн.</w:t>
            </w:r>
          </w:p>
        </w:tc>
      </w:tr>
      <w:tr w:rsidR="00A66407" w:rsidRPr="0065175A" w:rsidTr="00E33D93">
        <w:trPr>
          <w:trHeight w:val="441"/>
        </w:trPr>
        <w:tc>
          <w:tcPr>
            <w:tcW w:w="6659" w:type="dxa"/>
            <w:shd w:val="clear" w:color="auto" w:fill="auto"/>
            <w:vAlign w:val="center"/>
            <w:hideMark/>
          </w:tcPr>
          <w:p w:rsidR="00A66407" w:rsidRPr="0065175A" w:rsidRDefault="00A66407" w:rsidP="00E33D93">
            <w:pPr>
              <w:spacing w:after="0" w:line="240" w:lineRule="auto"/>
              <w:rPr>
                <w:rFonts w:ascii="Times New Roman" w:eastAsia="Times New Roman" w:hAnsi="Times New Roman" w:cs="Times New Roman"/>
                <w:b/>
                <w:bCs/>
                <w:sz w:val="28"/>
                <w:szCs w:val="28"/>
                <w:lang w:eastAsia="uk-UA"/>
              </w:rPr>
            </w:pPr>
            <w:r w:rsidRPr="0065175A">
              <w:rPr>
                <w:rFonts w:ascii="Times New Roman" w:eastAsia="Times New Roman" w:hAnsi="Times New Roman" w:cs="Times New Roman"/>
                <w:b/>
                <w:bCs/>
                <w:sz w:val="28"/>
                <w:szCs w:val="28"/>
                <w:lang w:eastAsia="uk-UA"/>
              </w:rPr>
              <w:t>Залишок нерозподіленого прибутку (непокритого збитку) н</w:t>
            </w:r>
            <w:r w:rsidR="00561167">
              <w:rPr>
                <w:rFonts w:ascii="Times New Roman" w:eastAsia="Times New Roman" w:hAnsi="Times New Roman" w:cs="Times New Roman"/>
                <w:b/>
                <w:bCs/>
                <w:sz w:val="28"/>
                <w:szCs w:val="28"/>
                <w:lang w:eastAsia="uk-UA"/>
              </w:rPr>
              <w:t>а кінець звітного періоду (на 31</w:t>
            </w:r>
            <w:bookmarkStart w:id="2" w:name="_GoBack"/>
            <w:bookmarkEnd w:id="2"/>
            <w:r w:rsidRPr="0065175A">
              <w:rPr>
                <w:rFonts w:ascii="Times New Roman" w:eastAsia="Times New Roman" w:hAnsi="Times New Roman" w:cs="Times New Roman"/>
                <w:b/>
                <w:bCs/>
                <w:sz w:val="28"/>
                <w:szCs w:val="28"/>
                <w:lang w:eastAsia="uk-UA"/>
              </w:rPr>
              <w:t>.12.2019)</w:t>
            </w:r>
          </w:p>
        </w:tc>
        <w:tc>
          <w:tcPr>
            <w:tcW w:w="3308" w:type="dxa"/>
            <w:shd w:val="clear" w:color="auto" w:fill="auto"/>
            <w:vAlign w:val="center"/>
          </w:tcPr>
          <w:p w:rsidR="00A66407" w:rsidRPr="00303870" w:rsidRDefault="00A66407" w:rsidP="00303870">
            <w:pPr>
              <w:pStyle w:val="a9"/>
              <w:numPr>
                <w:ilvl w:val="0"/>
                <w:numId w:val="37"/>
              </w:numPr>
              <w:spacing w:after="0" w:line="240" w:lineRule="auto"/>
              <w:jc w:val="center"/>
              <w:rPr>
                <w:rFonts w:ascii="Times New Roman" w:eastAsia="Times New Roman" w:hAnsi="Times New Roman" w:cs="Times New Roman"/>
                <w:b/>
                <w:bCs/>
                <w:sz w:val="28"/>
                <w:szCs w:val="28"/>
                <w:lang w:eastAsia="uk-UA"/>
              </w:rPr>
            </w:pPr>
            <w:r w:rsidRPr="00303870">
              <w:rPr>
                <w:rFonts w:ascii="Times New Roman" w:hAnsi="Times New Roman" w:cs="Times New Roman"/>
                <w:b/>
                <w:sz w:val="28"/>
                <w:szCs w:val="28"/>
              </w:rPr>
              <w:t>167 468 тис. грн.</w:t>
            </w:r>
          </w:p>
        </w:tc>
      </w:tr>
    </w:tbl>
    <w:p w:rsidR="00A66407" w:rsidRPr="0065175A" w:rsidRDefault="00A66407" w:rsidP="00A66407">
      <w:pPr>
        <w:spacing w:after="0" w:line="240" w:lineRule="auto"/>
        <w:jc w:val="both"/>
        <w:rPr>
          <w:rFonts w:ascii="Times New Roman" w:hAnsi="Times New Roman" w:cs="Times New Roman"/>
          <w:bCs/>
          <w:iCs/>
          <w:sz w:val="18"/>
          <w:szCs w:val="18"/>
          <w:lang w:eastAsia="x-none"/>
        </w:rPr>
      </w:pPr>
    </w:p>
    <w:p w:rsidR="00804631" w:rsidRPr="00C61B4C" w:rsidRDefault="00804631" w:rsidP="00804631">
      <w:pPr>
        <w:spacing w:after="0" w:line="240" w:lineRule="auto"/>
        <w:jc w:val="both"/>
        <w:rPr>
          <w:rFonts w:ascii="Times New Roman" w:hAnsi="Times New Roman" w:cs="Times New Roman"/>
          <w:bCs/>
          <w:iCs/>
          <w:color w:val="FF0000"/>
          <w:sz w:val="18"/>
          <w:szCs w:val="18"/>
          <w:lang w:eastAsia="x-none"/>
        </w:rPr>
      </w:pPr>
    </w:p>
    <w:p w:rsidR="00080EEE" w:rsidRPr="008A753D" w:rsidRDefault="00303870" w:rsidP="00303870">
      <w:pPr>
        <w:pStyle w:val="a9"/>
        <w:spacing w:before="100" w:after="0" w:line="240" w:lineRule="auto"/>
        <w:jc w:val="center"/>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val="en-US" w:eastAsia="x-none"/>
        </w:rPr>
        <w:t>7.</w:t>
      </w:r>
      <w:r w:rsidR="00080EEE" w:rsidRPr="008A753D">
        <w:rPr>
          <w:rFonts w:ascii="Times New Roman" w:eastAsia="Times New Roman" w:hAnsi="Times New Roman" w:cs="Times New Roman"/>
          <w:b/>
          <w:bCs/>
          <w:kern w:val="32"/>
          <w:sz w:val="28"/>
          <w:szCs w:val="28"/>
          <w:lang w:eastAsia="x-none"/>
        </w:rPr>
        <w:t>Інвестиційна діяльність підприємства</w:t>
      </w:r>
    </w:p>
    <w:p w:rsidR="00080EEE" w:rsidRPr="008A753D" w:rsidRDefault="00080EEE" w:rsidP="00080EEE">
      <w:pPr>
        <w:spacing w:after="0" w:line="240" w:lineRule="auto"/>
        <w:ind w:firstLine="567"/>
        <w:jc w:val="both"/>
        <w:rPr>
          <w:rFonts w:ascii="Times New Roman" w:eastAsia="Times New Roman" w:hAnsi="Times New Roman" w:cs="Times New Roman"/>
          <w:sz w:val="28"/>
          <w:szCs w:val="24"/>
        </w:rPr>
      </w:pPr>
      <w:r w:rsidRPr="008A753D">
        <w:rPr>
          <w:rFonts w:ascii="Times New Roman" w:eastAsia="Times New Roman" w:hAnsi="Times New Roman" w:cs="Times New Roman"/>
          <w:sz w:val="24"/>
          <w:szCs w:val="28"/>
          <w:lang w:eastAsia="ru-RU"/>
        </w:rPr>
        <w:t xml:space="preserve">  </w:t>
      </w:r>
    </w:p>
    <w:p w:rsidR="00080EEE" w:rsidRPr="00A341D2" w:rsidRDefault="00080EEE" w:rsidP="00080EEE">
      <w:pPr>
        <w:spacing w:after="0" w:line="240" w:lineRule="auto"/>
        <w:ind w:firstLine="567"/>
        <w:jc w:val="both"/>
        <w:rPr>
          <w:rFonts w:ascii="Times New Roman" w:eastAsia="Times New Roman" w:hAnsi="Times New Roman" w:cs="Times New Roman"/>
          <w:sz w:val="28"/>
          <w:szCs w:val="24"/>
        </w:rPr>
      </w:pPr>
      <w:r w:rsidRPr="00A341D2">
        <w:rPr>
          <w:rFonts w:ascii="Times New Roman" w:eastAsia="Times New Roman" w:hAnsi="Times New Roman" w:cs="Times New Roman"/>
          <w:sz w:val="28"/>
          <w:szCs w:val="28"/>
          <w:lang w:eastAsia="ru-RU"/>
        </w:rPr>
        <w:t>Фактичний обсяг</w:t>
      </w:r>
      <w:r w:rsidRPr="00A341D2">
        <w:rPr>
          <w:rFonts w:ascii="Times New Roman" w:eastAsia="Times New Roman" w:hAnsi="Times New Roman" w:cs="Times New Roman"/>
          <w:sz w:val="28"/>
          <w:szCs w:val="24"/>
        </w:rPr>
        <w:t xml:space="preserve"> освоєних капітальних</w:t>
      </w:r>
      <w:r w:rsidRPr="00A341D2">
        <w:rPr>
          <w:rFonts w:ascii="Times New Roman" w:eastAsia="Times New Roman" w:hAnsi="Times New Roman" w:cs="Times New Roman"/>
          <w:sz w:val="28"/>
          <w:szCs w:val="28"/>
          <w:lang w:eastAsia="ru-RU"/>
        </w:rPr>
        <w:t xml:space="preserve"> інвестицій у</w:t>
      </w:r>
      <w:r w:rsidRPr="00A341D2">
        <w:rPr>
          <w:rFonts w:ascii="Times New Roman" w:eastAsia="Times New Roman" w:hAnsi="Times New Roman" w:cs="Times New Roman"/>
          <w:sz w:val="28"/>
          <w:szCs w:val="28"/>
          <w:lang w:eastAsia="uk-UA"/>
        </w:rPr>
        <w:t xml:space="preserve"> 201</w:t>
      </w:r>
      <w:r>
        <w:rPr>
          <w:rFonts w:ascii="Times New Roman" w:eastAsia="Times New Roman" w:hAnsi="Times New Roman" w:cs="Times New Roman"/>
          <w:sz w:val="28"/>
          <w:szCs w:val="28"/>
          <w:lang w:val="ru-RU" w:eastAsia="uk-UA"/>
        </w:rPr>
        <w:t>9</w:t>
      </w:r>
      <w:r w:rsidRPr="00A341D2">
        <w:rPr>
          <w:rFonts w:ascii="Times New Roman" w:eastAsia="Times New Roman" w:hAnsi="Times New Roman" w:cs="Times New Roman"/>
          <w:sz w:val="28"/>
          <w:szCs w:val="28"/>
          <w:lang w:eastAsia="uk-UA"/>
        </w:rPr>
        <w:t xml:space="preserve"> року </w:t>
      </w:r>
      <w:r>
        <w:rPr>
          <w:rFonts w:ascii="Times New Roman" w:eastAsia="Times New Roman" w:hAnsi="Times New Roman" w:cs="Times New Roman"/>
          <w:sz w:val="28"/>
          <w:szCs w:val="28"/>
          <w:lang w:eastAsia="ru-RU"/>
        </w:rPr>
        <w:t>становить 628 469</w:t>
      </w:r>
      <w:r w:rsidRPr="00A341D2">
        <w:rPr>
          <w:rFonts w:ascii="Times New Roman" w:eastAsia="Times New Roman" w:hAnsi="Times New Roman" w:cs="Times New Roman"/>
          <w:sz w:val="28"/>
          <w:szCs w:val="28"/>
          <w:lang w:eastAsia="ru-RU"/>
        </w:rPr>
        <w:t xml:space="preserve"> </w:t>
      </w:r>
      <w:r w:rsidRPr="00A341D2">
        <w:rPr>
          <w:rFonts w:ascii="Times New Roman" w:eastAsia="Times New Roman" w:hAnsi="Times New Roman" w:cs="Times New Roman"/>
          <w:sz w:val="28"/>
          <w:szCs w:val="28"/>
        </w:rPr>
        <w:t>тис. грн.</w:t>
      </w:r>
      <w:r w:rsidRPr="00A341D2">
        <w:rPr>
          <w:rFonts w:ascii="Times New Roman" w:eastAsia="Times New Roman" w:hAnsi="Times New Roman" w:cs="Times New Roman"/>
          <w:sz w:val="28"/>
          <w:szCs w:val="24"/>
        </w:rPr>
        <w:t xml:space="preserve">, що дорівнює </w:t>
      </w:r>
      <w:r w:rsidRPr="00D00049">
        <w:rPr>
          <w:rFonts w:ascii="Times New Roman" w:eastAsia="Times New Roman" w:hAnsi="Times New Roman" w:cs="Times New Roman"/>
          <w:sz w:val="28"/>
          <w:szCs w:val="24"/>
          <w:lang w:val="ru-RU"/>
        </w:rPr>
        <w:t>5</w:t>
      </w:r>
      <w:r>
        <w:rPr>
          <w:rFonts w:ascii="Times New Roman" w:eastAsia="Times New Roman" w:hAnsi="Times New Roman" w:cs="Times New Roman"/>
          <w:sz w:val="28"/>
          <w:szCs w:val="24"/>
          <w:lang w:val="ru-RU"/>
        </w:rPr>
        <w:t>3</w:t>
      </w:r>
      <w:r w:rsidRPr="00A341D2">
        <w:rPr>
          <w:rFonts w:ascii="Times New Roman" w:eastAsia="Times New Roman" w:hAnsi="Times New Roman" w:cs="Times New Roman"/>
          <w:sz w:val="28"/>
          <w:szCs w:val="24"/>
        </w:rPr>
        <w:t xml:space="preserve"> % запланованих витрат звітного періоду.</w:t>
      </w:r>
    </w:p>
    <w:p w:rsidR="00080EEE" w:rsidRPr="00A341D2" w:rsidRDefault="00080EEE" w:rsidP="00080EEE">
      <w:pPr>
        <w:spacing w:after="0" w:line="240" w:lineRule="auto"/>
        <w:ind w:firstLine="567"/>
        <w:jc w:val="both"/>
        <w:rPr>
          <w:rFonts w:ascii="Times New Roman" w:eastAsia="Times New Roman" w:hAnsi="Times New Roman" w:cs="Times New Roman"/>
          <w:sz w:val="28"/>
          <w:szCs w:val="24"/>
        </w:rPr>
      </w:pPr>
    </w:p>
    <w:p w:rsidR="00080EEE" w:rsidRPr="00A710DB" w:rsidRDefault="00080EEE" w:rsidP="00080EEE">
      <w:pPr>
        <w:jc w:val="right"/>
        <w:rPr>
          <w:rFonts w:ascii="Times New Roman" w:hAnsi="Times New Roman" w:cs="Times New Roman"/>
        </w:rPr>
      </w:pPr>
      <w:r>
        <w:rPr>
          <w:rFonts w:ascii="Times New Roman" w:hAnsi="Times New Roman" w:cs="Times New Roman"/>
          <w:sz w:val="24"/>
        </w:rPr>
        <w:t>Таблиця 1</w:t>
      </w:r>
      <w:r>
        <w:rPr>
          <w:rFonts w:ascii="Times New Roman" w:hAnsi="Times New Roman" w:cs="Times New Roman"/>
          <w:sz w:val="24"/>
          <w:lang w:val="ru-RU"/>
        </w:rPr>
        <w:t>7</w:t>
      </w:r>
      <w:r w:rsidRPr="00A710DB">
        <w:rPr>
          <w:rFonts w:ascii="Times New Roman" w:hAnsi="Times New Roman" w:cs="Times New Roman"/>
          <w:sz w:val="24"/>
        </w:rPr>
        <w:t xml:space="preserve"> (тис. грн.)</w:t>
      </w:r>
      <w:bookmarkStart w:id="3" w:name="_MON_1548598189"/>
      <w:bookmarkEnd w:id="3"/>
      <w:r w:rsidR="00303870" w:rsidRPr="00A710DB">
        <w:rPr>
          <w:rFonts w:ascii="Times New Roman" w:hAnsi="Times New Roman" w:cs="Times New Roman"/>
          <w:sz w:val="24"/>
        </w:rPr>
        <w:object w:dxaOrig="9554" w:dyaOrig="5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82.75pt" o:ole="">
            <v:imagedata r:id="rId11" o:title=""/>
          </v:shape>
          <o:OLEObject Type="Embed" ProgID="Excel.Sheet.12" ShapeID="_x0000_i1025" DrawAspect="Content" ObjectID="_1644911711" r:id="rId12"/>
        </w:object>
      </w:r>
    </w:p>
    <w:p w:rsidR="00080EEE" w:rsidRPr="004D2C60" w:rsidRDefault="00080EEE" w:rsidP="00080EEE">
      <w:pPr>
        <w:spacing w:after="0" w:line="240" w:lineRule="auto"/>
        <w:ind w:firstLine="567"/>
        <w:jc w:val="both"/>
        <w:rPr>
          <w:rFonts w:ascii="Times New Roman" w:eastAsia="Times New Roman" w:hAnsi="Times New Roman" w:cs="Times New Roman"/>
          <w:sz w:val="28"/>
          <w:szCs w:val="28"/>
          <w:lang w:eastAsia="ru-RU"/>
        </w:rPr>
      </w:pPr>
      <w:r w:rsidRPr="004D2C60">
        <w:rPr>
          <w:rFonts w:ascii="Times New Roman" w:eastAsia="Times New Roman" w:hAnsi="Times New Roman" w:cs="Times New Roman"/>
          <w:sz w:val="28"/>
          <w:szCs w:val="28"/>
          <w:lang w:eastAsia="ru-RU"/>
        </w:rPr>
        <w:t xml:space="preserve">Фінансовий план ДП «АМПУ» на 2019 рік затверджений Розпорядженням КМУ від 11.12.2019 №1271-р. Інвестиційна діяльність не здійснювалася, відповідно до постанови КМУ № 899 від 03.10.2012 р. «Про порядок здійснення витрат суб’єктами господарювання державного сектору економіки у разі незатвердження річних фінансових планів у встановленому порядку». Але протягом 2019 року ДП «АМПУ» здійснювала </w:t>
      </w:r>
      <w:r>
        <w:rPr>
          <w:rFonts w:ascii="Times New Roman" w:eastAsia="Times New Roman" w:hAnsi="Times New Roman" w:cs="Times New Roman"/>
          <w:sz w:val="28"/>
          <w:szCs w:val="28"/>
          <w:lang w:eastAsia="ru-RU"/>
        </w:rPr>
        <w:t xml:space="preserve">інвестиційну діяльність </w:t>
      </w:r>
      <w:r w:rsidRPr="004D2C60">
        <w:rPr>
          <w:rFonts w:ascii="Times New Roman" w:eastAsia="Times New Roman" w:hAnsi="Times New Roman" w:cs="Times New Roman"/>
          <w:sz w:val="28"/>
          <w:szCs w:val="28"/>
          <w:lang w:eastAsia="ru-RU"/>
        </w:rPr>
        <w:t xml:space="preserve">у відповідності </w:t>
      </w:r>
      <w:r>
        <w:rPr>
          <w:rFonts w:ascii="Times New Roman" w:eastAsia="Times New Roman" w:hAnsi="Times New Roman" w:cs="Times New Roman"/>
          <w:sz w:val="28"/>
          <w:szCs w:val="28"/>
          <w:lang w:eastAsia="ru-RU"/>
        </w:rPr>
        <w:t xml:space="preserve">до </w:t>
      </w:r>
      <w:r w:rsidRPr="004D2C60">
        <w:rPr>
          <w:rFonts w:ascii="Times New Roman" w:eastAsia="Times New Roman" w:hAnsi="Times New Roman" w:cs="Times New Roman"/>
          <w:sz w:val="28"/>
          <w:szCs w:val="28"/>
          <w:lang w:eastAsia="ru-RU"/>
        </w:rPr>
        <w:t>постанови КМУ від 27.02.19 № 133, згідно якої підприємство має право приймання робіт без затвердженого фінансового плану на 2019 р. за умови:</w:t>
      </w:r>
    </w:p>
    <w:p w:rsidR="00080EEE" w:rsidRPr="004D2C60" w:rsidRDefault="00080EEE" w:rsidP="00080EEE">
      <w:pPr>
        <w:spacing w:after="0" w:line="240" w:lineRule="auto"/>
        <w:ind w:firstLine="567"/>
        <w:jc w:val="both"/>
        <w:rPr>
          <w:rFonts w:ascii="Times New Roman" w:eastAsia="Times New Roman" w:hAnsi="Times New Roman" w:cs="Times New Roman"/>
          <w:sz w:val="28"/>
          <w:szCs w:val="28"/>
          <w:lang w:eastAsia="ru-RU"/>
        </w:rPr>
      </w:pPr>
      <w:r w:rsidRPr="004D2C60">
        <w:rPr>
          <w:rFonts w:ascii="Times New Roman" w:eastAsia="Times New Roman" w:hAnsi="Times New Roman" w:cs="Times New Roman"/>
          <w:sz w:val="28"/>
          <w:szCs w:val="28"/>
          <w:lang w:eastAsia="ru-RU"/>
        </w:rPr>
        <w:t>- наявності затверджених в установленому порядку проектів будівництва об’єктів та титулів об’єктів будівництва;</w:t>
      </w:r>
    </w:p>
    <w:p w:rsidR="00080EEE" w:rsidRPr="004D2C60" w:rsidRDefault="00080EEE" w:rsidP="00080EEE">
      <w:pPr>
        <w:spacing w:after="0" w:line="240" w:lineRule="auto"/>
        <w:ind w:firstLine="567"/>
        <w:jc w:val="both"/>
        <w:rPr>
          <w:rFonts w:ascii="Times New Roman" w:eastAsia="Times New Roman" w:hAnsi="Times New Roman" w:cs="Times New Roman"/>
          <w:sz w:val="28"/>
          <w:szCs w:val="28"/>
          <w:lang w:eastAsia="ru-RU"/>
        </w:rPr>
      </w:pPr>
      <w:r w:rsidRPr="004D2C60">
        <w:rPr>
          <w:rFonts w:ascii="Times New Roman" w:eastAsia="Times New Roman" w:hAnsi="Times New Roman" w:cs="Times New Roman"/>
          <w:sz w:val="28"/>
          <w:szCs w:val="28"/>
          <w:lang w:eastAsia="ru-RU"/>
        </w:rPr>
        <w:lastRenderedPageBreak/>
        <w:t>- включення до плану капітальних інвестицій затвердженого фінансового плану за попередній період відповідних об’єктів;</w:t>
      </w:r>
    </w:p>
    <w:p w:rsidR="00080EEE" w:rsidRPr="004D2C60" w:rsidRDefault="00080EEE" w:rsidP="00080EEE">
      <w:pPr>
        <w:spacing w:after="0" w:line="240" w:lineRule="auto"/>
        <w:ind w:firstLine="567"/>
        <w:jc w:val="both"/>
        <w:rPr>
          <w:rFonts w:ascii="Times New Roman" w:eastAsia="Times New Roman" w:hAnsi="Times New Roman" w:cs="Times New Roman"/>
          <w:sz w:val="28"/>
          <w:szCs w:val="28"/>
          <w:lang w:eastAsia="ru-RU"/>
        </w:rPr>
      </w:pPr>
      <w:r w:rsidRPr="004D2C60">
        <w:rPr>
          <w:rFonts w:ascii="Times New Roman" w:eastAsia="Times New Roman" w:hAnsi="Times New Roman" w:cs="Times New Roman"/>
          <w:sz w:val="28"/>
          <w:szCs w:val="28"/>
          <w:lang w:eastAsia="ru-RU"/>
        </w:rPr>
        <w:t>- відповідності строків реалізації за такими об’єктами, які охоплюють наступні планові роки, укладеним договорам та затвердженим титулам об’єктів будівництва.</w:t>
      </w:r>
    </w:p>
    <w:p w:rsidR="00080EEE" w:rsidRDefault="00080EEE" w:rsidP="00080EEE">
      <w:pPr>
        <w:spacing w:after="0" w:line="240" w:lineRule="auto"/>
        <w:ind w:firstLine="567"/>
        <w:jc w:val="both"/>
        <w:rPr>
          <w:rFonts w:ascii="Times New Roman" w:eastAsia="Times New Roman" w:hAnsi="Times New Roman" w:cs="Times New Roman"/>
          <w:sz w:val="28"/>
          <w:szCs w:val="28"/>
          <w:lang w:eastAsia="ru-RU"/>
        </w:rPr>
      </w:pPr>
      <w:r w:rsidRPr="004D2C60">
        <w:rPr>
          <w:rFonts w:ascii="Times New Roman" w:eastAsia="Times New Roman" w:hAnsi="Times New Roman" w:cs="Times New Roman"/>
          <w:sz w:val="28"/>
          <w:szCs w:val="28"/>
          <w:lang w:eastAsia="ru-RU"/>
        </w:rPr>
        <w:t>Щодо об’єктів, які не підпадають під дію вказаної постанови, здійснювати інвестиційну діяльність ДП «АМПУ» отримала можливість тільки в грудні звітного періоду.</w:t>
      </w:r>
    </w:p>
    <w:p w:rsidR="00080EEE" w:rsidRPr="004D2C60" w:rsidRDefault="00080EEE" w:rsidP="00080EEE">
      <w:pPr>
        <w:spacing w:after="0" w:line="240" w:lineRule="auto"/>
        <w:ind w:firstLine="567"/>
        <w:jc w:val="both"/>
        <w:rPr>
          <w:rFonts w:ascii="Times New Roman" w:eastAsia="Times New Roman" w:hAnsi="Times New Roman" w:cs="Times New Roman"/>
          <w:sz w:val="28"/>
          <w:szCs w:val="28"/>
          <w:lang w:eastAsia="ru-RU"/>
        </w:rPr>
      </w:pPr>
    </w:p>
    <w:p w:rsidR="00080EEE" w:rsidRPr="00A710DB" w:rsidRDefault="00080EEE" w:rsidP="00080EEE">
      <w:pPr>
        <w:spacing w:after="0" w:line="240" w:lineRule="auto"/>
        <w:ind w:firstLine="567"/>
        <w:jc w:val="both"/>
        <w:rPr>
          <w:rFonts w:ascii="Times New Roman" w:eastAsia="Times New Roman" w:hAnsi="Times New Roman" w:cs="Times New Roman"/>
          <w:b/>
          <w:sz w:val="28"/>
          <w:szCs w:val="28"/>
          <w:lang w:eastAsia="ru-RU"/>
        </w:rPr>
      </w:pPr>
      <w:r w:rsidRPr="00A710DB">
        <w:rPr>
          <w:rFonts w:ascii="Times New Roman" w:eastAsia="Times New Roman" w:hAnsi="Times New Roman" w:cs="Times New Roman"/>
          <w:b/>
          <w:sz w:val="28"/>
          <w:szCs w:val="28"/>
          <w:lang w:eastAsia="ru-RU"/>
        </w:rPr>
        <w:t>Капітальне будівництво (рядок 4010)</w:t>
      </w:r>
    </w:p>
    <w:p w:rsidR="00080EEE" w:rsidRDefault="00080EEE" w:rsidP="00080EEE">
      <w:pPr>
        <w:spacing w:after="0" w:line="240" w:lineRule="auto"/>
        <w:ind w:firstLine="567"/>
        <w:jc w:val="both"/>
        <w:rPr>
          <w:rFonts w:ascii="Times New Roman" w:hAnsi="Times New Roman"/>
          <w:sz w:val="28"/>
          <w:szCs w:val="28"/>
        </w:rPr>
      </w:pPr>
      <w:r w:rsidRPr="00A710DB">
        <w:rPr>
          <w:rFonts w:ascii="Times New Roman" w:eastAsia="Times New Roman" w:hAnsi="Times New Roman" w:cs="Times New Roman"/>
          <w:sz w:val="28"/>
          <w:szCs w:val="28"/>
          <w:lang w:eastAsia="uk-UA"/>
        </w:rPr>
        <w:t xml:space="preserve">За </w:t>
      </w:r>
      <w:r>
        <w:rPr>
          <w:rFonts w:ascii="Times New Roman" w:eastAsia="Times New Roman" w:hAnsi="Times New Roman" w:cs="Times New Roman"/>
          <w:sz w:val="28"/>
          <w:szCs w:val="28"/>
          <w:lang w:eastAsia="uk-UA"/>
        </w:rPr>
        <w:t>2019</w:t>
      </w:r>
      <w:r w:rsidRPr="00A710DB">
        <w:rPr>
          <w:rFonts w:ascii="Times New Roman" w:eastAsia="Times New Roman" w:hAnsi="Times New Roman" w:cs="Times New Roman"/>
          <w:sz w:val="28"/>
          <w:szCs w:val="28"/>
          <w:lang w:eastAsia="uk-UA"/>
        </w:rPr>
        <w:t xml:space="preserve"> рік по капітальному будівництву </w:t>
      </w:r>
      <w:r>
        <w:rPr>
          <w:rFonts w:ascii="Times New Roman" w:eastAsia="Times New Roman" w:hAnsi="Times New Roman" w:cs="Times New Roman"/>
          <w:sz w:val="28"/>
          <w:szCs w:val="28"/>
          <w:lang w:eastAsia="uk-UA"/>
        </w:rPr>
        <w:t xml:space="preserve">обсяг </w:t>
      </w:r>
      <w:r w:rsidRPr="00A710DB">
        <w:rPr>
          <w:rFonts w:ascii="Times New Roman" w:eastAsia="Times New Roman" w:hAnsi="Times New Roman" w:cs="Times New Roman"/>
          <w:sz w:val="28"/>
          <w:szCs w:val="28"/>
          <w:lang w:eastAsia="uk-UA"/>
        </w:rPr>
        <w:t>освоєн</w:t>
      </w:r>
      <w:r>
        <w:rPr>
          <w:rFonts w:ascii="Times New Roman" w:eastAsia="Times New Roman" w:hAnsi="Times New Roman" w:cs="Times New Roman"/>
          <w:sz w:val="28"/>
          <w:szCs w:val="28"/>
          <w:lang w:eastAsia="uk-UA"/>
        </w:rPr>
        <w:t xml:space="preserve">ня складає </w:t>
      </w:r>
      <w:r w:rsidRPr="00A710D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90 505</w:t>
      </w:r>
      <w:r w:rsidRPr="00A710DB">
        <w:rPr>
          <w:rFonts w:ascii="Times New Roman" w:hAnsi="Times New Roman"/>
          <w:sz w:val="28"/>
          <w:szCs w:val="28"/>
          <w:lang w:val="ru-RU"/>
        </w:rPr>
        <w:t xml:space="preserve"> </w:t>
      </w:r>
      <w:r w:rsidRPr="00A710DB">
        <w:rPr>
          <w:rFonts w:ascii="Times New Roman" w:hAnsi="Times New Roman"/>
          <w:sz w:val="28"/>
          <w:szCs w:val="28"/>
        </w:rPr>
        <w:t xml:space="preserve">тис. грн., що становить </w:t>
      </w:r>
      <w:r>
        <w:rPr>
          <w:rFonts w:ascii="Times New Roman" w:hAnsi="Times New Roman"/>
          <w:sz w:val="28"/>
          <w:szCs w:val="28"/>
          <w:lang w:val="ru-RU"/>
        </w:rPr>
        <w:t>33</w:t>
      </w:r>
      <w:r w:rsidRPr="008A753D">
        <w:rPr>
          <w:rFonts w:ascii="Times New Roman" w:hAnsi="Times New Roman"/>
          <w:sz w:val="28"/>
          <w:szCs w:val="28"/>
        </w:rPr>
        <w:t xml:space="preserve"> %</w:t>
      </w:r>
      <w:r>
        <w:rPr>
          <w:rFonts w:ascii="Times New Roman" w:hAnsi="Times New Roman"/>
          <w:sz w:val="28"/>
          <w:szCs w:val="28"/>
        </w:rPr>
        <w:t>.</w:t>
      </w:r>
      <w:r w:rsidRPr="008A753D">
        <w:rPr>
          <w:rFonts w:ascii="Times New Roman" w:hAnsi="Times New Roman"/>
          <w:sz w:val="28"/>
          <w:szCs w:val="28"/>
        </w:rPr>
        <w:t xml:space="preserve"> </w:t>
      </w:r>
    </w:p>
    <w:p w:rsidR="00080EEE" w:rsidRPr="00A710DB" w:rsidRDefault="00080EEE" w:rsidP="00080EEE">
      <w:pPr>
        <w:spacing w:after="0" w:line="240" w:lineRule="auto"/>
        <w:rPr>
          <w:rFonts w:ascii="Times New Roman" w:hAnsi="Times New Roman" w:cs="Times New Roman"/>
        </w:rPr>
      </w:pPr>
    </w:p>
    <w:p w:rsidR="00080EEE" w:rsidRPr="00A710DB" w:rsidRDefault="00080EEE" w:rsidP="00080EEE">
      <w:pPr>
        <w:spacing w:after="0" w:line="240" w:lineRule="auto"/>
        <w:jc w:val="right"/>
        <w:rPr>
          <w:rFonts w:ascii="Times New Roman" w:hAnsi="Times New Roman" w:cs="Times New Roman"/>
        </w:rPr>
      </w:pPr>
      <w:r w:rsidRPr="00A710DB">
        <w:rPr>
          <w:rFonts w:ascii="Times New Roman" w:hAnsi="Times New Roman" w:cs="Times New Roman"/>
        </w:rPr>
        <w:t>Таблиця 1</w:t>
      </w:r>
      <w:r>
        <w:rPr>
          <w:rFonts w:ascii="Times New Roman" w:hAnsi="Times New Roman" w:cs="Times New Roman"/>
        </w:rPr>
        <w:t xml:space="preserve">8 </w:t>
      </w:r>
      <w:r w:rsidRPr="00A710DB">
        <w:rPr>
          <w:rFonts w:ascii="Times New Roman" w:hAnsi="Times New Roman" w:cs="Times New Roman"/>
        </w:rPr>
        <w:t>(тис. грн.)</w:t>
      </w:r>
    </w:p>
    <w:tbl>
      <w:tblPr>
        <w:tblpPr w:leftFromText="180" w:rightFromText="180" w:vertAnchor="text" w:tblpY="1"/>
        <w:tblOverlap w:val="never"/>
        <w:tblW w:w="9742" w:type="dxa"/>
        <w:tblLook w:val="04A0" w:firstRow="1" w:lastRow="0" w:firstColumn="1" w:lastColumn="0" w:noHBand="0" w:noVBand="1"/>
      </w:tblPr>
      <w:tblGrid>
        <w:gridCol w:w="2938"/>
        <w:gridCol w:w="1041"/>
        <w:gridCol w:w="935"/>
        <w:gridCol w:w="822"/>
        <w:gridCol w:w="4077"/>
      </w:tblGrid>
      <w:tr w:rsidR="00080EEE" w:rsidRPr="00BE4302" w:rsidTr="00303870">
        <w:trPr>
          <w:trHeight w:val="557"/>
        </w:trPr>
        <w:tc>
          <w:tcPr>
            <w:tcW w:w="2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EEE" w:rsidRPr="00BE4302" w:rsidRDefault="00080EEE" w:rsidP="00151BD5">
            <w:pPr>
              <w:spacing w:after="0" w:line="240" w:lineRule="auto"/>
              <w:rPr>
                <w:rFonts w:ascii="Times New Roman" w:eastAsia="Times New Roman" w:hAnsi="Times New Roman" w:cs="Times New Roman"/>
                <w:color w:val="000000"/>
                <w:sz w:val="20"/>
                <w:szCs w:val="20"/>
                <w:lang w:val="ru-RU" w:eastAsia="ru-RU"/>
              </w:rPr>
            </w:pPr>
            <w:r w:rsidRPr="00BE4302">
              <w:rPr>
                <w:rFonts w:ascii="Times New Roman" w:eastAsia="Times New Roman" w:hAnsi="Times New Roman" w:cs="Times New Roman"/>
                <w:color w:val="000000"/>
                <w:sz w:val="20"/>
                <w:szCs w:val="20"/>
                <w:lang w:val="ru-RU" w:eastAsia="ru-RU"/>
              </w:rPr>
              <w:t>Найменування об'єкту</w:t>
            </w:r>
          </w:p>
        </w:tc>
        <w:tc>
          <w:tcPr>
            <w:tcW w:w="2727" w:type="dxa"/>
            <w:gridSpan w:val="3"/>
            <w:tcBorders>
              <w:top w:val="single" w:sz="4" w:space="0" w:color="auto"/>
              <w:left w:val="nil"/>
              <w:bottom w:val="single" w:sz="4" w:space="0" w:color="auto"/>
              <w:right w:val="single" w:sz="4" w:space="0" w:color="auto"/>
            </w:tcBorders>
            <w:shd w:val="clear" w:color="auto" w:fill="auto"/>
            <w:vAlign w:val="center"/>
            <w:hideMark/>
          </w:tcPr>
          <w:p w:rsidR="00080EEE" w:rsidRPr="00BE4302"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BE4302">
              <w:rPr>
                <w:rFonts w:ascii="Times New Roman" w:eastAsia="Times New Roman" w:hAnsi="Times New Roman" w:cs="Times New Roman"/>
                <w:color w:val="000000"/>
                <w:sz w:val="20"/>
                <w:szCs w:val="20"/>
                <w:lang w:val="ru-RU" w:eastAsia="ru-RU"/>
              </w:rPr>
              <w:t>201</w:t>
            </w:r>
            <w:r>
              <w:rPr>
                <w:rFonts w:ascii="Times New Roman" w:eastAsia="Times New Roman" w:hAnsi="Times New Roman" w:cs="Times New Roman"/>
                <w:color w:val="000000"/>
                <w:sz w:val="20"/>
                <w:szCs w:val="20"/>
                <w:lang w:val="ru-RU" w:eastAsia="ru-RU"/>
              </w:rPr>
              <w:t>9</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EEE" w:rsidRPr="00BE4302"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BE4302">
              <w:rPr>
                <w:rFonts w:ascii="Times New Roman" w:eastAsia="Times New Roman" w:hAnsi="Times New Roman" w:cs="Times New Roman"/>
                <w:color w:val="000000"/>
                <w:sz w:val="20"/>
                <w:szCs w:val="20"/>
                <w:lang w:val="ru-RU" w:eastAsia="ru-RU"/>
              </w:rPr>
              <w:t>П</w:t>
            </w:r>
            <w:r>
              <w:rPr>
                <w:rFonts w:ascii="Times New Roman" w:eastAsia="Times New Roman" w:hAnsi="Times New Roman" w:cs="Times New Roman"/>
                <w:color w:val="000000"/>
                <w:sz w:val="20"/>
                <w:szCs w:val="20"/>
                <w:lang w:val="ru-RU" w:eastAsia="ru-RU"/>
              </w:rPr>
              <w:t>римітки</w:t>
            </w:r>
          </w:p>
        </w:tc>
      </w:tr>
      <w:tr w:rsidR="00080EEE" w:rsidRPr="00BE4302" w:rsidTr="00151BD5">
        <w:trPr>
          <w:trHeight w:val="375"/>
        </w:trPr>
        <w:tc>
          <w:tcPr>
            <w:tcW w:w="2938" w:type="dxa"/>
            <w:vMerge/>
            <w:tcBorders>
              <w:top w:val="single" w:sz="4" w:space="0" w:color="auto"/>
              <w:left w:val="single" w:sz="4" w:space="0" w:color="auto"/>
              <w:bottom w:val="single" w:sz="4" w:space="0" w:color="auto"/>
              <w:right w:val="single" w:sz="4" w:space="0" w:color="auto"/>
            </w:tcBorders>
            <w:vAlign w:val="center"/>
            <w:hideMark/>
          </w:tcPr>
          <w:p w:rsidR="00080EEE" w:rsidRPr="00BE4302" w:rsidRDefault="00080EEE" w:rsidP="00151BD5">
            <w:pPr>
              <w:spacing w:after="0" w:line="240" w:lineRule="auto"/>
              <w:rPr>
                <w:rFonts w:ascii="Times New Roman" w:eastAsia="Times New Roman" w:hAnsi="Times New Roman" w:cs="Times New Roman"/>
                <w:color w:val="000000"/>
                <w:sz w:val="20"/>
                <w:szCs w:val="20"/>
                <w:lang w:val="ru-RU" w:eastAsia="ru-RU"/>
              </w:rPr>
            </w:pPr>
          </w:p>
        </w:tc>
        <w:tc>
          <w:tcPr>
            <w:tcW w:w="1041" w:type="dxa"/>
            <w:tcBorders>
              <w:top w:val="nil"/>
              <w:left w:val="nil"/>
              <w:bottom w:val="single" w:sz="4" w:space="0" w:color="auto"/>
              <w:right w:val="single" w:sz="4" w:space="0" w:color="auto"/>
            </w:tcBorders>
            <w:shd w:val="clear" w:color="auto" w:fill="auto"/>
            <w:vAlign w:val="center"/>
            <w:hideMark/>
          </w:tcPr>
          <w:p w:rsidR="00080EEE" w:rsidRPr="00BE4302"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BE4302">
              <w:rPr>
                <w:rFonts w:ascii="Times New Roman" w:eastAsia="Times New Roman" w:hAnsi="Times New Roman" w:cs="Times New Roman"/>
                <w:color w:val="000000"/>
                <w:sz w:val="20"/>
                <w:szCs w:val="20"/>
                <w:lang w:val="ru-RU" w:eastAsia="ru-RU"/>
              </w:rPr>
              <w:t>план</w:t>
            </w:r>
          </w:p>
        </w:tc>
        <w:tc>
          <w:tcPr>
            <w:tcW w:w="935" w:type="dxa"/>
            <w:tcBorders>
              <w:top w:val="nil"/>
              <w:left w:val="nil"/>
              <w:bottom w:val="single" w:sz="4" w:space="0" w:color="auto"/>
              <w:right w:val="single" w:sz="4" w:space="0" w:color="auto"/>
            </w:tcBorders>
            <w:shd w:val="clear" w:color="auto" w:fill="auto"/>
            <w:vAlign w:val="center"/>
            <w:hideMark/>
          </w:tcPr>
          <w:p w:rsidR="00080EEE" w:rsidRPr="00BE4302"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BE4302">
              <w:rPr>
                <w:rFonts w:ascii="Times New Roman" w:eastAsia="Times New Roman" w:hAnsi="Times New Roman" w:cs="Times New Roman"/>
                <w:color w:val="000000"/>
                <w:sz w:val="20"/>
                <w:szCs w:val="20"/>
                <w:lang w:val="ru-RU" w:eastAsia="ru-RU"/>
              </w:rPr>
              <w:t>факт</w:t>
            </w:r>
          </w:p>
        </w:tc>
        <w:tc>
          <w:tcPr>
            <w:tcW w:w="751" w:type="dxa"/>
            <w:tcBorders>
              <w:top w:val="nil"/>
              <w:left w:val="nil"/>
              <w:bottom w:val="single" w:sz="4" w:space="0" w:color="auto"/>
              <w:right w:val="single" w:sz="4" w:space="0" w:color="auto"/>
            </w:tcBorders>
            <w:shd w:val="clear" w:color="auto" w:fill="auto"/>
            <w:vAlign w:val="center"/>
            <w:hideMark/>
          </w:tcPr>
          <w:p w:rsidR="00080EEE" w:rsidRPr="00BE4302"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BE4302">
              <w:rPr>
                <w:rFonts w:ascii="Times New Roman" w:eastAsia="Times New Roman" w:hAnsi="Times New Roman" w:cs="Times New Roman"/>
                <w:color w:val="000000"/>
                <w:sz w:val="20"/>
                <w:szCs w:val="20"/>
                <w:lang w:val="ru-RU" w:eastAsia="ru-RU"/>
              </w:rPr>
              <w:t>викон., %</w:t>
            </w:r>
          </w:p>
        </w:tc>
        <w:tc>
          <w:tcPr>
            <w:tcW w:w="4077" w:type="dxa"/>
            <w:tcBorders>
              <w:top w:val="single" w:sz="4" w:space="0" w:color="auto"/>
              <w:left w:val="single" w:sz="4" w:space="0" w:color="auto"/>
              <w:bottom w:val="single" w:sz="4" w:space="0" w:color="auto"/>
              <w:right w:val="single" w:sz="4" w:space="0" w:color="auto"/>
            </w:tcBorders>
            <w:vAlign w:val="center"/>
            <w:hideMark/>
          </w:tcPr>
          <w:p w:rsidR="00080EEE" w:rsidRPr="00BE4302" w:rsidRDefault="00080EEE" w:rsidP="00151BD5">
            <w:pPr>
              <w:spacing w:after="0" w:line="240" w:lineRule="auto"/>
              <w:rPr>
                <w:rFonts w:ascii="Times New Roman" w:eastAsia="Times New Roman" w:hAnsi="Times New Roman" w:cs="Times New Roman"/>
                <w:color w:val="000000"/>
                <w:sz w:val="20"/>
                <w:szCs w:val="20"/>
                <w:lang w:val="ru-RU" w:eastAsia="ru-RU"/>
              </w:rPr>
            </w:pPr>
          </w:p>
        </w:tc>
      </w:tr>
      <w:tr w:rsidR="00080EEE" w:rsidRPr="00BE4302" w:rsidTr="00151BD5">
        <w:trPr>
          <w:trHeight w:val="375"/>
        </w:trPr>
        <w:tc>
          <w:tcPr>
            <w:tcW w:w="2938" w:type="dxa"/>
            <w:tcBorders>
              <w:top w:val="nil"/>
              <w:left w:val="single" w:sz="4" w:space="0" w:color="auto"/>
              <w:bottom w:val="single" w:sz="4" w:space="0" w:color="auto"/>
              <w:right w:val="single" w:sz="4" w:space="0" w:color="auto"/>
            </w:tcBorders>
            <w:shd w:val="clear" w:color="auto" w:fill="auto"/>
            <w:noWrap/>
            <w:vAlign w:val="center"/>
            <w:hideMark/>
          </w:tcPr>
          <w:p w:rsidR="00080EEE" w:rsidRPr="00BE4302" w:rsidRDefault="00080EEE" w:rsidP="00151BD5">
            <w:pPr>
              <w:spacing w:after="0" w:line="240" w:lineRule="auto"/>
              <w:rPr>
                <w:rFonts w:ascii="Times New Roman" w:eastAsia="Times New Roman" w:hAnsi="Times New Roman" w:cs="Times New Roman"/>
                <w:b/>
                <w:bCs/>
                <w:color w:val="000000"/>
                <w:sz w:val="20"/>
                <w:szCs w:val="20"/>
                <w:lang w:val="ru-RU" w:eastAsia="ru-RU"/>
              </w:rPr>
            </w:pPr>
            <w:r w:rsidRPr="00BE4302">
              <w:rPr>
                <w:rFonts w:ascii="Times New Roman" w:eastAsia="Times New Roman" w:hAnsi="Times New Roman" w:cs="Times New Roman"/>
                <w:b/>
                <w:bCs/>
                <w:color w:val="000000"/>
                <w:sz w:val="20"/>
                <w:szCs w:val="20"/>
                <w:lang w:val="ru-RU" w:eastAsia="ru-RU"/>
              </w:rPr>
              <w:t>Капітальне будівництво</w:t>
            </w:r>
          </w:p>
        </w:tc>
        <w:tc>
          <w:tcPr>
            <w:tcW w:w="1041" w:type="dxa"/>
            <w:tcBorders>
              <w:top w:val="nil"/>
              <w:left w:val="nil"/>
              <w:bottom w:val="single" w:sz="4" w:space="0" w:color="auto"/>
              <w:right w:val="single" w:sz="4" w:space="0" w:color="auto"/>
            </w:tcBorders>
            <w:shd w:val="clear" w:color="auto" w:fill="auto"/>
            <w:noWrap/>
            <w:vAlign w:val="center"/>
          </w:tcPr>
          <w:p w:rsidR="00080EEE" w:rsidRPr="00BE4302" w:rsidRDefault="00080EEE" w:rsidP="00151BD5">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273 239</w:t>
            </w:r>
          </w:p>
        </w:tc>
        <w:tc>
          <w:tcPr>
            <w:tcW w:w="935" w:type="dxa"/>
            <w:tcBorders>
              <w:top w:val="nil"/>
              <w:left w:val="nil"/>
              <w:bottom w:val="single" w:sz="4" w:space="0" w:color="auto"/>
              <w:right w:val="single" w:sz="4" w:space="0" w:color="auto"/>
            </w:tcBorders>
            <w:shd w:val="clear" w:color="auto" w:fill="auto"/>
            <w:noWrap/>
            <w:vAlign w:val="center"/>
          </w:tcPr>
          <w:p w:rsidR="00080EEE" w:rsidRPr="00BE4302" w:rsidRDefault="00080EEE" w:rsidP="00151BD5">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90 505</w:t>
            </w:r>
          </w:p>
        </w:tc>
        <w:tc>
          <w:tcPr>
            <w:tcW w:w="751" w:type="dxa"/>
            <w:tcBorders>
              <w:top w:val="nil"/>
              <w:left w:val="nil"/>
              <w:bottom w:val="single" w:sz="4" w:space="0" w:color="auto"/>
              <w:right w:val="single" w:sz="4" w:space="0" w:color="auto"/>
            </w:tcBorders>
            <w:shd w:val="clear" w:color="auto" w:fill="auto"/>
            <w:noWrap/>
            <w:vAlign w:val="center"/>
          </w:tcPr>
          <w:p w:rsidR="00080EEE" w:rsidRPr="00BE4302" w:rsidRDefault="00080EEE" w:rsidP="00151BD5">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33</w:t>
            </w:r>
          </w:p>
        </w:tc>
        <w:tc>
          <w:tcPr>
            <w:tcW w:w="4077" w:type="dxa"/>
            <w:tcBorders>
              <w:top w:val="nil"/>
              <w:left w:val="nil"/>
              <w:bottom w:val="single" w:sz="4" w:space="0" w:color="auto"/>
              <w:right w:val="single" w:sz="4" w:space="0" w:color="auto"/>
            </w:tcBorders>
            <w:shd w:val="clear" w:color="auto" w:fill="auto"/>
            <w:noWrap/>
            <w:vAlign w:val="center"/>
            <w:hideMark/>
          </w:tcPr>
          <w:p w:rsidR="00080EEE" w:rsidRPr="00BE4302" w:rsidRDefault="00080EEE" w:rsidP="00151BD5">
            <w:pPr>
              <w:spacing w:after="0" w:line="240" w:lineRule="auto"/>
              <w:rPr>
                <w:rFonts w:ascii="Times New Roman" w:eastAsia="Times New Roman" w:hAnsi="Times New Roman" w:cs="Times New Roman"/>
                <w:color w:val="000000"/>
                <w:sz w:val="20"/>
                <w:szCs w:val="20"/>
                <w:lang w:val="ru-RU" w:eastAsia="ru-RU"/>
              </w:rPr>
            </w:pPr>
            <w:r w:rsidRPr="00BE4302">
              <w:rPr>
                <w:rFonts w:ascii="Times New Roman" w:eastAsia="Times New Roman" w:hAnsi="Times New Roman" w:cs="Times New Roman"/>
                <w:color w:val="000000"/>
                <w:sz w:val="20"/>
                <w:szCs w:val="20"/>
                <w:lang w:val="ru-RU" w:eastAsia="ru-RU"/>
              </w:rPr>
              <w:t> </w:t>
            </w:r>
          </w:p>
        </w:tc>
      </w:tr>
      <w:tr w:rsidR="00080EEE" w:rsidRPr="00BE4302" w:rsidTr="00151BD5">
        <w:trPr>
          <w:trHeight w:val="1530"/>
        </w:trPr>
        <w:tc>
          <w:tcPr>
            <w:tcW w:w="2938" w:type="dxa"/>
            <w:tcBorders>
              <w:top w:val="nil"/>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Укладання високовольтної кабельної лінії замість фідера-83</w:t>
            </w:r>
          </w:p>
        </w:tc>
        <w:tc>
          <w:tcPr>
            <w:tcW w:w="104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14 022</w:t>
            </w:r>
          </w:p>
        </w:tc>
        <w:tc>
          <w:tcPr>
            <w:tcW w:w="935"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15 528</w:t>
            </w:r>
          </w:p>
        </w:tc>
        <w:tc>
          <w:tcPr>
            <w:tcW w:w="75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111</w:t>
            </w:r>
          </w:p>
        </w:tc>
        <w:tc>
          <w:tcPr>
            <w:tcW w:w="4077" w:type="dxa"/>
            <w:tcBorders>
              <w:top w:val="nil"/>
              <w:left w:val="nil"/>
              <w:bottom w:val="single" w:sz="4" w:space="0" w:color="auto"/>
              <w:right w:val="single" w:sz="4" w:space="0" w:color="auto"/>
            </w:tcBorders>
            <w:shd w:val="clear" w:color="auto" w:fill="auto"/>
          </w:tcPr>
          <w:p w:rsidR="00080EEE" w:rsidRPr="00310207" w:rsidRDefault="00080EEE" w:rsidP="00151BD5">
            <w:pPr>
              <w:rPr>
                <w:rFonts w:ascii="Times New Roman" w:hAnsi="Times New Roman" w:cs="Times New Roman"/>
                <w:sz w:val="18"/>
              </w:rPr>
            </w:pPr>
            <w:r w:rsidRPr="00310207">
              <w:rPr>
                <w:rFonts w:ascii="Times New Roman" w:hAnsi="Times New Roman" w:cs="Times New Roman"/>
                <w:sz w:val="18"/>
              </w:rPr>
              <w:t>виконано</w:t>
            </w:r>
          </w:p>
        </w:tc>
      </w:tr>
      <w:tr w:rsidR="00080EEE" w:rsidRPr="00BE4302" w:rsidTr="00151BD5">
        <w:trPr>
          <w:trHeight w:val="544"/>
        </w:trPr>
        <w:tc>
          <w:tcPr>
            <w:tcW w:w="2938" w:type="dxa"/>
            <w:tcBorders>
              <w:top w:val="nil"/>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 xml:space="preserve">Будівництво автодорожньої розв’язки від 2-ої прохідної порту до тилів причалів №10-12 (ТЕО, експертиза) </w:t>
            </w:r>
          </w:p>
        </w:tc>
        <w:tc>
          <w:tcPr>
            <w:tcW w:w="104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1 086</w:t>
            </w:r>
          </w:p>
        </w:tc>
        <w:tc>
          <w:tcPr>
            <w:tcW w:w="935"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1 023</w:t>
            </w:r>
          </w:p>
        </w:tc>
        <w:tc>
          <w:tcPr>
            <w:tcW w:w="75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94</w:t>
            </w:r>
          </w:p>
        </w:tc>
        <w:tc>
          <w:tcPr>
            <w:tcW w:w="4077" w:type="dxa"/>
            <w:tcBorders>
              <w:top w:val="nil"/>
              <w:left w:val="nil"/>
              <w:bottom w:val="single" w:sz="4" w:space="0" w:color="auto"/>
              <w:right w:val="single" w:sz="4" w:space="0" w:color="auto"/>
            </w:tcBorders>
            <w:shd w:val="clear" w:color="auto" w:fill="auto"/>
          </w:tcPr>
          <w:p w:rsidR="00080EEE" w:rsidRPr="00310207" w:rsidRDefault="00080EEE" w:rsidP="00151BD5">
            <w:pPr>
              <w:rPr>
                <w:rFonts w:ascii="Times New Roman" w:hAnsi="Times New Roman" w:cs="Times New Roman"/>
                <w:sz w:val="18"/>
              </w:rPr>
            </w:pPr>
            <w:r w:rsidRPr="00310207">
              <w:rPr>
                <w:rFonts w:ascii="Times New Roman" w:hAnsi="Times New Roman" w:cs="Times New Roman"/>
                <w:sz w:val="18"/>
              </w:rPr>
              <w:t>Розроблено ТЕО, отримано позитивний експертний звіт</w:t>
            </w:r>
          </w:p>
        </w:tc>
      </w:tr>
      <w:tr w:rsidR="00080EEE" w:rsidRPr="00BE4302" w:rsidTr="00151BD5">
        <w:trPr>
          <w:trHeight w:val="375"/>
        </w:trPr>
        <w:tc>
          <w:tcPr>
            <w:tcW w:w="2938" w:type="dxa"/>
            <w:tcBorders>
              <w:top w:val="nil"/>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Будівництво причалу № 8</w:t>
            </w:r>
          </w:p>
        </w:tc>
        <w:tc>
          <w:tcPr>
            <w:tcW w:w="104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126 583</w:t>
            </w:r>
          </w:p>
        </w:tc>
        <w:tc>
          <w:tcPr>
            <w:tcW w:w="935"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50 091</w:t>
            </w:r>
          </w:p>
        </w:tc>
        <w:tc>
          <w:tcPr>
            <w:tcW w:w="75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40</w:t>
            </w:r>
          </w:p>
        </w:tc>
        <w:tc>
          <w:tcPr>
            <w:tcW w:w="4077" w:type="dxa"/>
            <w:tcBorders>
              <w:top w:val="nil"/>
              <w:left w:val="nil"/>
              <w:bottom w:val="single" w:sz="4" w:space="0" w:color="auto"/>
              <w:right w:val="single" w:sz="4" w:space="0" w:color="auto"/>
            </w:tcBorders>
            <w:shd w:val="clear" w:color="auto" w:fill="auto"/>
          </w:tcPr>
          <w:p w:rsidR="00080EEE" w:rsidRPr="00310207" w:rsidRDefault="00080EEE" w:rsidP="00151BD5">
            <w:pPr>
              <w:rPr>
                <w:rFonts w:ascii="Times New Roman" w:hAnsi="Times New Roman" w:cs="Times New Roman"/>
                <w:sz w:val="18"/>
              </w:rPr>
            </w:pPr>
            <w:r w:rsidRPr="00310207">
              <w:rPr>
                <w:rFonts w:ascii="Times New Roman" w:hAnsi="Times New Roman" w:cs="Times New Roman"/>
                <w:sz w:val="18"/>
              </w:rPr>
              <w:t>У відповідності до постанови КМУ від 27.02.19 № 133 були розпочаті роботи з будівництва, виконувалося генеральним підрядником ТОВ «ГідроБуд Україна». Але у зв’язку з порушенням підрядником умов договору, 28.12.2019 йому направлено повідомлення про розірвання договору</w:t>
            </w:r>
          </w:p>
        </w:tc>
      </w:tr>
      <w:tr w:rsidR="00080EEE" w:rsidRPr="00BE4302" w:rsidTr="00151BD5">
        <w:trPr>
          <w:trHeight w:val="375"/>
        </w:trPr>
        <w:tc>
          <w:tcPr>
            <w:tcW w:w="2938" w:type="dxa"/>
            <w:tcBorders>
              <w:top w:val="nil"/>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Будівництво резервної лінії зв’язку</w:t>
            </w:r>
          </w:p>
        </w:tc>
        <w:tc>
          <w:tcPr>
            <w:tcW w:w="104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144</w:t>
            </w:r>
          </w:p>
        </w:tc>
        <w:tc>
          <w:tcPr>
            <w:tcW w:w="935"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31</w:t>
            </w:r>
          </w:p>
        </w:tc>
        <w:tc>
          <w:tcPr>
            <w:tcW w:w="75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22</w:t>
            </w:r>
          </w:p>
        </w:tc>
        <w:tc>
          <w:tcPr>
            <w:tcW w:w="4077" w:type="dxa"/>
            <w:tcBorders>
              <w:top w:val="nil"/>
              <w:left w:val="nil"/>
              <w:bottom w:val="single" w:sz="4" w:space="0" w:color="auto"/>
              <w:right w:val="single" w:sz="4" w:space="0" w:color="auto"/>
            </w:tcBorders>
            <w:shd w:val="clear" w:color="auto" w:fill="auto"/>
          </w:tcPr>
          <w:p w:rsidR="00080EEE" w:rsidRPr="00310207" w:rsidRDefault="00080EEE" w:rsidP="00151BD5">
            <w:pPr>
              <w:rPr>
                <w:rFonts w:ascii="Times New Roman" w:hAnsi="Times New Roman" w:cs="Times New Roman"/>
                <w:sz w:val="18"/>
              </w:rPr>
            </w:pPr>
            <w:r w:rsidRPr="00310207">
              <w:rPr>
                <w:rFonts w:ascii="Times New Roman" w:hAnsi="Times New Roman" w:cs="Times New Roman"/>
                <w:sz w:val="18"/>
              </w:rPr>
              <w:t>Проект розроблений виконавцем робіт,  погоджений замовником і власником телефонної каналізації - ПАТ "Укртелеком".  Роботи виконані не в повному обсязі, завершення планується у 2020 році.</w:t>
            </w:r>
          </w:p>
        </w:tc>
      </w:tr>
      <w:tr w:rsidR="00080EEE" w:rsidRPr="00BE4302" w:rsidTr="00303870">
        <w:trPr>
          <w:trHeight w:val="723"/>
        </w:trPr>
        <w:tc>
          <w:tcPr>
            <w:tcW w:w="2938" w:type="dxa"/>
            <w:tcBorders>
              <w:top w:val="nil"/>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Будівництво Контейнерного терміналу на Карантинному молу</w:t>
            </w:r>
          </w:p>
        </w:tc>
        <w:tc>
          <w:tcPr>
            <w:tcW w:w="104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9 520</w:t>
            </w:r>
          </w:p>
        </w:tc>
        <w:tc>
          <w:tcPr>
            <w:tcW w:w="935"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4 934</w:t>
            </w:r>
          </w:p>
        </w:tc>
        <w:tc>
          <w:tcPr>
            <w:tcW w:w="75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52</w:t>
            </w:r>
          </w:p>
        </w:tc>
        <w:tc>
          <w:tcPr>
            <w:tcW w:w="4077" w:type="dxa"/>
            <w:tcBorders>
              <w:top w:val="nil"/>
              <w:left w:val="nil"/>
              <w:bottom w:val="single" w:sz="4" w:space="0" w:color="auto"/>
              <w:right w:val="single" w:sz="4" w:space="0" w:color="auto"/>
            </w:tcBorders>
            <w:shd w:val="clear" w:color="auto" w:fill="auto"/>
          </w:tcPr>
          <w:p w:rsidR="00080EEE" w:rsidRPr="00310207" w:rsidRDefault="00080EEE" w:rsidP="00151BD5">
            <w:pPr>
              <w:rPr>
                <w:rFonts w:ascii="Times New Roman" w:hAnsi="Times New Roman" w:cs="Times New Roman"/>
                <w:sz w:val="18"/>
              </w:rPr>
            </w:pPr>
            <w:r w:rsidRPr="00310207">
              <w:rPr>
                <w:rFonts w:ascii="Times New Roman" w:hAnsi="Times New Roman" w:cs="Times New Roman"/>
                <w:sz w:val="18"/>
              </w:rPr>
              <w:t>Не відбулася закупівля на коригування проектної документації у зв’язку із скаргою потенційного учасника та розглядом її Антимонопольним комітетом. Вимоги учасника визнані неправомірними (рішення від 18.12.2019 № 18881). Закупівля запланована у першому кварталі 2020 року</w:t>
            </w:r>
          </w:p>
        </w:tc>
      </w:tr>
      <w:tr w:rsidR="00080EEE" w:rsidRPr="00BE4302" w:rsidTr="00303870">
        <w:trPr>
          <w:trHeight w:val="510"/>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Будівництво причалу 1-з</w:t>
            </w:r>
          </w:p>
        </w:tc>
        <w:tc>
          <w:tcPr>
            <w:tcW w:w="1041" w:type="dxa"/>
            <w:tcBorders>
              <w:top w:val="single" w:sz="4" w:space="0" w:color="auto"/>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117 781</w:t>
            </w:r>
          </w:p>
        </w:tc>
        <w:tc>
          <w:tcPr>
            <w:tcW w:w="935" w:type="dxa"/>
            <w:tcBorders>
              <w:top w:val="single" w:sz="4" w:space="0" w:color="auto"/>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16 522</w:t>
            </w:r>
          </w:p>
        </w:tc>
        <w:tc>
          <w:tcPr>
            <w:tcW w:w="751" w:type="dxa"/>
            <w:tcBorders>
              <w:top w:val="single" w:sz="4" w:space="0" w:color="auto"/>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nil"/>
              <w:bottom w:val="single" w:sz="4" w:space="0" w:color="auto"/>
              <w:right w:val="single" w:sz="4" w:space="0" w:color="auto"/>
            </w:tcBorders>
            <w:shd w:val="clear" w:color="auto" w:fill="auto"/>
          </w:tcPr>
          <w:p w:rsidR="00080EEE" w:rsidRPr="00310207" w:rsidRDefault="00080EEE" w:rsidP="00151BD5">
            <w:pPr>
              <w:rPr>
                <w:rFonts w:ascii="Times New Roman" w:hAnsi="Times New Roman" w:cs="Times New Roman"/>
                <w:sz w:val="18"/>
              </w:rPr>
            </w:pPr>
            <w:r w:rsidRPr="00310207">
              <w:rPr>
                <w:rFonts w:ascii="Times New Roman" w:hAnsi="Times New Roman" w:cs="Times New Roman"/>
                <w:sz w:val="18"/>
              </w:rPr>
              <w:t>Затримка будівництва обумовлена непогодженням деяких видів будівельних робіт з боку авторського нагляду, що пов’язано з необхідністю доопрацювання окремих вузлів та конструкцій, в т. ч. додаткових статичних випробувань паль, що за результатами початкових випробувань не забезпечили проектних навантажень.</w:t>
            </w:r>
          </w:p>
        </w:tc>
      </w:tr>
      <w:tr w:rsidR="00080EEE" w:rsidRPr="00BE4302" w:rsidTr="00303870">
        <w:trPr>
          <w:trHeight w:val="510"/>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lastRenderedPageBreak/>
              <w:t>Будівництво ГПП "Красная"</w:t>
            </w:r>
          </w:p>
        </w:tc>
        <w:tc>
          <w:tcPr>
            <w:tcW w:w="1041" w:type="dxa"/>
            <w:tcBorders>
              <w:top w:val="single" w:sz="4" w:space="0" w:color="auto"/>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p>
        </w:tc>
        <w:tc>
          <w:tcPr>
            <w:tcW w:w="935" w:type="dxa"/>
            <w:tcBorders>
              <w:top w:val="single" w:sz="4" w:space="0" w:color="auto"/>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52</w:t>
            </w:r>
          </w:p>
        </w:tc>
        <w:tc>
          <w:tcPr>
            <w:tcW w:w="751" w:type="dxa"/>
            <w:tcBorders>
              <w:top w:val="single" w:sz="4" w:space="0" w:color="auto"/>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p>
        </w:tc>
        <w:tc>
          <w:tcPr>
            <w:tcW w:w="4077" w:type="dxa"/>
            <w:tcBorders>
              <w:top w:val="single" w:sz="4" w:space="0" w:color="auto"/>
              <w:left w:val="nil"/>
              <w:bottom w:val="single" w:sz="4" w:space="0" w:color="auto"/>
              <w:right w:val="single" w:sz="4" w:space="0" w:color="auto"/>
            </w:tcBorders>
            <w:shd w:val="clear" w:color="auto" w:fill="auto"/>
            <w:noWrap/>
          </w:tcPr>
          <w:p w:rsidR="00080EEE" w:rsidRPr="00310207" w:rsidRDefault="00080EEE" w:rsidP="00151BD5">
            <w:pPr>
              <w:rPr>
                <w:rFonts w:ascii="Times New Roman" w:hAnsi="Times New Roman" w:cs="Times New Roman"/>
                <w:sz w:val="18"/>
              </w:rPr>
            </w:pPr>
            <w:r w:rsidRPr="00310207">
              <w:rPr>
                <w:rFonts w:ascii="Times New Roman" w:hAnsi="Times New Roman" w:cs="Times New Roman"/>
                <w:sz w:val="18"/>
              </w:rPr>
              <w:t>Закупівля не відбулась  у зв’язку із затвердженням фінансового плану наприкінці 2019 року. Фактично відображено капіталізацію ПДВ за договором № 2435-В-ОДФ-18</w:t>
            </w:r>
          </w:p>
        </w:tc>
      </w:tr>
      <w:tr w:rsidR="00080EEE" w:rsidRPr="00BE4302" w:rsidTr="00151BD5">
        <w:trPr>
          <w:trHeight w:val="510"/>
        </w:trPr>
        <w:tc>
          <w:tcPr>
            <w:tcW w:w="2938" w:type="dxa"/>
            <w:tcBorders>
              <w:top w:val="nil"/>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 xml:space="preserve">Будівництво бази розміщення суден портового флоту Південної філії  (проектні роботи) </w:t>
            </w:r>
          </w:p>
        </w:tc>
        <w:tc>
          <w:tcPr>
            <w:tcW w:w="104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1 917</w:t>
            </w:r>
          </w:p>
        </w:tc>
        <w:tc>
          <w:tcPr>
            <w:tcW w:w="935"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842</w:t>
            </w:r>
          </w:p>
        </w:tc>
        <w:tc>
          <w:tcPr>
            <w:tcW w:w="75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44</w:t>
            </w:r>
          </w:p>
        </w:tc>
        <w:tc>
          <w:tcPr>
            <w:tcW w:w="4077" w:type="dxa"/>
            <w:tcBorders>
              <w:top w:val="single" w:sz="4" w:space="0" w:color="auto"/>
              <w:left w:val="nil"/>
              <w:bottom w:val="single" w:sz="4" w:space="0" w:color="auto"/>
              <w:right w:val="single" w:sz="4" w:space="0" w:color="auto"/>
            </w:tcBorders>
            <w:shd w:val="clear" w:color="auto" w:fill="auto"/>
          </w:tcPr>
          <w:p w:rsidR="00080EEE" w:rsidRPr="00310207" w:rsidRDefault="00080EEE" w:rsidP="00151BD5">
            <w:pPr>
              <w:rPr>
                <w:rFonts w:ascii="Times New Roman" w:hAnsi="Times New Roman" w:cs="Times New Roman"/>
                <w:sz w:val="18"/>
              </w:rPr>
            </w:pPr>
            <w:r w:rsidRPr="00996E9F">
              <w:rPr>
                <w:rFonts w:ascii="Times New Roman" w:hAnsi="Times New Roman" w:cs="Times New Roman"/>
                <w:sz w:val="18"/>
              </w:rPr>
              <w:t>Проектна документація розроблена, отриманий позитивний експертний звіт.  Проект не затверджений. В поточному році передбачено коригування проектної документації (стадії ТЕО) та укладений договір з ДП "ЧорноморНДІпроект" від 01.10.19 № 11А-496/352-В-ПВФ-19</w:t>
            </w:r>
            <w:r w:rsidRPr="00996E9F">
              <w:rPr>
                <w:rFonts w:ascii="Times New Roman" w:hAnsi="Times New Roman" w:cs="Times New Roman"/>
                <w:sz w:val="18"/>
              </w:rPr>
              <w:tab/>
            </w:r>
            <w:r w:rsidRPr="00996E9F">
              <w:rPr>
                <w:rFonts w:ascii="Times New Roman" w:hAnsi="Times New Roman" w:cs="Times New Roman"/>
                <w:sz w:val="18"/>
              </w:rPr>
              <w:tab/>
            </w:r>
            <w:r w:rsidRPr="00996E9F">
              <w:rPr>
                <w:rFonts w:ascii="Times New Roman" w:hAnsi="Times New Roman" w:cs="Times New Roman"/>
                <w:sz w:val="18"/>
              </w:rPr>
              <w:tab/>
            </w:r>
            <w:r w:rsidRPr="00996E9F">
              <w:rPr>
                <w:rFonts w:ascii="Times New Roman" w:hAnsi="Times New Roman" w:cs="Times New Roman"/>
                <w:sz w:val="18"/>
              </w:rPr>
              <w:tab/>
            </w:r>
          </w:p>
        </w:tc>
      </w:tr>
      <w:tr w:rsidR="00080EEE" w:rsidRPr="00BE4302" w:rsidTr="00151BD5">
        <w:trPr>
          <w:trHeight w:val="510"/>
        </w:trPr>
        <w:tc>
          <w:tcPr>
            <w:tcW w:w="2938" w:type="dxa"/>
            <w:tcBorders>
              <w:top w:val="nil"/>
              <w:left w:val="single" w:sz="4" w:space="0" w:color="auto"/>
              <w:bottom w:val="single" w:sz="4" w:space="0" w:color="auto"/>
              <w:right w:val="single" w:sz="4" w:space="0" w:color="auto"/>
            </w:tcBorders>
            <w:shd w:val="clear" w:color="auto" w:fill="auto"/>
            <w:hideMark/>
          </w:tcPr>
          <w:p w:rsidR="00080EEE" w:rsidRPr="004D2C60" w:rsidRDefault="00080EEE" w:rsidP="00151BD5">
            <w:pPr>
              <w:rPr>
                <w:rFonts w:ascii="Times New Roman" w:hAnsi="Times New Roman" w:cs="Times New Roman"/>
              </w:rPr>
            </w:pPr>
            <w:r w:rsidRPr="004D2C60">
              <w:rPr>
                <w:rFonts w:ascii="Times New Roman" w:hAnsi="Times New Roman" w:cs="Times New Roman"/>
              </w:rPr>
              <w:t xml:space="preserve">Будівництво 1-го і 2-го колін та нової частини 3-го коліна морського підхідного каналу порту "Южний" </w:t>
            </w:r>
          </w:p>
        </w:tc>
        <w:tc>
          <w:tcPr>
            <w:tcW w:w="104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2 185</w:t>
            </w:r>
          </w:p>
        </w:tc>
        <w:tc>
          <w:tcPr>
            <w:tcW w:w="935"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482</w:t>
            </w:r>
          </w:p>
        </w:tc>
        <w:tc>
          <w:tcPr>
            <w:tcW w:w="751" w:type="dxa"/>
            <w:tcBorders>
              <w:top w:val="nil"/>
              <w:left w:val="nil"/>
              <w:bottom w:val="single" w:sz="4" w:space="0" w:color="auto"/>
              <w:right w:val="single" w:sz="4" w:space="0" w:color="auto"/>
            </w:tcBorders>
            <w:shd w:val="clear" w:color="auto" w:fill="auto"/>
            <w:noWrap/>
          </w:tcPr>
          <w:p w:rsidR="00080EEE" w:rsidRPr="004D2C60" w:rsidRDefault="00080EEE" w:rsidP="00151BD5">
            <w:pPr>
              <w:rPr>
                <w:rFonts w:ascii="Times New Roman" w:hAnsi="Times New Roman" w:cs="Times New Roman"/>
              </w:rPr>
            </w:pPr>
            <w:r>
              <w:rPr>
                <w:rFonts w:ascii="Times New Roman" w:hAnsi="Times New Roman" w:cs="Times New Roman"/>
              </w:rPr>
              <w:t>22</w:t>
            </w:r>
          </w:p>
        </w:tc>
        <w:tc>
          <w:tcPr>
            <w:tcW w:w="4077" w:type="dxa"/>
            <w:tcBorders>
              <w:top w:val="nil"/>
              <w:left w:val="nil"/>
              <w:bottom w:val="single" w:sz="4" w:space="0" w:color="auto"/>
              <w:right w:val="single" w:sz="4" w:space="0" w:color="auto"/>
            </w:tcBorders>
            <w:shd w:val="clear" w:color="auto" w:fill="auto"/>
          </w:tcPr>
          <w:p w:rsidR="00080EEE" w:rsidRPr="00BA4500" w:rsidRDefault="00080EEE" w:rsidP="00151BD5">
            <w:pPr>
              <w:rPr>
                <w:rFonts w:ascii="Times New Roman" w:hAnsi="Times New Roman" w:cs="Times New Roman"/>
                <w:sz w:val="20"/>
              </w:rPr>
            </w:pPr>
            <w:r w:rsidRPr="00764574">
              <w:rPr>
                <w:rFonts w:ascii="Times New Roman" w:hAnsi="Times New Roman" w:cs="Times New Roman"/>
                <w:sz w:val="18"/>
              </w:rPr>
              <w:t xml:space="preserve">У зв'язку із затвердженням фінансового плану наприкінці 2019 року </w:t>
            </w:r>
            <w:r>
              <w:rPr>
                <w:rFonts w:ascii="Times New Roman" w:hAnsi="Times New Roman" w:cs="Times New Roman"/>
                <w:sz w:val="18"/>
              </w:rPr>
              <w:t>роботи не виконані в повному обсязі</w:t>
            </w:r>
          </w:p>
        </w:tc>
      </w:tr>
    </w:tbl>
    <w:p w:rsidR="00080EEE" w:rsidRDefault="00080EEE" w:rsidP="00080EEE">
      <w:pPr>
        <w:spacing w:after="0" w:line="240" w:lineRule="auto"/>
        <w:ind w:firstLine="567"/>
        <w:jc w:val="center"/>
        <w:rPr>
          <w:rFonts w:ascii="Times New Roman" w:hAnsi="Times New Roman" w:cs="Times New Roman"/>
        </w:rPr>
      </w:pPr>
    </w:p>
    <w:p w:rsidR="00080EEE" w:rsidRDefault="00080EEE" w:rsidP="00080EEE">
      <w:pPr>
        <w:spacing w:after="0" w:line="240" w:lineRule="auto"/>
        <w:ind w:firstLine="567"/>
        <w:jc w:val="center"/>
        <w:rPr>
          <w:rFonts w:ascii="Times New Roman" w:hAnsi="Times New Roman" w:cs="Times New Roman"/>
        </w:rPr>
      </w:pPr>
      <w:r w:rsidRPr="00A710DB">
        <w:rPr>
          <w:rFonts w:ascii="Times New Roman" w:hAnsi="Times New Roman" w:cs="Times New Roman"/>
        </w:rPr>
        <w:t xml:space="preserve">  </w:t>
      </w:r>
    </w:p>
    <w:p w:rsidR="00080EEE" w:rsidRPr="00A710DB" w:rsidRDefault="00080EEE" w:rsidP="00080EEE">
      <w:pPr>
        <w:spacing w:after="0" w:line="240" w:lineRule="auto"/>
        <w:ind w:firstLine="567"/>
        <w:jc w:val="center"/>
        <w:rPr>
          <w:rFonts w:ascii="Times New Roman" w:eastAsia="Times New Roman" w:hAnsi="Times New Roman" w:cs="Times New Roman"/>
          <w:b/>
          <w:sz w:val="28"/>
          <w:szCs w:val="28"/>
          <w:lang w:eastAsia="ru-RU"/>
        </w:rPr>
      </w:pPr>
      <w:r w:rsidRPr="00A710DB">
        <w:rPr>
          <w:rFonts w:ascii="Times New Roman" w:eastAsia="Times New Roman" w:hAnsi="Times New Roman" w:cs="Times New Roman"/>
          <w:b/>
          <w:sz w:val="28"/>
          <w:szCs w:val="28"/>
        </w:rPr>
        <w:t xml:space="preserve">Придбання (виготовлення) основних засобів </w:t>
      </w:r>
      <w:r w:rsidRPr="00A710DB">
        <w:rPr>
          <w:rFonts w:ascii="Times New Roman" w:eastAsia="Times New Roman" w:hAnsi="Times New Roman" w:cs="Times New Roman"/>
          <w:b/>
          <w:sz w:val="28"/>
          <w:szCs w:val="28"/>
          <w:lang w:eastAsia="ru-RU"/>
        </w:rPr>
        <w:t xml:space="preserve">(рядок 4020) </w:t>
      </w:r>
    </w:p>
    <w:p w:rsidR="00080EEE" w:rsidRPr="00A710DB" w:rsidRDefault="00080EEE" w:rsidP="00080EEE">
      <w:pPr>
        <w:spacing w:after="0" w:line="240" w:lineRule="auto"/>
        <w:ind w:firstLine="567"/>
        <w:jc w:val="both"/>
        <w:rPr>
          <w:rFonts w:ascii="Times New Roman" w:hAnsi="Times New Roman"/>
          <w:sz w:val="28"/>
          <w:szCs w:val="28"/>
        </w:rPr>
      </w:pPr>
      <w:r w:rsidRPr="00A710DB">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uk-UA"/>
        </w:rPr>
        <w:t>2019</w:t>
      </w:r>
      <w:r w:rsidRPr="00A710DB">
        <w:rPr>
          <w:rFonts w:ascii="Times New Roman" w:eastAsia="Times New Roman" w:hAnsi="Times New Roman" w:cs="Times New Roman"/>
          <w:sz w:val="28"/>
          <w:szCs w:val="28"/>
          <w:lang w:eastAsia="uk-UA"/>
        </w:rPr>
        <w:t xml:space="preserve"> рік </w:t>
      </w:r>
      <w:r w:rsidRPr="00A710DB">
        <w:rPr>
          <w:rFonts w:ascii="Times New Roman" w:eastAsia="Times New Roman" w:hAnsi="Times New Roman" w:cs="Times New Roman"/>
          <w:sz w:val="28"/>
          <w:szCs w:val="28"/>
        </w:rPr>
        <w:t>придбання (виготовлення) основних засобів</w:t>
      </w:r>
      <w:r w:rsidRPr="00A710DB">
        <w:rPr>
          <w:rFonts w:ascii="Times New Roman" w:eastAsia="Times New Roman" w:hAnsi="Times New Roman" w:cs="Times New Roman"/>
          <w:b/>
          <w:sz w:val="28"/>
          <w:szCs w:val="28"/>
          <w:lang w:eastAsia="ru-RU"/>
        </w:rPr>
        <w:t xml:space="preserve"> </w:t>
      </w:r>
      <w:r w:rsidRPr="00A710DB">
        <w:rPr>
          <w:rFonts w:ascii="Times New Roman" w:eastAsia="Times New Roman" w:hAnsi="Times New Roman" w:cs="Times New Roman"/>
          <w:sz w:val="28"/>
          <w:szCs w:val="28"/>
        </w:rPr>
        <w:t xml:space="preserve">складає </w:t>
      </w:r>
      <w:r>
        <w:rPr>
          <w:rFonts w:ascii="Times New Roman" w:eastAsia="Times New Roman" w:hAnsi="Times New Roman" w:cs="Times New Roman"/>
          <w:sz w:val="28"/>
          <w:szCs w:val="28"/>
        </w:rPr>
        <w:t>31 876</w:t>
      </w:r>
      <w:r w:rsidRPr="00A710DB">
        <w:rPr>
          <w:rFonts w:ascii="Times New Roman" w:eastAsia="Times New Roman" w:hAnsi="Times New Roman" w:cs="Times New Roman"/>
          <w:sz w:val="28"/>
          <w:szCs w:val="28"/>
        </w:rPr>
        <w:t xml:space="preserve"> тис. грн., </w:t>
      </w:r>
      <w:r w:rsidRPr="00A710DB">
        <w:rPr>
          <w:rFonts w:ascii="Times New Roman" w:hAnsi="Times New Roman"/>
          <w:sz w:val="28"/>
          <w:szCs w:val="28"/>
        </w:rPr>
        <w:t xml:space="preserve">що становить </w:t>
      </w:r>
      <w:r>
        <w:rPr>
          <w:rFonts w:ascii="Times New Roman" w:hAnsi="Times New Roman"/>
          <w:sz w:val="28"/>
          <w:szCs w:val="28"/>
        </w:rPr>
        <w:t>28</w:t>
      </w:r>
      <w:r w:rsidRPr="00157130">
        <w:rPr>
          <w:rFonts w:ascii="Times New Roman" w:hAnsi="Times New Roman"/>
          <w:sz w:val="28"/>
          <w:szCs w:val="28"/>
        </w:rPr>
        <w:t xml:space="preserve"> %</w:t>
      </w:r>
      <w:r w:rsidRPr="00A710DB">
        <w:rPr>
          <w:rFonts w:ascii="Times New Roman" w:hAnsi="Times New Roman"/>
          <w:sz w:val="28"/>
          <w:szCs w:val="28"/>
        </w:rPr>
        <w:t xml:space="preserve"> плану освоєння. </w:t>
      </w:r>
      <w:r w:rsidRPr="00723E1C">
        <w:rPr>
          <w:rFonts w:ascii="Times New Roman" w:hAnsi="Times New Roman"/>
          <w:sz w:val="28"/>
          <w:szCs w:val="28"/>
        </w:rPr>
        <w:t>Затвердження фінансового плану у грудні звітного року унеможливило виконання взятих зобов’язань щодо оплати та, відповідно, прийняття основних засобів в 2019 році навіть за укладеними договорами з відкладальними обставинами.</w:t>
      </w:r>
    </w:p>
    <w:p w:rsidR="00080EEE" w:rsidRPr="00A710DB" w:rsidRDefault="00080EEE" w:rsidP="00080EEE">
      <w:pPr>
        <w:spacing w:after="0" w:line="240" w:lineRule="auto"/>
        <w:jc w:val="right"/>
        <w:rPr>
          <w:rFonts w:ascii="Times New Roman" w:eastAsia="Times New Roman" w:hAnsi="Times New Roman" w:cs="Times New Roman"/>
          <w:sz w:val="24"/>
          <w:szCs w:val="24"/>
          <w:lang w:eastAsia="ru-RU"/>
        </w:rPr>
      </w:pPr>
    </w:p>
    <w:p w:rsidR="00080EEE" w:rsidRDefault="00080EEE" w:rsidP="00080E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19</w:t>
      </w:r>
      <w:r w:rsidRPr="00A710DB">
        <w:rPr>
          <w:rFonts w:ascii="Times New Roman" w:eastAsia="Times New Roman" w:hAnsi="Times New Roman" w:cs="Times New Roman"/>
          <w:sz w:val="24"/>
          <w:szCs w:val="24"/>
          <w:lang w:eastAsia="ru-RU"/>
        </w:rPr>
        <w:t xml:space="preserve"> (тис. грн.)</w:t>
      </w:r>
    </w:p>
    <w:tbl>
      <w:tblPr>
        <w:tblW w:w="9634" w:type="dxa"/>
        <w:tblLook w:val="04A0" w:firstRow="1" w:lastRow="0" w:firstColumn="1" w:lastColumn="0" w:noHBand="0" w:noVBand="1"/>
      </w:tblPr>
      <w:tblGrid>
        <w:gridCol w:w="6091"/>
        <w:gridCol w:w="1275"/>
        <w:gridCol w:w="1101"/>
        <w:gridCol w:w="1167"/>
      </w:tblGrid>
      <w:tr w:rsidR="00080EEE" w:rsidRPr="00206247" w:rsidTr="00151BD5">
        <w:trPr>
          <w:trHeight w:val="420"/>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206247">
              <w:rPr>
                <w:rFonts w:ascii="Times New Roman" w:eastAsia="Times New Roman" w:hAnsi="Times New Roman" w:cs="Times New Roman"/>
                <w:color w:val="000000"/>
                <w:sz w:val="20"/>
                <w:szCs w:val="20"/>
                <w:lang w:val="ru-RU" w:eastAsia="ru-RU"/>
              </w:rPr>
              <w:t>Найменування об'єкту</w:t>
            </w:r>
          </w:p>
        </w:tc>
        <w:tc>
          <w:tcPr>
            <w:tcW w:w="23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80EEE" w:rsidRPr="00206247" w:rsidRDefault="00080EEE" w:rsidP="00151BD5">
            <w:pPr>
              <w:spacing w:after="0" w:line="240" w:lineRule="auto"/>
              <w:jc w:val="center"/>
              <w:rPr>
                <w:rFonts w:ascii="Times New Roman" w:eastAsia="Times New Roman" w:hAnsi="Times New Roman" w:cs="Times New Roman"/>
                <w:color w:val="000000"/>
                <w:sz w:val="18"/>
                <w:szCs w:val="18"/>
                <w:lang w:val="ru-RU" w:eastAsia="ru-RU"/>
              </w:rPr>
            </w:pPr>
            <w:r w:rsidRPr="00206247">
              <w:rPr>
                <w:rFonts w:ascii="Times New Roman" w:eastAsia="Times New Roman" w:hAnsi="Times New Roman" w:cs="Times New Roman"/>
                <w:color w:val="000000"/>
                <w:sz w:val="18"/>
                <w:szCs w:val="18"/>
                <w:lang w:val="ru-RU" w:eastAsia="ru-RU"/>
              </w:rPr>
              <w:t>201</w:t>
            </w:r>
            <w:r>
              <w:rPr>
                <w:rFonts w:ascii="Times New Roman" w:eastAsia="Times New Roman" w:hAnsi="Times New Roman" w:cs="Times New Roman"/>
                <w:color w:val="000000"/>
                <w:sz w:val="18"/>
                <w:szCs w:val="18"/>
                <w:lang w:val="ru-RU" w:eastAsia="ru-RU"/>
              </w:rPr>
              <w:t>9</w:t>
            </w:r>
          </w:p>
        </w:tc>
        <w:tc>
          <w:tcPr>
            <w:tcW w:w="1167" w:type="dxa"/>
            <w:vMerge w:val="restart"/>
            <w:tcBorders>
              <w:top w:val="single" w:sz="4" w:space="0" w:color="auto"/>
              <w:left w:val="single" w:sz="4" w:space="0" w:color="auto"/>
              <w:right w:val="single" w:sz="4" w:space="0" w:color="auto"/>
            </w:tcBorders>
            <w:shd w:val="clear" w:color="auto" w:fill="auto"/>
            <w:vAlign w:val="center"/>
            <w:hideMark/>
          </w:tcPr>
          <w:p w:rsidR="00080EEE" w:rsidRPr="00206247" w:rsidRDefault="00080EEE" w:rsidP="00151BD5">
            <w:pPr>
              <w:spacing w:after="0" w:line="240" w:lineRule="auto"/>
              <w:jc w:val="center"/>
              <w:rPr>
                <w:rFonts w:ascii="Times New Roman" w:eastAsia="Times New Roman" w:hAnsi="Times New Roman" w:cs="Times New Roman"/>
                <w:color w:val="000000"/>
                <w:sz w:val="18"/>
                <w:szCs w:val="18"/>
                <w:lang w:val="ru-RU" w:eastAsia="ru-RU"/>
              </w:rPr>
            </w:pPr>
            <w:r w:rsidRPr="00206247">
              <w:rPr>
                <w:rFonts w:ascii="Times New Roman" w:eastAsia="Times New Roman" w:hAnsi="Times New Roman" w:cs="Times New Roman"/>
                <w:color w:val="000000"/>
                <w:sz w:val="18"/>
                <w:szCs w:val="18"/>
                <w:lang w:val="ru-RU" w:eastAsia="ru-RU"/>
              </w:rPr>
              <w:t>викон,%</w:t>
            </w:r>
          </w:p>
        </w:tc>
      </w:tr>
      <w:tr w:rsidR="00080EEE" w:rsidRPr="00206247" w:rsidTr="00151BD5">
        <w:trPr>
          <w:trHeight w:val="375"/>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080EEE" w:rsidRPr="00206247" w:rsidRDefault="00080EEE" w:rsidP="00151BD5">
            <w:pPr>
              <w:spacing w:after="0" w:line="240" w:lineRule="auto"/>
              <w:rPr>
                <w:rFonts w:ascii="Times New Roman" w:eastAsia="Times New Roman" w:hAnsi="Times New Roman" w:cs="Times New Roman"/>
                <w:color w:val="000000"/>
                <w:sz w:val="20"/>
                <w:szCs w:val="2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206247">
              <w:rPr>
                <w:rFonts w:ascii="Times New Roman" w:eastAsia="Times New Roman" w:hAnsi="Times New Roman" w:cs="Times New Roman"/>
                <w:color w:val="000000"/>
                <w:sz w:val="20"/>
                <w:szCs w:val="20"/>
                <w:lang w:val="ru-RU" w:eastAsia="ru-RU"/>
              </w:rPr>
              <w:t>план</w:t>
            </w:r>
          </w:p>
        </w:tc>
        <w:tc>
          <w:tcPr>
            <w:tcW w:w="1101" w:type="dxa"/>
            <w:tcBorders>
              <w:top w:val="nil"/>
              <w:left w:val="nil"/>
              <w:bottom w:val="single" w:sz="4" w:space="0" w:color="auto"/>
              <w:right w:val="single" w:sz="4" w:space="0" w:color="auto"/>
            </w:tcBorders>
            <w:shd w:val="clear" w:color="auto" w:fill="auto"/>
            <w:noWrap/>
            <w:vAlign w:val="center"/>
            <w:hideMark/>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sidRPr="00206247">
              <w:rPr>
                <w:rFonts w:ascii="Times New Roman" w:eastAsia="Times New Roman" w:hAnsi="Times New Roman" w:cs="Times New Roman"/>
                <w:color w:val="000000"/>
                <w:sz w:val="20"/>
                <w:szCs w:val="20"/>
                <w:lang w:val="ru-RU" w:eastAsia="ru-RU"/>
              </w:rPr>
              <w:t>факт</w:t>
            </w:r>
          </w:p>
        </w:tc>
        <w:tc>
          <w:tcPr>
            <w:tcW w:w="1167" w:type="dxa"/>
            <w:vMerge/>
            <w:tcBorders>
              <w:left w:val="single" w:sz="4" w:space="0" w:color="auto"/>
              <w:bottom w:val="single" w:sz="4" w:space="0" w:color="auto"/>
              <w:right w:val="single" w:sz="4" w:space="0" w:color="auto"/>
            </w:tcBorders>
            <w:vAlign w:val="center"/>
            <w:hideMark/>
          </w:tcPr>
          <w:p w:rsidR="00080EEE" w:rsidRPr="00206247" w:rsidRDefault="00080EEE" w:rsidP="00151BD5">
            <w:pPr>
              <w:spacing w:after="0" w:line="240" w:lineRule="auto"/>
              <w:rPr>
                <w:rFonts w:ascii="Times New Roman" w:eastAsia="Times New Roman" w:hAnsi="Times New Roman" w:cs="Times New Roman"/>
                <w:color w:val="000000"/>
                <w:sz w:val="18"/>
                <w:szCs w:val="18"/>
                <w:lang w:val="ru-RU" w:eastAsia="ru-RU"/>
              </w:rPr>
            </w:pPr>
          </w:p>
        </w:tc>
      </w:tr>
      <w:tr w:rsidR="00080EEE" w:rsidRPr="00206247" w:rsidTr="00151BD5">
        <w:trPr>
          <w:trHeight w:val="37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80EEE" w:rsidRPr="00206247" w:rsidRDefault="00080EEE" w:rsidP="00151BD5">
            <w:pPr>
              <w:spacing w:after="0" w:line="240" w:lineRule="auto"/>
              <w:rPr>
                <w:rFonts w:ascii="Times New Roman" w:eastAsia="Times New Roman" w:hAnsi="Times New Roman" w:cs="Times New Roman"/>
                <w:b/>
                <w:bCs/>
                <w:color w:val="000000"/>
                <w:sz w:val="20"/>
                <w:szCs w:val="20"/>
                <w:lang w:val="ru-RU" w:eastAsia="ru-RU"/>
              </w:rPr>
            </w:pPr>
            <w:r w:rsidRPr="00206247">
              <w:rPr>
                <w:rFonts w:ascii="Times New Roman" w:eastAsia="Times New Roman" w:hAnsi="Times New Roman" w:cs="Times New Roman"/>
                <w:b/>
                <w:bCs/>
                <w:color w:val="000000"/>
                <w:sz w:val="20"/>
                <w:szCs w:val="20"/>
                <w:lang w:val="ru-RU" w:eastAsia="ru-RU"/>
              </w:rPr>
              <w:t>Придбання (виготовлення) основних засобів</w:t>
            </w:r>
          </w:p>
        </w:tc>
        <w:tc>
          <w:tcPr>
            <w:tcW w:w="1275"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113 999</w:t>
            </w:r>
          </w:p>
        </w:tc>
        <w:tc>
          <w:tcPr>
            <w:tcW w:w="1101"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31 876</w:t>
            </w:r>
          </w:p>
        </w:tc>
        <w:tc>
          <w:tcPr>
            <w:tcW w:w="1167"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28</w:t>
            </w:r>
          </w:p>
        </w:tc>
      </w:tr>
      <w:tr w:rsidR="00080EEE" w:rsidRPr="00206247" w:rsidTr="00151BD5">
        <w:trPr>
          <w:trHeight w:val="37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80EEE" w:rsidRPr="00424290" w:rsidRDefault="00080EEE" w:rsidP="00151BD5">
            <w:pPr>
              <w:spacing w:after="0" w:line="240" w:lineRule="auto"/>
              <w:rPr>
                <w:rFonts w:ascii="Times New Roman" w:eastAsia="Times New Roman" w:hAnsi="Times New Roman" w:cs="Times New Roman"/>
                <w:color w:val="000000"/>
                <w:sz w:val="20"/>
                <w:szCs w:val="24"/>
                <w:lang w:val="ru-RU" w:eastAsia="ru-RU"/>
              </w:rPr>
            </w:pPr>
            <w:r w:rsidRPr="00424290">
              <w:rPr>
                <w:rFonts w:ascii="Times New Roman" w:eastAsia="Times New Roman" w:hAnsi="Times New Roman" w:cs="Times New Roman"/>
                <w:color w:val="000000"/>
                <w:sz w:val="20"/>
                <w:szCs w:val="24"/>
                <w:lang w:val="ru-RU" w:eastAsia="ru-RU"/>
              </w:rPr>
              <w:t>Плавзасоби</w:t>
            </w:r>
          </w:p>
        </w:tc>
        <w:tc>
          <w:tcPr>
            <w:tcW w:w="1275"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49 103</w:t>
            </w:r>
          </w:p>
        </w:tc>
        <w:tc>
          <w:tcPr>
            <w:tcW w:w="1101"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7 173</w:t>
            </w:r>
          </w:p>
        </w:tc>
        <w:tc>
          <w:tcPr>
            <w:tcW w:w="1167"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w:t>
            </w:r>
          </w:p>
        </w:tc>
      </w:tr>
      <w:tr w:rsidR="00080EEE" w:rsidRPr="00206247" w:rsidTr="00151BD5">
        <w:trPr>
          <w:trHeight w:val="36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80EEE" w:rsidRPr="00424290" w:rsidRDefault="00080EEE" w:rsidP="00151BD5">
            <w:pPr>
              <w:spacing w:after="0" w:line="240" w:lineRule="auto"/>
              <w:rPr>
                <w:rFonts w:ascii="Times New Roman" w:eastAsia="Times New Roman" w:hAnsi="Times New Roman" w:cs="Times New Roman"/>
                <w:color w:val="000000"/>
                <w:sz w:val="20"/>
                <w:szCs w:val="24"/>
                <w:lang w:val="ru-RU" w:eastAsia="ru-RU"/>
              </w:rPr>
            </w:pPr>
            <w:r w:rsidRPr="00424290">
              <w:rPr>
                <w:rFonts w:ascii="Times New Roman" w:eastAsia="Times New Roman" w:hAnsi="Times New Roman" w:cs="Times New Roman"/>
                <w:color w:val="000000"/>
                <w:sz w:val="20"/>
                <w:szCs w:val="24"/>
                <w:lang w:val="ru-RU" w:eastAsia="ru-RU"/>
              </w:rPr>
              <w:t>Автотранспорт</w:t>
            </w:r>
          </w:p>
        </w:tc>
        <w:tc>
          <w:tcPr>
            <w:tcW w:w="1275"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2 417</w:t>
            </w:r>
          </w:p>
        </w:tc>
        <w:tc>
          <w:tcPr>
            <w:tcW w:w="1101"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p>
        </w:tc>
        <w:tc>
          <w:tcPr>
            <w:tcW w:w="1167"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p>
        </w:tc>
      </w:tr>
      <w:tr w:rsidR="00080EEE" w:rsidRPr="00206247" w:rsidTr="00151BD5">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80EEE" w:rsidRPr="00424290" w:rsidRDefault="00080EEE" w:rsidP="00151BD5">
            <w:pPr>
              <w:spacing w:after="0" w:line="240" w:lineRule="auto"/>
              <w:rPr>
                <w:rFonts w:ascii="Times New Roman" w:eastAsia="Times New Roman" w:hAnsi="Times New Roman" w:cs="Times New Roman"/>
                <w:color w:val="000000"/>
                <w:sz w:val="20"/>
                <w:szCs w:val="24"/>
                <w:lang w:val="ru-RU" w:eastAsia="ru-RU"/>
              </w:rPr>
            </w:pPr>
            <w:r w:rsidRPr="00424290">
              <w:rPr>
                <w:rFonts w:ascii="Times New Roman" w:eastAsia="Times New Roman" w:hAnsi="Times New Roman" w:cs="Times New Roman"/>
                <w:color w:val="000000"/>
                <w:sz w:val="20"/>
                <w:szCs w:val="24"/>
                <w:lang w:val="ru-RU" w:eastAsia="ru-RU"/>
              </w:rPr>
              <w:t xml:space="preserve">Серверне та комунікаційне обладнання, засоби обчислювальної техніки </w:t>
            </w:r>
          </w:p>
        </w:tc>
        <w:tc>
          <w:tcPr>
            <w:tcW w:w="1275"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55 356</w:t>
            </w:r>
          </w:p>
        </w:tc>
        <w:tc>
          <w:tcPr>
            <w:tcW w:w="1101"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20 993</w:t>
            </w:r>
          </w:p>
        </w:tc>
        <w:tc>
          <w:tcPr>
            <w:tcW w:w="1167"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38</w:t>
            </w:r>
          </w:p>
        </w:tc>
      </w:tr>
      <w:tr w:rsidR="00080EEE" w:rsidRPr="00206247" w:rsidTr="00151BD5">
        <w:trPr>
          <w:trHeight w:val="41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80EEE" w:rsidRPr="00424290" w:rsidRDefault="00080EEE" w:rsidP="00151BD5">
            <w:pPr>
              <w:spacing w:after="0" w:line="240" w:lineRule="auto"/>
              <w:rPr>
                <w:rFonts w:ascii="Times New Roman" w:eastAsia="Times New Roman" w:hAnsi="Times New Roman" w:cs="Times New Roman"/>
                <w:color w:val="000000"/>
                <w:sz w:val="20"/>
                <w:szCs w:val="24"/>
                <w:lang w:val="ru-RU" w:eastAsia="ru-RU"/>
              </w:rPr>
            </w:pPr>
            <w:r w:rsidRPr="00424290">
              <w:rPr>
                <w:rFonts w:ascii="Times New Roman" w:eastAsia="Times New Roman" w:hAnsi="Times New Roman" w:cs="Times New Roman"/>
                <w:color w:val="000000"/>
                <w:sz w:val="20"/>
                <w:szCs w:val="24"/>
                <w:lang w:val="ru-RU" w:eastAsia="ru-RU"/>
              </w:rPr>
              <w:t>Машини, обладнання, прилади, інструменти, інвентар, меблі</w:t>
            </w:r>
          </w:p>
        </w:tc>
        <w:tc>
          <w:tcPr>
            <w:tcW w:w="1275"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7 123</w:t>
            </w:r>
          </w:p>
        </w:tc>
        <w:tc>
          <w:tcPr>
            <w:tcW w:w="1101"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3 710</w:t>
            </w:r>
          </w:p>
        </w:tc>
        <w:tc>
          <w:tcPr>
            <w:tcW w:w="1167" w:type="dxa"/>
            <w:tcBorders>
              <w:top w:val="nil"/>
              <w:left w:val="nil"/>
              <w:bottom w:val="single" w:sz="4" w:space="0" w:color="auto"/>
              <w:right w:val="single" w:sz="4" w:space="0" w:color="auto"/>
            </w:tcBorders>
            <w:shd w:val="clear" w:color="auto" w:fill="auto"/>
            <w:noWrap/>
            <w:vAlign w:val="center"/>
          </w:tcPr>
          <w:p w:rsidR="00080EEE" w:rsidRPr="00206247" w:rsidRDefault="00080EEE" w:rsidP="00151BD5">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52</w:t>
            </w:r>
          </w:p>
        </w:tc>
      </w:tr>
    </w:tbl>
    <w:p w:rsidR="00080EEE" w:rsidRDefault="00080EEE" w:rsidP="00080EEE">
      <w:pPr>
        <w:spacing w:after="0" w:line="240" w:lineRule="auto"/>
        <w:rPr>
          <w:rFonts w:ascii="Times New Roman" w:eastAsia="Times New Roman" w:hAnsi="Times New Roman" w:cs="Times New Roman"/>
          <w:sz w:val="24"/>
          <w:szCs w:val="24"/>
          <w:lang w:eastAsia="ru-RU"/>
        </w:rPr>
      </w:pPr>
    </w:p>
    <w:p w:rsidR="00080EEE" w:rsidRPr="00A710DB" w:rsidRDefault="00080EEE" w:rsidP="00080EEE">
      <w:pPr>
        <w:spacing w:after="0" w:line="240" w:lineRule="auto"/>
        <w:jc w:val="right"/>
        <w:rPr>
          <w:rFonts w:ascii="Times New Roman" w:eastAsia="Times New Roman" w:hAnsi="Times New Roman" w:cs="Times New Roman"/>
          <w:sz w:val="24"/>
          <w:szCs w:val="24"/>
          <w:lang w:eastAsia="ru-RU"/>
        </w:rPr>
      </w:pPr>
    </w:p>
    <w:p w:rsidR="00080EEE" w:rsidRPr="00A710DB" w:rsidRDefault="00080EEE" w:rsidP="00080EEE">
      <w:pPr>
        <w:spacing w:after="0" w:line="240" w:lineRule="auto"/>
        <w:ind w:firstLine="567"/>
        <w:jc w:val="right"/>
        <w:rPr>
          <w:rFonts w:ascii="Times New Roman" w:eastAsia="Times New Roman" w:hAnsi="Times New Roman" w:cs="Times New Roman"/>
          <w:sz w:val="24"/>
          <w:szCs w:val="24"/>
        </w:rPr>
      </w:pPr>
    </w:p>
    <w:p w:rsidR="00080EEE" w:rsidRPr="008D3B37" w:rsidRDefault="00080EEE" w:rsidP="00080EEE">
      <w:pPr>
        <w:spacing w:after="0" w:line="240" w:lineRule="auto"/>
        <w:ind w:firstLine="567"/>
        <w:jc w:val="both"/>
        <w:rPr>
          <w:rFonts w:ascii="Times New Roman" w:eastAsia="Times New Roman" w:hAnsi="Times New Roman" w:cs="Times New Roman"/>
          <w:b/>
          <w:sz w:val="28"/>
          <w:szCs w:val="28"/>
        </w:rPr>
      </w:pPr>
      <w:r w:rsidRPr="008D3B37">
        <w:rPr>
          <w:rFonts w:ascii="Times New Roman" w:eastAsia="Times New Roman" w:hAnsi="Times New Roman" w:cs="Times New Roman"/>
          <w:b/>
          <w:sz w:val="28"/>
          <w:szCs w:val="28"/>
        </w:rPr>
        <w:t>Придбання (створення) нематеріальних активів (рядок 4040)</w:t>
      </w:r>
    </w:p>
    <w:p w:rsidR="00080EEE" w:rsidRPr="00E05432" w:rsidRDefault="00080EEE" w:rsidP="00080EEE">
      <w:pPr>
        <w:spacing w:after="0" w:line="240" w:lineRule="auto"/>
        <w:ind w:firstLine="567"/>
        <w:jc w:val="both"/>
        <w:rPr>
          <w:rFonts w:ascii="Times New Roman" w:hAnsi="Times New Roman" w:cs="Times New Roman"/>
          <w:sz w:val="28"/>
        </w:rPr>
      </w:pPr>
      <w:r w:rsidRPr="00A710DB">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uk-UA"/>
        </w:rPr>
        <w:t>2019</w:t>
      </w:r>
      <w:r w:rsidRPr="00A710DB">
        <w:rPr>
          <w:rFonts w:ascii="Times New Roman" w:eastAsia="Times New Roman" w:hAnsi="Times New Roman" w:cs="Times New Roman"/>
          <w:sz w:val="28"/>
          <w:szCs w:val="28"/>
          <w:lang w:eastAsia="uk-UA"/>
        </w:rPr>
        <w:t xml:space="preserve"> році </w:t>
      </w:r>
      <w:r w:rsidRPr="00A710DB">
        <w:rPr>
          <w:rFonts w:ascii="Times New Roman" w:eastAsia="Times New Roman" w:hAnsi="Times New Roman" w:cs="Times New Roman"/>
          <w:sz w:val="28"/>
          <w:szCs w:val="28"/>
        </w:rPr>
        <w:t xml:space="preserve">складає </w:t>
      </w:r>
      <w:r>
        <w:rPr>
          <w:rFonts w:ascii="Times New Roman" w:eastAsia="Times New Roman" w:hAnsi="Times New Roman" w:cs="Times New Roman"/>
          <w:sz w:val="28"/>
          <w:szCs w:val="28"/>
        </w:rPr>
        <w:t>14 437</w:t>
      </w:r>
      <w:r w:rsidRPr="00A710DB">
        <w:rPr>
          <w:rFonts w:ascii="Times New Roman" w:eastAsia="Times New Roman" w:hAnsi="Times New Roman" w:cs="Times New Roman"/>
          <w:sz w:val="28"/>
          <w:szCs w:val="28"/>
        </w:rPr>
        <w:t xml:space="preserve"> тис. грн.,  що становить  </w:t>
      </w:r>
      <w:r>
        <w:rPr>
          <w:rFonts w:ascii="Times New Roman" w:eastAsia="Times New Roman" w:hAnsi="Times New Roman" w:cs="Times New Roman"/>
          <w:sz w:val="28"/>
          <w:szCs w:val="28"/>
        </w:rPr>
        <w:t>37% планового показника (38 682 тис. грн.).</w:t>
      </w:r>
      <w:r w:rsidRPr="002B11D0">
        <w:t xml:space="preserve"> </w:t>
      </w:r>
      <w:r w:rsidRPr="00E05432">
        <w:rPr>
          <w:rFonts w:ascii="Times New Roman" w:hAnsi="Times New Roman" w:cs="Times New Roman"/>
          <w:sz w:val="28"/>
        </w:rPr>
        <w:t>в т. ч. :</w:t>
      </w:r>
    </w:p>
    <w:p w:rsidR="00080EEE" w:rsidRPr="00E05432" w:rsidRDefault="00080EEE" w:rsidP="00080EEE">
      <w:pPr>
        <w:spacing w:after="0" w:line="240" w:lineRule="auto"/>
        <w:jc w:val="both"/>
        <w:rPr>
          <w:rFonts w:ascii="Times New Roman" w:hAnsi="Times New Roman" w:cs="Times New Roman"/>
          <w:spacing w:val="-6"/>
          <w:sz w:val="28"/>
        </w:rPr>
      </w:pPr>
      <w:r>
        <w:rPr>
          <w:rFonts w:ascii="Times New Roman" w:hAnsi="Times New Roman" w:cs="Times New Roman"/>
          <w:sz w:val="28"/>
        </w:rPr>
        <w:t xml:space="preserve">- </w:t>
      </w:r>
      <w:r w:rsidRPr="00E05432">
        <w:rPr>
          <w:rFonts w:ascii="Times New Roman" w:hAnsi="Times New Roman" w:cs="Times New Roman"/>
          <w:spacing w:val="-6"/>
          <w:sz w:val="28"/>
        </w:rPr>
        <w:t xml:space="preserve">програмне забезпечення та впровадження інформаційних систем </w:t>
      </w:r>
      <w:r>
        <w:rPr>
          <w:rFonts w:ascii="Times New Roman" w:hAnsi="Times New Roman" w:cs="Times New Roman"/>
          <w:spacing w:val="-6"/>
          <w:sz w:val="28"/>
        </w:rPr>
        <w:t>12 785</w:t>
      </w:r>
      <w:r w:rsidRPr="00E05432">
        <w:rPr>
          <w:rFonts w:ascii="Times New Roman" w:hAnsi="Times New Roman" w:cs="Times New Roman"/>
          <w:spacing w:val="-6"/>
          <w:sz w:val="28"/>
        </w:rPr>
        <w:t xml:space="preserve"> тис. грн.;</w:t>
      </w:r>
    </w:p>
    <w:p w:rsidR="00080EEE" w:rsidRDefault="00080EEE" w:rsidP="00080EEE">
      <w:pPr>
        <w:spacing w:after="0" w:line="240" w:lineRule="auto"/>
        <w:jc w:val="both"/>
        <w:rPr>
          <w:rFonts w:ascii="Times New Roman" w:hAnsi="Times New Roman" w:cs="Times New Roman"/>
          <w:spacing w:val="-6"/>
          <w:sz w:val="28"/>
        </w:rPr>
      </w:pPr>
      <w:r w:rsidRPr="00E05432">
        <w:rPr>
          <w:rFonts w:ascii="Times New Roman" w:hAnsi="Times New Roman" w:cs="Times New Roman"/>
          <w:spacing w:val="-6"/>
          <w:sz w:val="28"/>
        </w:rPr>
        <w:t>- розробка проектів землеустрою щодо відведення земельних ділянок  658 тис. грн.</w:t>
      </w:r>
      <w:r>
        <w:rPr>
          <w:rFonts w:ascii="Times New Roman" w:hAnsi="Times New Roman" w:cs="Times New Roman"/>
          <w:spacing w:val="-6"/>
          <w:sz w:val="28"/>
        </w:rPr>
        <w:t>;</w:t>
      </w:r>
    </w:p>
    <w:p w:rsidR="00080EEE" w:rsidRPr="00E05432" w:rsidRDefault="00080EEE" w:rsidP="00080EEE">
      <w:pPr>
        <w:spacing w:after="0" w:line="240" w:lineRule="auto"/>
        <w:jc w:val="both"/>
        <w:rPr>
          <w:rFonts w:ascii="Times New Roman" w:hAnsi="Times New Roman" w:cs="Times New Roman"/>
          <w:spacing w:val="-6"/>
          <w:sz w:val="28"/>
        </w:rPr>
      </w:pPr>
      <w:r>
        <w:rPr>
          <w:rFonts w:ascii="Times New Roman" w:hAnsi="Times New Roman" w:cs="Times New Roman"/>
          <w:spacing w:val="-6"/>
          <w:sz w:val="28"/>
        </w:rPr>
        <w:t>- інші нематеріальні активи – 994 тис. грн.</w:t>
      </w:r>
    </w:p>
    <w:p w:rsidR="00080EEE" w:rsidRPr="00A710DB" w:rsidRDefault="00080EEE" w:rsidP="00080EEE">
      <w:pPr>
        <w:spacing w:after="0" w:line="240" w:lineRule="auto"/>
        <w:ind w:firstLine="567"/>
        <w:jc w:val="both"/>
        <w:rPr>
          <w:rFonts w:ascii="Times New Roman" w:eastAsia="Times New Roman" w:hAnsi="Times New Roman" w:cs="Times New Roman"/>
          <w:sz w:val="28"/>
          <w:szCs w:val="28"/>
        </w:rPr>
      </w:pPr>
    </w:p>
    <w:p w:rsidR="00080EEE" w:rsidRPr="00A710DB" w:rsidRDefault="00080EEE" w:rsidP="00080EEE">
      <w:pPr>
        <w:spacing w:after="0" w:line="240" w:lineRule="auto"/>
        <w:ind w:firstLine="567"/>
        <w:jc w:val="right"/>
        <w:rPr>
          <w:rFonts w:ascii="Times New Roman" w:eastAsia="Times New Roman" w:hAnsi="Times New Roman" w:cs="Times New Roman"/>
          <w:sz w:val="24"/>
          <w:szCs w:val="24"/>
        </w:rPr>
      </w:pPr>
    </w:p>
    <w:p w:rsidR="00080EEE" w:rsidRPr="00A710DB" w:rsidRDefault="00080EEE" w:rsidP="00080EEE">
      <w:pPr>
        <w:spacing w:after="0" w:line="240" w:lineRule="auto"/>
        <w:ind w:firstLine="567"/>
        <w:jc w:val="both"/>
        <w:rPr>
          <w:rFonts w:ascii="Times New Roman" w:eastAsia="Times New Roman" w:hAnsi="Times New Roman" w:cs="Times New Roman"/>
          <w:b/>
          <w:sz w:val="28"/>
          <w:szCs w:val="28"/>
        </w:rPr>
      </w:pPr>
      <w:r w:rsidRPr="00A710DB">
        <w:rPr>
          <w:rFonts w:ascii="Times New Roman" w:eastAsia="Times New Roman" w:hAnsi="Times New Roman" w:cs="Times New Roman"/>
          <w:b/>
          <w:sz w:val="28"/>
          <w:szCs w:val="28"/>
        </w:rPr>
        <w:t xml:space="preserve">Модернізація, модифікація (добудова, дообладнання, реконструкція) </w:t>
      </w:r>
    </w:p>
    <w:p w:rsidR="00080EEE" w:rsidRPr="00A710DB" w:rsidRDefault="00080EEE" w:rsidP="00080EEE">
      <w:pPr>
        <w:spacing w:after="0" w:line="240" w:lineRule="auto"/>
        <w:ind w:firstLine="567"/>
        <w:jc w:val="both"/>
        <w:rPr>
          <w:rFonts w:ascii="Times New Roman" w:eastAsia="Times New Roman" w:hAnsi="Times New Roman" w:cs="Times New Roman"/>
          <w:sz w:val="28"/>
          <w:szCs w:val="28"/>
          <w:lang w:eastAsia="ru-RU"/>
        </w:rPr>
      </w:pPr>
      <w:r w:rsidRPr="00A710DB">
        <w:rPr>
          <w:rFonts w:ascii="Times New Roman" w:eastAsia="Times New Roman" w:hAnsi="Times New Roman" w:cs="Times New Roman"/>
          <w:b/>
          <w:sz w:val="28"/>
          <w:szCs w:val="28"/>
        </w:rPr>
        <w:t>основних засобів (рядок 4050)</w:t>
      </w:r>
      <w:r w:rsidRPr="00A710DB">
        <w:rPr>
          <w:rFonts w:ascii="Times New Roman" w:eastAsia="Times New Roman" w:hAnsi="Times New Roman" w:cs="Times New Roman"/>
          <w:sz w:val="28"/>
          <w:szCs w:val="28"/>
          <w:lang w:eastAsia="ru-RU"/>
        </w:rPr>
        <w:t xml:space="preserve"> </w:t>
      </w:r>
    </w:p>
    <w:p w:rsidR="00080EEE" w:rsidRDefault="00080EEE" w:rsidP="00080EEE">
      <w:pPr>
        <w:spacing w:after="0" w:line="240" w:lineRule="auto"/>
        <w:ind w:firstLine="567"/>
        <w:jc w:val="both"/>
        <w:rPr>
          <w:rFonts w:ascii="Times New Roman" w:eastAsia="Times New Roman" w:hAnsi="Times New Roman" w:cs="Times New Roman"/>
          <w:sz w:val="28"/>
          <w:szCs w:val="28"/>
        </w:rPr>
      </w:pPr>
      <w:r w:rsidRPr="00CE7CAB">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uk-UA"/>
        </w:rPr>
        <w:t>2019</w:t>
      </w:r>
      <w:r w:rsidRPr="00CE7CAB">
        <w:rPr>
          <w:rFonts w:ascii="Times New Roman" w:eastAsia="Times New Roman" w:hAnsi="Times New Roman" w:cs="Times New Roman"/>
          <w:sz w:val="28"/>
          <w:szCs w:val="28"/>
          <w:lang w:eastAsia="uk-UA"/>
        </w:rPr>
        <w:t xml:space="preserve"> ро</w:t>
      </w:r>
      <w:r>
        <w:rPr>
          <w:rFonts w:ascii="Times New Roman" w:eastAsia="Times New Roman" w:hAnsi="Times New Roman" w:cs="Times New Roman"/>
          <w:sz w:val="28"/>
          <w:szCs w:val="28"/>
          <w:lang w:eastAsia="uk-UA"/>
        </w:rPr>
        <w:t>ці</w:t>
      </w:r>
      <w:r w:rsidRPr="00CE7CAB">
        <w:rPr>
          <w:rFonts w:ascii="Times New Roman" w:eastAsia="Times New Roman" w:hAnsi="Times New Roman" w:cs="Times New Roman"/>
          <w:sz w:val="28"/>
          <w:szCs w:val="28"/>
          <w:lang w:eastAsia="uk-UA"/>
        </w:rPr>
        <w:t xml:space="preserve"> </w:t>
      </w:r>
      <w:r w:rsidRPr="00CE7CAB">
        <w:rPr>
          <w:rFonts w:ascii="Times New Roman" w:eastAsia="Times New Roman" w:hAnsi="Times New Roman" w:cs="Times New Roman"/>
          <w:sz w:val="28"/>
          <w:szCs w:val="28"/>
        </w:rPr>
        <w:t xml:space="preserve">складає </w:t>
      </w:r>
      <w:r>
        <w:rPr>
          <w:rFonts w:ascii="Times New Roman" w:eastAsia="Times New Roman" w:hAnsi="Times New Roman" w:cs="Times New Roman"/>
          <w:sz w:val="28"/>
          <w:szCs w:val="28"/>
        </w:rPr>
        <w:t xml:space="preserve">482 771 </w:t>
      </w:r>
      <w:r w:rsidRPr="00CE7CAB">
        <w:rPr>
          <w:rFonts w:ascii="Times New Roman" w:eastAsia="Times New Roman" w:hAnsi="Times New Roman" w:cs="Times New Roman"/>
          <w:sz w:val="28"/>
          <w:szCs w:val="28"/>
        </w:rPr>
        <w:t xml:space="preserve">тис. грн.,  що становить  </w:t>
      </w:r>
      <w:r w:rsidRPr="00BD2801">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lang w:val="ru-RU"/>
        </w:rPr>
        <w:t>5</w:t>
      </w:r>
      <w:r w:rsidRPr="00BD2801">
        <w:rPr>
          <w:rFonts w:ascii="Times New Roman" w:eastAsia="Times New Roman" w:hAnsi="Times New Roman" w:cs="Times New Roman"/>
          <w:sz w:val="28"/>
          <w:szCs w:val="28"/>
        </w:rPr>
        <w:t xml:space="preserve"> %  планового</w:t>
      </w:r>
      <w:r w:rsidRPr="00CE7CAB">
        <w:rPr>
          <w:rFonts w:ascii="Times New Roman" w:eastAsia="Times New Roman" w:hAnsi="Times New Roman" w:cs="Times New Roman"/>
          <w:sz w:val="28"/>
          <w:szCs w:val="28"/>
        </w:rPr>
        <w:t xml:space="preserve"> показника</w:t>
      </w:r>
      <w:r>
        <w:rPr>
          <w:rFonts w:ascii="Times New Roman" w:eastAsia="Times New Roman" w:hAnsi="Times New Roman" w:cs="Times New Roman"/>
          <w:sz w:val="28"/>
          <w:szCs w:val="28"/>
        </w:rPr>
        <w:t xml:space="preserve"> (748 029 тис. грн.)</w:t>
      </w:r>
    </w:p>
    <w:p w:rsidR="00303870" w:rsidRDefault="00303870" w:rsidP="00080EEE">
      <w:pPr>
        <w:spacing w:after="0" w:line="240" w:lineRule="auto"/>
        <w:ind w:firstLine="567"/>
        <w:jc w:val="right"/>
        <w:rPr>
          <w:rFonts w:ascii="Times New Roman" w:eastAsia="Times New Roman" w:hAnsi="Times New Roman" w:cs="Times New Roman"/>
          <w:sz w:val="24"/>
          <w:szCs w:val="24"/>
        </w:rPr>
      </w:pPr>
    </w:p>
    <w:p w:rsidR="00080EEE" w:rsidRPr="00F51E52" w:rsidRDefault="00080EEE" w:rsidP="00080EEE">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Таблиця 20</w:t>
      </w:r>
      <w:r w:rsidRPr="00F51E52">
        <w:rPr>
          <w:rFonts w:ascii="Times New Roman" w:eastAsia="Times New Roman" w:hAnsi="Times New Roman" w:cs="Times New Roman"/>
          <w:sz w:val="24"/>
          <w:szCs w:val="24"/>
        </w:rPr>
        <w:t xml:space="preserve"> (тис. грн.)</w:t>
      </w:r>
    </w:p>
    <w:tbl>
      <w:tblPr>
        <w:tblW w:w="9886" w:type="dxa"/>
        <w:tblLook w:val="04A0" w:firstRow="1" w:lastRow="0" w:firstColumn="1" w:lastColumn="0" w:noHBand="0" w:noVBand="1"/>
      </w:tblPr>
      <w:tblGrid>
        <w:gridCol w:w="7083"/>
        <w:gridCol w:w="1134"/>
        <w:gridCol w:w="1034"/>
        <w:gridCol w:w="618"/>
        <w:gridCol w:w="17"/>
      </w:tblGrid>
      <w:tr w:rsidR="00080EEE" w:rsidRPr="00F51E52" w:rsidTr="00303870">
        <w:trPr>
          <w:trHeight w:val="454"/>
        </w:trPr>
        <w:tc>
          <w:tcPr>
            <w:tcW w:w="7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EEE" w:rsidRPr="00F51E52" w:rsidRDefault="00080EEE" w:rsidP="00151BD5">
            <w:pPr>
              <w:spacing w:after="0" w:line="240" w:lineRule="auto"/>
              <w:jc w:val="center"/>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Найменування об'єкту</w:t>
            </w:r>
          </w:p>
        </w:tc>
        <w:tc>
          <w:tcPr>
            <w:tcW w:w="2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080EEE" w:rsidRPr="00F51E52" w:rsidRDefault="00080EEE" w:rsidP="00151BD5">
            <w:pPr>
              <w:spacing w:after="0" w:line="240" w:lineRule="auto"/>
              <w:jc w:val="center"/>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2019</w:t>
            </w:r>
          </w:p>
        </w:tc>
      </w:tr>
      <w:tr w:rsidR="00080EEE" w:rsidRPr="00F51E52" w:rsidTr="00303870">
        <w:trPr>
          <w:gridAfter w:val="1"/>
          <w:wAfter w:w="17" w:type="dxa"/>
          <w:trHeight w:val="454"/>
        </w:trPr>
        <w:tc>
          <w:tcPr>
            <w:tcW w:w="7083" w:type="dxa"/>
            <w:vMerge/>
            <w:tcBorders>
              <w:top w:val="single" w:sz="4" w:space="0" w:color="auto"/>
              <w:left w:val="single" w:sz="4" w:space="0" w:color="auto"/>
              <w:bottom w:val="single" w:sz="4" w:space="0" w:color="auto"/>
              <w:right w:val="single" w:sz="4" w:space="0" w:color="auto"/>
            </w:tcBorders>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0EEE" w:rsidRPr="00F51E52" w:rsidRDefault="00080EEE" w:rsidP="00151BD5">
            <w:pPr>
              <w:spacing w:after="0" w:line="240" w:lineRule="auto"/>
              <w:jc w:val="center"/>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план</w:t>
            </w:r>
          </w:p>
        </w:tc>
        <w:tc>
          <w:tcPr>
            <w:tcW w:w="1034" w:type="dxa"/>
            <w:tcBorders>
              <w:top w:val="nil"/>
              <w:left w:val="nil"/>
              <w:bottom w:val="single" w:sz="4" w:space="0" w:color="auto"/>
              <w:right w:val="single" w:sz="4" w:space="0" w:color="auto"/>
            </w:tcBorders>
            <w:shd w:val="clear" w:color="auto" w:fill="auto"/>
            <w:noWrap/>
            <w:vAlign w:val="center"/>
            <w:hideMark/>
          </w:tcPr>
          <w:p w:rsidR="00080EEE" w:rsidRPr="00F51E52" w:rsidRDefault="00080EEE" w:rsidP="00151BD5">
            <w:pPr>
              <w:spacing w:after="0" w:line="240" w:lineRule="auto"/>
              <w:jc w:val="center"/>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факт</w:t>
            </w:r>
          </w:p>
        </w:tc>
        <w:tc>
          <w:tcPr>
            <w:tcW w:w="618" w:type="dxa"/>
            <w:tcBorders>
              <w:top w:val="nil"/>
              <w:left w:val="nil"/>
              <w:bottom w:val="single" w:sz="4" w:space="0" w:color="auto"/>
              <w:right w:val="single" w:sz="4" w:space="0" w:color="auto"/>
            </w:tcBorders>
            <w:shd w:val="clear" w:color="auto" w:fill="auto"/>
            <w:noWrap/>
            <w:vAlign w:val="center"/>
            <w:hideMark/>
          </w:tcPr>
          <w:p w:rsidR="00080EEE" w:rsidRPr="00F51E52" w:rsidRDefault="00080EEE" w:rsidP="00151BD5">
            <w:pPr>
              <w:spacing w:after="0" w:line="240" w:lineRule="auto"/>
              <w:jc w:val="center"/>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b/>
                <w:bCs/>
                <w:color w:val="000000"/>
                <w:sz w:val="20"/>
                <w:szCs w:val="20"/>
                <w:lang w:val="ru-RU" w:eastAsia="ru-RU"/>
              </w:rPr>
            </w:pPr>
            <w:r w:rsidRPr="00F51E52">
              <w:rPr>
                <w:rFonts w:ascii="Times New Roman" w:eastAsia="Times New Roman" w:hAnsi="Times New Roman" w:cs="Times New Roman"/>
                <w:b/>
                <w:bCs/>
                <w:color w:val="000000"/>
                <w:sz w:val="20"/>
                <w:szCs w:val="20"/>
                <w:lang w:eastAsia="ru-RU"/>
              </w:rPr>
              <w:t>Модернізація, модифікація (добудова, дообладнання, реконс</w:t>
            </w:r>
            <w:r w:rsidRPr="00F51E52">
              <w:rPr>
                <w:rFonts w:ascii="Times New Roman" w:eastAsia="Times New Roman" w:hAnsi="Times New Roman" w:cs="Times New Roman"/>
                <w:b/>
                <w:bCs/>
                <w:color w:val="000000"/>
                <w:sz w:val="20"/>
                <w:szCs w:val="20"/>
                <w:lang w:val="ru-RU" w:eastAsia="ru-RU"/>
              </w:rPr>
              <w:t>трукція) основних засобів</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val="ru-RU" w:eastAsia="ru-RU"/>
              </w:rPr>
            </w:pPr>
            <w:r>
              <w:rPr>
                <w:rFonts w:ascii="Times New Roman" w:eastAsia="Times New Roman" w:hAnsi="Times New Roman" w:cs="Times New Roman"/>
                <w:b/>
                <w:bCs/>
                <w:color w:val="000000"/>
                <w:szCs w:val="20"/>
                <w:lang w:val="ru-RU" w:eastAsia="ru-RU"/>
              </w:rPr>
              <w:t>748 029</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val="ru-RU" w:eastAsia="ru-RU"/>
              </w:rPr>
            </w:pPr>
            <w:r>
              <w:rPr>
                <w:rFonts w:ascii="Times New Roman" w:eastAsia="Times New Roman" w:hAnsi="Times New Roman" w:cs="Times New Roman"/>
                <w:b/>
                <w:bCs/>
                <w:color w:val="000000"/>
                <w:szCs w:val="20"/>
                <w:lang w:val="ru-RU" w:eastAsia="ru-RU"/>
              </w:rPr>
              <w:t>482 771</w:t>
            </w:r>
          </w:p>
        </w:tc>
        <w:tc>
          <w:tcPr>
            <w:tcW w:w="618" w:type="dxa"/>
            <w:tcBorders>
              <w:top w:val="nil"/>
              <w:left w:val="nil"/>
              <w:bottom w:val="single" w:sz="4" w:space="0" w:color="auto"/>
              <w:right w:val="single" w:sz="4" w:space="0" w:color="auto"/>
            </w:tcBorders>
            <w:shd w:val="clear" w:color="auto" w:fill="auto"/>
            <w:noWrap/>
            <w:vAlign w:val="center"/>
            <w:hideMark/>
          </w:tcPr>
          <w:p w:rsidR="00080EEE" w:rsidRPr="00F51E52" w:rsidRDefault="00080EEE" w:rsidP="00151BD5">
            <w:pPr>
              <w:spacing w:after="0" w:line="240" w:lineRule="auto"/>
              <w:jc w:val="center"/>
              <w:rPr>
                <w:rFonts w:ascii="Times New Roman" w:eastAsia="Times New Roman" w:hAnsi="Times New Roman" w:cs="Times New Roman"/>
                <w:bCs/>
                <w:color w:val="000000"/>
                <w:szCs w:val="20"/>
                <w:lang w:val="ru-RU" w:eastAsia="ru-RU"/>
              </w:rPr>
            </w:pPr>
            <w:r>
              <w:rPr>
                <w:rFonts w:ascii="Times New Roman" w:eastAsia="Times New Roman" w:hAnsi="Times New Roman" w:cs="Times New Roman"/>
                <w:bCs/>
                <w:color w:val="000000"/>
                <w:szCs w:val="20"/>
                <w:lang w:val="ru-RU" w:eastAsia="ru-RU"/>
              </w:rPr>
              <w:t>65</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val="ru-RU" w:eastAsia="ru-RU"/>
              </w:rPr>
            </w:pPr>
            <w:r w:rsidRPr="00F51E52">
              <w:rPr>
                <w:rFonts w:ascii="Times New Roman" w:eastAsia="Times New Roman" w:hAnsi="Times New Roman" w:cs="Times New Roman"/>
                <w:color w:val="000000"/>
                <w:sz w:val="20"/>
                <w:szCs w:val="20"/>
                <w:lang w:val="ru-RU" w:eastAsia="ru-RU"/>
              </w:rPr>
              <w:t>Роботи з проектування і експертизи за об'єктом "Реконструкція Бузько-Дніпровсько-лиманського каналу (БДЛК)"</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9 800</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 xml:space="preserve">- </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Реконструкція операційної акваторії 1-го ковша Сухого лиману ІФ ДП "АМПУ" зі збільшенням глибини до 15м</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133 421</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38 939</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29</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Реконструкція операційної акваторії уздовж кордону лінії причалів №№ 14-17 розташованих у акваторії 1-го ковша Сухого лиману Іллічівської філії ДП «АМПУ»</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27 036</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 xml:space="preserve">- </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tcPr>
          <w:p w:rsidR="00080EEE" w:rsidRPr="00F51E52" w:rsidRDefault="00080EEE" w:rsidP="00151BD5">
            <w:pPr>
              <w:spacing w:after="0" w:line="240" w:lineRule="auto"/>
              <w:rPr>
                <w:rFonts w:ascii="Times New Roman" w:eastAsia="Times New Roman" w:hAnsi="Times New Roman" w:cs="Times New Roman"/>
                <w:color w:val="000000"/>
                <w:sz w:val="20"/>
                <w:szCs w:val="20"/>
                <w:lang w:val="ru-RU" w:eastAsia="ru-RU"/>
              </w:rPr>
            </w:pPr>
            <w:r w:rsidRPr="00F51E52">
              <w:rPr>
                <w:rFonts w:ascii="Times New Roman" w:eastAsia="Times New Roman" w:hAnsi="Times New Roman" w:cs="Times New Roman"/>
                <w:color w:val="000000"/>
                <w:sz w:val="20"/>
                <w:szCs w:val="20"/>
                <w:lang w:val="ru-RU" w:eastAsia="ru-RU"/>
              </w:rPr>
              <w:t>Реконструкція морського підхідного каналу та внутрішніх водних підходів до глибоководних причалів порту "Южний"</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168 639</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168 850</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100</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Реконструкція водних підходів, маневрових зон і операційних глибин акваторій біля причалів з урахуванням перспективного вантажообігу морського порту "Южний" в м. Южне Одеської області</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2 491</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1 454</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58</w:t>
            </w:r>
          </w:p>
        </w:tc>
      </w:tr>
      <w:tr w:rsidR="00080EEE" w:rsidRPr="00F51E52" w:rsidTr="00303870">
        <w:trPr>
          <w:gridAfter w:val="1"/>
          <w:wAfter w:w="17" w:type="dxa"/>
          <w:trHeight w:val="454"/>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b/>
                <w:bCs/>
                <w:color w:val="000000"/>
                <w:sz w:val="20"/>
                <w:szCs w:val="20"/>
                <w:lang w:val="ru-RU" w:eastAsia="ru-RU"/>
              </w:rPr>
            </w:pPr>
            <w:r w:rsidRPr="00F51E52">
              <w:rPr>
                <w:rFonts w:ascii="Times New Roman" w:eastAsia="Times New Roman" w:hAnsi="Times New Roman" w:cs="Times New Roman"/>
                <w:b/>
                <w:bCs/>
                <w:color w:val="000000"/>
                <w:sz w:val="20"/>
                <w:szCs w:val="20"/>
                <w:lang w:val="ru-RU" w:eastAsia="ru-RU"/>
              </w:rPr>
              <w:t>Інших гідротехнічних споруд, у т.ч.: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337 395</w:t>
            </w:r>
          </w:p>
        </w:tc>
        <w:tc>
          <w:tcPr>
            <w:tcW w:w="1034" w:type="dxa"/>
            <w:tcBorders>
              <w:top w:val="nil"/>
              <w:left w:val="single" w:sz="4" w:space="0" w:color="auto"/>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252 564</w:t>
            </w:r>
          </w:p>
        </w:tc>
        <w:tc>
          <w:tcPr>
            <w:tcW w:w="618" w:type="dxa"/>
            <w:tcBorders>
              <w:top w:val="nil"/>
              <w:left w:val="single" w:sz="4" w:space="0" w:color="auto"/>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Cs/>
                <w:color w:val="000000"/>
                <w:szCs w:val="20"/>
                <w:lang w:val="ru-RU" w:eastAsia="ru-RU"/>
              </w:rPr>
            </w:pPr>
            <w:r>
              <w:rPr>
                <w:rFonts w:ascii="Times New Roman" w:eastAsia="Times New Roman" w:hAnsi="Times New Roman" w:cs="Times New Roman"/>
                <w:bCs/>
                <w:color w:val="000000"/>
                <w:szCs w:val="20"/>
                <w:lang w:val="ru-RU" w:eastAsia="ru-RU"/>
              </w:rPr>
              <w:t>75</w:t>
            </w:r>
          </w:p>
        </w:tc>
      </w:tr>
      <w:tr w:rsidR="00080EEE" w:rsidRPr="00F51E52" w:rsidTr="00303870">
        <w:trPr>
          <w:gridAfter w:val="1"/>
          <w:wAfter w:w="17" w:type="dxa"/>
          <w:trHeight w:val="454"/>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 xml:space="preserve">Реконструкція гідротехнічної частини причалу № 2. Чорноморська філія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334</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305</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91</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Реконструкція гідротехнічної частини причалів № №14-17. Чорноморська філія</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947</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080EEE">
            <w:pPr>
              <w:pStyle w:val="a9"/>
              <w:numPr>
                <w:ilvl w:val="0"/>
                <w:numId w:val="36"/>
              </w:numPr>
              <w:spacing w:after="0" w:line="240" w:lineRule="auto"/>
              <w:jc w:val="center"/>
              <w:rPr>
                <w:rFonts w:ascii="Times New Roman" w:eastAsia="Times New Roman" w:hAnsi="Times New Roman" w:cs="Times New Roman"/>
                <w:color w:val="000000"/>
                <w:szCs w:val="20"/>
                <w:lang w:eastAsia="ru-RU"/>
              </w:rPr>
            </w:pP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eastAsia="ru-RU"/>
              </w:rPr>
              <w:t>Реконструкція гідротехнічної частини причалу № 2 морського порту Маріуполь МФ ДП "АМПУ" (ОВД)</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500</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336</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67</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val="ru-RU" w:eastAsia="ru-RU"/>
              </w:rPr>
            </w:pPr>
            <w:r w:rsidRPr="00F51E52">
              <w:rPr>
                <w:rFonts w:ascii="Times New Roman" w:eastAsia="Times New Roman" w:hAnsi="Times New Roman" w:cs="Times New Roman"/>
                <w:color w:val="000000"/>
                <w:sz w:val="20"/>
                <w:szCs w:val="20"/>
                <w:lang w:eastAsia="ru-RU"/>
              </w:rPr>
              <w:t>Реконструкція гідротехнічної частини причалу № 3 морського п</w:t>
            </w:r>
            <w:r w:rsidRPr="00F51E52">
              <w:rPr>
                <w:rFonts w:ascii="Times New Roman" w:eastAsia="Times New Roman" w:hAnsi="Times New Roman" w:cs="Times New Roman"/>
                <w:color w:val="000000"/>
                <w:sz w:val="20"/>
                <w:szCs w:val="20"/>
                <w:lang w:val="ru-RU" w:eastAsia="ru-RU"/>
              </w:rPr>
              <w:t>орту Маріуполь МФ ДП "АМПУ"</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1527</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834</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55</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val="ru-RU" w:eastAsia="ru-RU"/>
              </w:rPr>
            </w:pPr>
            <w:r w:rsidRPr="00F51E52">
              <w:rPr>
                <w:rFonts w:ascii="Times New Roman" w:eastAsia="Times New Roman" w:hAnsi="Times New Roman" w:cs="Times New Roman"/>
                <w:color w:val="000000"/>
                <w:sz w:val="20"/>
                <w:szCs w:val="20"/>
                <w:lang w:val="ru-RU" w:eastAsia="ru-RU"/>
              </w:rPr>
              <w:t>Реконструкція гідротехнічної частини причалу № 4 морського порту Маріуполь МФ ДП "АМПУ"</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62 044</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46 337</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75</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tcPr>
          <w:p w:rsidR="00080EEE" w:rsidRPr="00F51E52" w:rsidRDefault="00080EEE" w:rsidP="00151BD5">
            <w:pPr>
              <w:spacing w:after="0" w:line="240" w:lineRule="auto"/>
              <w:rPr>
                <w:rFonts w:ascii="Times New Roman" w:eastAsia="Times New Roman" w:hAnsi="Times New Roman" w:cs="Times New Roman"/>
                <w:color w:val="000000"/>
                <w:sz w:val="20"/>
                <w:szCs w:val="20"/>
                <w:lang w:val="ru-RU" w:eastAsia="ru-RU"/>
              </w:rPr>
            </w:pPr>
            <w:r w:rsidRPr="00F51E52">
              <w:rPr>
                <w:rFonts w:ascii="Times New Roman" w:eastAsia="Times New Roman" w:hAnsi="Times New Roman" w:cs="Times New Roman"/>
                <w:color w:val="000000"/>
                <w:sz w:val="20"/>
                <w:szCs w:val="20"/>
                <w:lang w:val="ru-RU" w:eastAsia="ru-RU"/>
              </w:rPr>
              <w:t>Реконструкція причалу № 0 (проект). Миколаївська філія</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833</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val="ru-RU" w:eastAsia="ru-RU"/>
              </w:rPr>
            </w:pPr>
            <w:r w:rsidRPr="00F51E52">
              <w:rPr>
                <w:rFonts w:ascii="Times New Roman" w:eastAsia="Times New Roman" w:hAnsi="Times New Roman" w:cs="Times New Roman"/>
                <w:color w:val="000000"/>
                <w:sz w:val="20"/>
                <w:szCs w:val="20"/>
                <w:lang w:val="ru-RU" w:eastAsia="ru-RU"/>
              </w:rPr>
              <w:t>Реконструкція причалу № 7. Одеська філія</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268 857</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204 756</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76</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color w:val="000000"/>
                <w:sz w:val="20"/>
                <w:szCs w:val="20"/>
                <w:lang w:eastAsia="ru-RU"/>
              </w:rPr>
            </w:pPr>
            <w:r w:rsidRPr="00F51E52">
              <w:rPr>
                <w:rFonts w:ascii="Times New Roman" w:eastAsia="Times New Roman" w:hAnsi="Times New Roman" w:cs="Times New Roman"/>
                <w:color w:val="000000"/>
                <w:sz w:val="20"/>
                <w:szCs w:val="20"/>
                <w:lang w:val="ru-RU" w:eastAsia="ru-RU"/>
              </w:rPr>
              <w:t>Реконструкція причалу №12-13. Одеська філія</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2 358</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b/>
                <w:color w:val="000000"/>
                <w:sz w:val="20"/>
                <w:szCs w:val="20"/>
                <w:lang w:val="ru-RU" w:eastAsia="ru-RU"/>
              </w:rPr>
            </w:pPr>
            <w:r w:rsidRPr="00F51E52">
              <w:rPr>
                <w:b/>
              </w:rPr>
              <w:t xml:space="preserve"> </w:t>
            </w:r>
            <w:r w:rsidRPr="00F51E52">
              <w:rPr>
                <w:rFonts w:ascii="Times New Roman" w:eastAsia="Times New Roman" w:hAnsi="Times New Roman" w:cs="Times New Roman"/>
                <w:b/>
                <w:color w:val="000000"/>
                <w:sz w:val="20"/>
                <w:szCs w:val="20"/>
                <w:lang w:val="ru-RU" w:eastAsia="ru-RU"/>
              </w:rPr>
              <w:t>Інженерних мереж та систем</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color w:val="000000"/>
                <w:szCs w:val="20"/>
                <w:lang w:val="ru-RU" w:eastAsia="ru-RU"/>
              </w:rPr>
            </w:pPr>
            <w:r>
              <w:rPr>
                <w:rFonts w:ascii="Times New Roman" w:eastAsia="Times New Roman" w:hAnsi="Times New Roman" w:cs="Times New Roman"/>
                <w:b/>
                <w:color w:val="000000"/>
                <w:szCs w:val="20"/>
                <w:lang w:val="ru-RU" w:eastAsia="ru-RU"/>
              </w:rPr>
              <w:t>4 422</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color w:val="000000"/>
                <w:szCs w:val="20"/>
                <w:lang w:val="ru-RU" w:eastAsia="ru-RU"/>
              </w:rPr>
            </w:pPr>
            <w:r>
              <w:rPr>
                <w:rFonts w:ascii="Times New Roman" w:eastAsia="Times New Roman" w:hAnsi="Times New Roman" w:cs="Times New Roman"/>
                <w:b/>
                <w:color w:val="000000"/>
                <w:szCs w:val="20"/>
                <w:lang w:val="ru-RU" w:eastAsia="ru-RU"/>
              </w:rPr>
              <w:t>3 074</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70</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b/>
                <w:bCs/>
                <w:color w:val="000000"/>
                <w:sz w:val="20"/>
                <w:szCs w:val="20"/>
                <w:lang w:val="ru-RU" w:eastAsia="ru-RU"/>
              </w:rPr>
            </w:pPr>
            <w:r w:rsidRPr="00F51E52">
              <w:rPr>
                <w:rFonts w:ascii="Times New Roman" w:eastAsia="Times New Roman" w:hAnsi="Times New Roman" w:cs="Times New Roman"/>
                <w:b/>
                <w:bCs/>
                <w:color w:val="000000"/>
                <w:sz w:val="20"/>
                <w:szCs w:val="20"/>
                <w:lang w:val="ru-RU" w:eastAsia="ru-RU"/>
              </w:rPr>
              <w:t>Реконструкція будівель, приміщень та споруд  інших об’єктів портової інфраструктури</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val="ru-RU" w:eastAsia="ru-RU"/>
              </w:rPr>
            </w:pPr>
            <w:r>
              <w:rPr>
                <w:rFonts w:ascii="Times New Roman" w:eastAsia="Times New Roman" w:hAnsi="Times New Roman" w:cs="Times New Roman"/>
                <w:b/>
                <w:bCs/>
                <w:color w:val="000000"/>
                <w:szCs w:val="20"/>
                <w:lang w:val="ru-RU" w:eastAsia="ru-RU"/>
              </w:rPr>
              <w:t>60 900</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val="ru-RU" w:eastAsia="ru-RU"/>
              </w:rPr>
            </w:pPr>
            <w:r>
              <w:rPr>
                <w:rFonts w:ascii="Times New Roman" w:eastAsia="Times New Roman" w:hAnsi="Times New Roman" w:cs="Times New Roman"/>
                <w:b/>
                <w:bCs/>
                <w:color w:val="000000"/>
                <w:szCs w:val="20"/>
                <w:lang w:val="ru-RU" w:eastAsia="ru-RU"/>
              </w:rPr>
              <w:t>16 035</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Cs/>
                <w:color w:val="000000"/>
                <w:szCs w:val="20"/>
                <w:lang w:val="ru-RU" w:eastAsia="ru-RU"/>
              </w:rPr>
            </w:pPr>
            <w:r>
              <w:rPr>
                <w:rFonts w:ascii="Times New Roman" w:eastAsia="Times New Roman" w:hAnsi="Times New Roman" w:cs="Times New Roman"/>
                <w:bCs/>
                <w:color w:val="000000"/>
                <w:szCs w:val="20"/>
                <w:lang w:val="ru-RU" w:eastAsia="ru-RU"/>
              </w:rPr>
              <w:t>26</w:t>
            </w:r>
          </w:p>
        </w:tc>
      </w:tr>
      <w:tr w:rsidR="00080EEE" w:rsidRPr="00F51E52" w:rsidTr="00303870">
        <w:trPr>
          <w:gridAfter w:val="1"/>
          <w:wAfter w:w="17" w:type="dxa"/>
          <w:trHeight w:val="45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080EEE" w:rsidRPr="00F51E52" w:rsidRDefault="00080EEE" w:rsidP="00151BD5">
            <w:pPr>
              <w:spacing w:after="0" w:line="240" w:lineRule="auto"/>
              <w:rPr>
                <w:rFonts w:ascii="Times New Roman" w:eastAsia="Times New Roman" w:hAnsi="Times New Roman" w:cs="Times New Roman"/>
                <w:b/>
                <w:bCs/>
                <w:color w:val="000000"/>
                <w:sz w:val="20"/>
                <w:szCs w:val="20"/>
                <w:lang w:val="ru-RU" w:eastAsia="ru-RU"/>
              </w:rPr>
            </w:pPr>
            <w:r w:rsidRPr="00F51E52">
              <w:rPr>
                <w:rFonts w:ascii="Times New Roman" w:eastAsia="Times New Roman" w:hAnsi="Times New Roman" w:cs="Times New Roman"/>
                <w:b/>
                <w:bCs/>
                <w:color w:val="000000"/>
                <w:sz w:val="20"/>
                <w:szCs w:val="20"/>
                <w:lang w:val="ru-RU" w:eastAsia="ru-RU"/>
              </w:rPr>
              <w:t>Модернізація, модифікація (добудова, дообладнення, реконструкція ) інших основних засобів</w:t>
            </w:r>
          </w:p>
        </w:tc>
        <w:tc>
          <w:tcPr>
            <w:tcW w:w="11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val="ru-RU" w:eastAsia="ru-RU"/>
              </w:rPr>
            </w:pPr>
            <w:r>
              <w:rPr>
                <w:rFonts w:ascii="Times New Roman" w:eastAsia="Times New Roman" w:hAnsi="Times New Roman" w:cs="Times New Roman"/>
                <w:b/>
                <w:bCs/>
                <w:color w:val="000000"/>
                <w:szCs w:val="20"/>
                <w:lang w:val="ru-RU" w:eastAsia="ru-RU"/>
              </w:rPr>
              <w:t>3 925</w:t>
            </w:r>
          </w:p>
        </w:tc>
        <w:tc>
          <w:tcPr>
            <w:tcW w:w="1034"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
                <w:bCs/>
                <w:color w:val="000000"/>
                <w:szCs w:val="20"/>
                <w:lang w:val="ru-RU" w:eastAsia="ru-RU"/>
              </w:rPr>
            </w:pPr>
            <w:r>
              <w:rPr>
                <w:rFonts w:ascii="Times New Roman" w:eastAsia="Times New Roman" w:hAnsi="Times New Roman" w:cs="Times New Roman"/>
                <w:b/>
                <w:bCs/>
                <w:color w:val="000000"/>
                <w:szCs w:val="20"/>
                <w:lang w:val="ru-RU" w:eastAsia="ru-RU"/>
              </w:rPr>
              <w:t>1 855</w:t>
            </w:r>
          </w:p>
        </w:tc>
        <w:tc>
          <w:tcPr>
            <w:tcW w:w="618" w:type="dxa"/>
            <w:tcBorders>
              <w:top w:val="nil"/>
              <w:left w:val="nil"/>
              <w:bottom w:val="single" w:sz="4" w:space="0" w:color="auto"/>
              <w:right w:val="single" w:sz="4" w:space="0" w:color="auto"/>
            </w:tcBorders>
            <w:shd w:val="clear" w:color="auto" w:fill="auto"/>
            <w:noWrap/>
            <w:vAlign w:val="center"/>
          </w:tcPr>
          <w:p w:rsidR="00080EEE" w:rsidRPr="00F51E52" w:rsidRDefault="00080EEE" w:rsidP="00151BD5">
            <w:pPr>
              <w:spacing w:after="0" w:line="240" w:lineRule="auto"/>
              <w:jc w:val="center"/>
              <w:rPr>
                <w:rFonts w:ascii="Times New Roman" w:eastAsia="Times New Roman" w:hAnsi="Times New Roman" w:cs="Times New Roman"/>
                <w:bCs/>
                <w:color w:val="000000"/>
                <w:szCs w:val="20"/>
                <w:lang w:val="ru-RU" w:eastAsia="ru-RU"/>
              </w:rPr>
            </w:pPr>
            <w:r>
              <w:rPr>
                <w:rFonts w:ascii="Times New Roman" w:eastAsia="Times New Roman" w:hAnsi="Times New Roman" w:cs="Times New Roman"/>
                <w:bCs/>
                <w:color w:val="000000"/>
                <w:szCs w:val="20"/>
                <w:lang w:val="ru-RU" w:eastAsia="ru-RU"/>
              </w:rPr>
              <w:t>47</w:t>
            </w:r>
          </w:p>
        </w:tc>
      </w:tr>
    </w:tbl>
    <w:p w:rsidR="00080EEE" w:rsidRPr="00F51E52" w:rsidRDefault="00080EEE" w:rsidP="00080EEE">
      <w:pPr>
        <w:spacing w:after="0" w:line="240" w:lineRule="auto"/>
        <w:ind w:firstLine="567"/>
        <w:jc w:val="both"/>
        <w:rPr>
          <w:rFonts w:ascii="Times New Roman" w:eastAsia="Times New Roman" w:hAnsi="Times New Roman" w:cs="Times New Roman"/>
          <w:sz w:val="28"/>
          <w:szCs w:val="24"/>
          <w:lang w:val="ru-RU"/>
        </w:rPr>
      </w:pPr>
    </w:p>
    <w:p w:rsidR="00080EEE" w:rsidRPr="00F51E52" w:rsidRDefault="00080EEE" w:rsidP="00080EEE">
      <w:pPr>
        <w:spacing w:after="0" w:line="240" w:lineRule="auto"/>
        <w:ind w:firstLine="567"/>
        <w:jc w:val="both"/>
        <w:rPr>
          <w:rFonts w:ascii="Times New Roman" w:eastAsia="Times New Roman" w:hAnsi="Times New Roman" w:cs="Times New Roman"/>
          <w:sz w:val="28"/>
          <w:szCs w:val="24"/>
          <w:lang w:val="ru-RU"/>
        </w:rPr>
      </w:pPr>
      <w:r w:rsidRPr="00F51E52">
        <w:rPr>
          <w:rFonts w:ascii="Times New Roman" w:eastAsia="Times New Roman" w:hAnsi="Times New Roman" w:cs="Times New Roman"/>
          <w:sz w:val="28"/>
          <w:szCs w:val="24"/>
          <w:lang w:val="ru-RU"/>
        </w:rPr>
        <w:t>Головним фактором впливу на невиконання плану в частині освоєння є затвердження фінансового плану наприкінці року, але є інші фактори:</w:t>
      </w:r>
    </w:p>
    <w:p w:rsidR="00080EEE" w:rsidRPr="00F51E52" w:rsidRDefault="00080EEE" w:rsidP="00080EEE">
      <w:pPr>
        <w:spacing w:after="0" w:line="240" w:lineRule="auto"/>
        <w:jc w:val="both"/>
        <w:rPr>
          <w:rFonts w:ascii="Times New Roman" w:eastAsia="Times New Roman" w:hAnsi="Times New Roman" w:cs="Times New Roman"/>
          <w:sz w:val="28"/>
          <w:szCs w:val="24"/>
        </w:rPr>
      </w:pPr>
      <w:r w:rsidRPr="00F51E52">
        <w:rPr>
          <w:rFonts w:ascii="Times New Roman" w:eastAsia="Times New Roman" w:hAnsi="Times New Roman" w:cs="Times New Roman"/>
          <w:sz w:val="28"/>
          <w:szCs w:val="24"/>
          <w:lang w:val="ru-RU"/>
        </w:rPr>
        <w:t xml:space="preserve">- </w:t>
      </w:r>
      <w:r w:rsidRPr="00F51E52">
        <w:rPr>
          <w:rFonts w:ascii="Times New Roman" w:eastAsia="Times New Roman" w:hAnsi="Times New Roman" w:cs="Times New Roman"/>
          <w:sz w:val="28"/>
          <w:szCs w:val="24"/>
        </w:rPr>
        <w:t>невиконання умов договору підрядником ТОВ «Ремонтно-будівельний трест ЧМП» щодо проектування і експертизи за об'єктом "Реконструкція Бузько-Дніпровсько-лиманського каналу (БДЛК)";</w:t>
      </w:r>
    </w:p>
    <w:p w:rsidR="00080EEE" w:rsidRPr="00F51E52" w:rsidRDefault="00080EEE" w:rsidP="00080EEE">
      <w:pPr>
        <w:spacing w:after="0" w:line="240" w:lineRule="auto"/>
        <w:jc w:val="both"/>
        <w:rPr>
          <w:rFonts w:ascii="Times New Roman" w:eastAsia="Times New Roman" w:hAnsi="Times New Roman" w:cs="Times New Roman"/>
          <w:sz w:val="28"/>
          <w:szCs w:val="24"/>
        </w:rPr>
      </w:pPr>
      <w:r w:rsidRPr="00F51E52">
        <w:rPr>
          <w:rFonts w:ascii="Times New Roman" w:eastAsia="Times New Roman" w:hAnsi="Times New Roman" w:cs="Times New Roman"/>
          <w:sz w:val="28"/>
          <w:szCs w:val="24"/>
        </w:rPr>
        <w:t>- не надана проектна документація ТОВ "Трансбалктермінал" щодо об’єкту «Реконструкція операційної акваторії уздовж кордону лінії причалів №№ 14-17 розташованих у акваторії 1-го ковша Сухого лиману Чорноморської філії ДП "АМПУ";</w:t>
      </w:r>
    </w:p>
    <w:p w:rsidR="00080EEE" w:rsidRPr="00F51E52" w:rsidRDefault="00080EEE" w:rsidP="00080EEE">
      <w:pPr>
        <w:tabs>
          <w:tab w:val="left" w:pos="3795"/>
        </w:tabs>
        <w:spacing w:after="0" w:line="240" w:lineRule="auto"/>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t xml:space="preserve">- не відбулися відкриті торги з закупівлі проектних робіт з розробки стадій проектної документації Реконструкція причалу № 12-13 Одеської філії; </w:t>
      </w:r>
    </w:p>
    <w:p w:rsidR="00080EEE" w:rsidRDefault="00080EEE" w:rsidP="00080EEE">
      <w:pPr>
        <w:tabs>
          <w:tab w:val="left" w:pos="3795"/>
        </w:tabs>
        <w:spacing w:after="0" w:line="240" w:lineRule="auto"/>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t>- відсутність правовстановлюючих документів на землю щодо об’єктів</w:t>
      </w:r>
      <w:r w:rsidRPr="00F51E52">
        <w:t xml:space="preserve"> </w:t>
      </w:r>
      <w:r w:rsidRPr="00F51E52">
        <w:rPr>
          <w:rFonts w:ascii="Times New Roman" w:hAnsi="Times New Roman" w:cs="Times New Roman"/>
          <w:sz w:val="28"/>
          <w:szCs w:val="28"/>
          <w:lang w:eastAsia="ru-RU"/>
        </w:rPr>
        <w:t xml:space="preserve">Реконструкція гідротехнічної частини  причалів № № 14-15, 16-17 Чорноморської філії та Реконструкція причалу №  0. </w:t>
      </w:r>
    </w:p>
    <w:p w:rsidR="00080EEE" w:rsidRPr="00F51E52" w:rsidRDefault="00080EEE" w:rsidP="00080EEE">
      <w:pPr>
        <w:spacing w:after="0" w:line="240" w:lineRule="auto"/>
        <w:ind w:firstLine="567"/>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lastRenderedPageBreak/>
        <w:t>Освоєно кошти з модернізації за наступними об’єктами:</w:t>
      </w:r>
    </w:p>
    <w:p w:rsidR="00080EEE" w:rsidRPr="00F51E52" w:rsidRDefault="00080EEE" w:rsidP="00080EEE">
      <w:pPr>
        <w:spacing w:after="0" w:line="240" w:lineRule="auto"/>
        <w:ind w:firstLine="567"/>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t>- Реконструкція гідротехнічної частини причалу № 2 Чорноморської філії – 305 тис. грн. - отримано висновок звіт з оцінки впливу на довкілля;</w:t>
      </w:r>
    </w:p>
    <w:p w:rsidR="00080EEE" w:rsidRPr="00F51E52" w:rsidRDefault="00080EEE" w:rsidP="00080EEE">
      <w:pPr>
        <w:spacing w:after="0" w:line="240" w:lineRule="auto"/>
        <w:ind w:firstLine="567"/>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t>- Реконструкція гідротехнічної частини причалу № 2 морського порту Маріуполь - 336 тис. грн. Завершені проектно-вишукувальні роботи з оцінки впливу на довкілля. Отримано висновок Мінприроди і звіт з оцінки впливу на довкілля, результати громадського обговорення і висновок  розміщено на офіційному сайті Мінприроди;</w:t>
      </w:r>
    </w:p>
    <w:p w:rsidR="00080EEE" w:rsidRPr="00F51E52" w:rsidRDefault="00080EEE" w:rsidP="00080EEE">
      <w:pPr>
        <w:spacing w:after="0" w:line="240" w:lineRule="auto"/>
        <w:ind w:firstLine="567"/>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t xml:space="preserve">- Реконструкція гідротехнічної частини причалу № 3 морського порту Маріуполь - 834 тис. грн. Завершені проектно-вишукувальні роботи з оцінки впливу на довкілля. Отримано висновок Мінприроди і звіт з оцінки впливу на довкілля, результати громадського обговорення і висновок  розміщено на офіційному сайті Мінприроди. Виконані проектно-вишукувальні роботи з розробки робочої документації; </w:t>
      </w:r>
    </w:p>
    <w:p w:rsidR="00080EEE" w:rsidRDefault="00080EEE" w:rsidP="00080EEE">
      <w:pPr>
        <w:spacing w:after="0" w:line="240" w:lineRule="auto"/>
        <w:ind w:firstLine="567"/>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t xml:space="preserve">- Реконструкція гідротехнічної частини причалу № 4 морського порту Маріуполь» - </w:t>
      </w:r>
      <w:r>
        <w:rPr>
          <w:rFonts w:ascii="Times New Roman" w:hAnsi="Times New Roman" w:cs="Times New Roman"/>
          <w:sz w:val="28"/>
          <w:szCs w:val="28"/>
          <w:lang w:eastAsia="ru-RU"/>
        </w:rPr>
        <w:t>46 337</w:t>
      </w:r>
      <w:r w:rsidRPr="00F51E52">
        <w:rPr>
          <w:rFonts w:ascii="Times New Roman" w:hAnsi="Times New Roman" w:cs="Times New Roman"/>
          <w:sz w:val="28"/>
          <w:szCs w:val="28"/>
          <w:lang w:eastAsia="ru-RU"/>
        </w:rPr>
        <w:t xml:space="preserve"> тис. грн. - виконання будівельно-монтажних робіт;</w:t>
      </w:r>
    </w:p>
    <w:p w:rsidR="00080EEE" w:rsidRPr="00F51E52" w:rsidRDefault="00080EEE" w:rsidP="00080EE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Реконструкція причалу № 7 (</w:t>
      </w:r>
      <w:r w:rsidRPr="00946626">
        <w:rPr>
          <w:rFonts w:ascii="Times New Roman" w:hAnsi="Times New Roman" w:cs="Times New Roman"/>
          <w:sz w:val="28"/>
          <w:szCs w:val="28"/>
          <w:lang w:eastAsia="ru-RU"/>
        </w:rPr>
        <w:t>Одеська філія</w:t>
      </w:r>
      <w:r>
        <w:rPr>
          <w:rFonts w:ascii="Times New Roman" w:hAnsi="Times New Roman" w:cs="Times New Roman"/>
          <w:sz w:val="28"/>
          <w:szCs w:val="28"/>
          <w:lang w:eastAsia="ru-RU"/>
        </w:rPr>
        <w:t>) – 204 756 тис. грн.;</w:t>
      </w:r>
    </w:p>
    <w:p w:rsidR="00080EEE" w:rsidRPr="00F51E52" w:rsidRDefault="00080EEE" w:rsidP="00080EEE">
      <w:pPr>
        <w:spacing w:after="0" w:line="240" w:lineRule="auto"/>
        <w:ind w:firstLine="567"/>
        <w:jc w:val="both"/>
        <w:rPr>
          <w:rFonts w:ascii="Times New Roman" w:hAnsi="Times New Roman" w:cs="Times New Roman"/>
          <w:sz w:val="28"/>
          <w:szCs w:val="28"/>
          <w:lang w:eastAsia="ru-RU"/>
        </w:rPr>
      </w:pPr>
      <w:r w:rsidRPr="00F51E52">
        <w:rPr>
          <w:rFonts w:ascii="Times New Roman" w:hAnsi="Times New Roman" w:cs="Times New Roman"/>
          <w:sz w:val="28"/>
          <w:szCs w:val="28"/>
          <w:lang w:eastAsia="ru-RU"/>
        </w:rPr>
        <w:t>- Реконструкція транспортної естакади (Одеська філія) – 14 437 тис. грн.</w:t>
      </w:r>
    </w:p>
    <w:p w:rsidR="00080EEE" w:rsidRPr="00F51E52" w:rsidRDefault="00080EEE" w:rsidP="00080EEE">
      <w:pPr>
        <w:spacing w:after="0" w:line="240" w:lineRule="auto"/>
        <w:ind w:firstLine="567"/>
        <w:jc w:val="both"/>
        <w:rPr>
          <w:rFonts w:ascii="Times New Roman" w:hAnsi="Times New Roman" w:cs="Times New Roman"/>
          <w:sz w:val="28"/>
          <w:szCs w:val="28"/>
          <w:lang w:eastAsia="ru-RU"/>
        </w:rPr>
      </w:pPr>
    </w:p>
    <w:p w:rsidR="00080EEE" w:rsidRPr="00561167" w:rsidRDefault="00080EEE" w:rsidP="00080EEE">
      <w:pPr>
        <w:tabs>
          <w:tab w:val="left" w:pos="3795"/>
        </w:tabs>
        <w:spacing w:after="0" w:line="240" w:lineRule="auto"/>
        <w:ind w:firstLine="567"/>
        <w:jc w:val="both"/>
        <w:rPr>
          <w:rFonts w:ascii="Times New Roman" w:hAnsi="Times New Roman" w:cs="Times New Roman"/>
          <w:b/>
          <w:sz w:val="28"/>
          <w:szCs w:val="28"/>
          <w:lang w:val="ru-RU" w:eastAsia="ru-RU"/>
        </w:rPr>
      </w:pPr>
      <w:r>
        <w:rPr>
          <w:rFonts w:ascii="Times New Roman" w:hAnsi="Times New Roman" w:cs="Times New Roman"/>
          <w:b/>
          <w:sz w:val="28"/>
          <w:szCs w:val="28"/>
          <w:lang w:eastAsia="ru-RU"/>
        </w:rPr>
        <w:t>Капітальний ремонт (рядок 40600</w:t>
      </w:r>
      <w:r w:rsidR="00303870" w:rsidRPr="00561167">
        <w:rPr>
          <w:rFonts w:ascii="Times New Roman" w:hAnsi="Times New Roman" w:cs="Times New Roman"/>
          <w:b/>
          <w:sz w:val="28"/>
          <w:szCs w:val="28"/>
          <w:lang w:val="ru-RU" w:eastAsia="ru-RU"/>
        </w:rPr>
        <w:t>)</w:t>
      </w:r>
    </w:p>
    <w:p w:rsidR="00080EEE" w:rsidRPr="00F51E52" w:rsidRDefault="00080EEE" w:rsidP="00080EEE">
      <w:pPr>
        <w:spacing w:after="0" w:line="240" w:lineRule="auto"/>
        <w:ind w:firstLine="567"/>
        <w:jc w:val="both"/>
        <w:rPr>
          <w:rFonts w:ascii="Times New Roman" w:hAnsi="Times New Roman" w:cs="Times New Roman"/>
          <w:sz w:val="28"/>
          <w:szCs w:val="28"/>
        </w:rPr>
      </w:pPr>
      <w:r w:rsidRPr="00F51E52">
        <w:rPr>
          <w:rFonts w:ascii="Times New Roman" w:eastAsia="Times New Roman" w:hAnsi="Times New Roman" w:cs="Times New Roman"/>
          <w:sz w:val="28"/>
          <w:szCs w:val="28"/>
          <w:lang w:eastAsia="ru-RU"/>
        </w:rPr>
        <w:t xml:space="preserve">У </w:t>
      </w:r>
      <w:r w:rsidRPr="00F51E52">
        <w:rPr>
          <w:rFonts w:ascii="Times New Roman" w:eastAsia="Times New Roman" w:hAnsi="Times New Roman" w:cs="Times New Roman"/>
          <w:sz w:val="28"/>
          <w:szCs w:val="28"/>
          <w:lang w:eastAsia="uk-UA"/>
        </w:rPr>
        <w:t>2019</w:t>
      </w:r>
      <w:r>
        <w:rPr>
          <w:rFonts w:ascii="Times New Roman" w:eastAsia="Times New Roman" w:hAnsi="Times New Roman" w:cs="Times New Roman"/>
          <w:sz w:val="28"/>
          <w:szCs w:val="28"/>
          <w:lang w:eastAsia="uk-UA"/>
        </w:rPr>
        <w:t xml:space="preserve"> році</w:t>
      </w:r>
      <w:r w:rsidRPr="00F51E52">
        <w:rPr>
          <w:rFonts w:ascii="Times New Roman" w:eastAsia="Times New Roman" w:hAnsi="Times New Roman" w:cs="Times New Roman"/>
          <w:sz w:val="28"/>
          <w:szCs w:val="28"/>
          <w:lang w:eastAsia="uk-UA"/>
        </w:rPr>
        <w:t xml:space="preserve"> освоєння  </w:t>
      </w:r>
      <w:r w:rsidRPr="00F51E52">
        <w:rPr>
          <w:rFonts w:ascii="Times New Roman" w:eastAsia="Times New Roman" w:hAnsi="Times New Roman" w:cs="Times New Roman"/>
          <w:sz w:val="28"/>
          <w:szCs w:val="28"/>
        </w:rPr>
        <w:t>складає 8 8</w:t>
      </w:r>
      <w:r>
        <w:rPr>
          <w:rFonts w:ascii="Times New Roman" w:eastAsia="Times New Roman" w:hAnsi="Times New Roman" w:cs="Times New Roman"/>
          <w:sz w:val="28"/>
          <w:szCs w:val="28"/>
        </w:rPr>
        <w:t>80</w:t>
      </w:r>
      <w:r w:rsidRPr="00F51E52">
        <w:rPr>
          <w:rFonts w:ascii="Times New Roman" w:eastAsia="Times New Roman" w:hAnsi="Times New Roman" w:cs="Times New Roman"/>
          <w:sz w:val="28"/>
          <w:szCs w:val="28"/>
        </w:rPr>
        <w:t xml:space="preserve"> тис. грн., що перевищує </w:t>
      </w:r>
      <w:r w:rsidRPr="00F51E52">
        <w:rPr>
          <w:rFonts w:ascii="Times New Roman" w:hAnsi="Times New Roman" w:cs="Times New Roman"/>
          <w:sz w:val="28"/>
          <w:szCs w:val="28"/>
        </w:rPr>
        <w:t xml:space="preserve"> плановий показник (2 </w:t>
      </w:r>
      <w:r>
        <w:rPr>
          <w:rFonts w:ascii="Times New Roman" w:hAnsi="Times New Roman" w:cs="Times New Roman"/>
          <w:sz w:val="28"/>
          <w:szCs w:val="28"/>
        </w:rPr>
        <w:t>321</w:t>
      </w:r>
      <w:r w:rsidRPr="00F51E52">
        <w:rPr>
          <w:rFonts w:ascii="Times New Roman" w:hAnsi="Times New Roman" w:cs="Times New Roman"/>
          <w:sz w:val="28"/>
          <w:szCs w:val="28"/>
        </w:rPr>
        <w:t xml:space="preserve"> тис. грн.) на 6 559 тис. грн.</w:t>
      </w:r>
    </w:p>
    <w:p w:rsidR="00080EEE" w:rsidRPr="00145714" w:rsidRDefault="00080EEE" w:rsidP="00080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Виконано п</w:t>
      </w:r>
      <w:r w:rsidRPr="006873DF">
        <w:rPr>
          <w:rFonts w:ascii="Times New Roman" w:hAnsi="Times New Roman" w:cs="Times New Roman"/>
          <w:sz w:val="28"/>
          <w:szCs w:val="28"/>
        </w:rPr>
        <w:t xml:space="preserve">роектні роботи </w:t>
      </w:r>
      <w:r>
        <w:rPr>
          <w:rFonts w:ascii="Times New Roman" w:hAnsi="Times New Roman" w:cs="Times New Roman"/>
          <w:sz w:val="28"/>
          <w:szCs w:val="28"/>
        </w:rPr>
        <w:t>за об’єктом «Капітальний</w:t>
      </w:r>
      <w:r w:rsidRPr="006873DF">
        <w:rPr>
          <w:rFonts w:ascii="Times New Roman" w:hAnsi="Times New Roman" w:cs="Times New Roman"/>
          <w:sz w:val="28"/>
          <w:szCs w:val="28"/>
        </w:rPr>
        <w:t xml:space="preserve"> ремонт службового будинку - право</w:t>
      </w:r>
      <w:r>
        <w:rPr>
          <w:rFonts w:ascii="Times New Roman" w:hAnsi="Times New Roman" w:cs="Times New Roman"/>
          <w:sz w:val="28"/>
          <w:szCs w:val="28"/>
        </w:rPr>
        <w:t>го крила з прохідною інв. № 7902» Бердянської філії.</w:t>
      </w:r>
    </w:p>
    <w:p w:rsidR="00080EEE" w:rsidRDefault="00080EEE" w:rsidP="00080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Укладено договір на розробку проектної документації за об’єктом «Капітальний ремонт з/д шляхів» Одеської філії. Проектно-вишукувальні роботи завершено у повному обсязі.</w:t>
      </w:r>
    </w:p>
    <w:p w:rsidR="00080EEE" w:rsidRPr="00F51E52" w:rsidRDefault="00080EEE" w:rsidP="00080EEE">
      <w:pPr>
        <w:spacing w:after="0" w:line="240" w:lineRule="auto"/>
        <w:ind w:left="567"/>
        <w:contextualSpacing/>
        <w:jc w:val="both"/>
        <w:rPr>
          <w:rFonts w:ascii="Times New Roman" w:hAnsi="Times New Roman"/>
          <w:sz w:val="28"/>
          <w:szCs w:val="28"/>
        </w:rPr>
      </w:pPr>
    </w:p>
    <w:p w:rsidR="00080EEE" w:rsidRDefault="00080EEE" w:rsidP="00080EEE">
      <w:pPr>
        <w:spacing w:after="0" w:line="240" w:lineRule="auto"/>
        <w:ind w:left="567"/>
        <w:contextualSpacing/>
        <w:jc w:val="both"/>
        <w:rPr>
          <w:rFonts w:ascii="Times New Roman" w:hAnsi="Times New Roman"/>
          <w:sz w:val="28"/>
          <w:szCs w:val="28"/>
        </w:rPr>
      </w:pPr>
      <w:r w:rsidRPr="00F51E52">
        <w:rPr>
          <w:rFonts w:ascii="Times New Roman" w:hAnsi="Times New Roman"/>
          <w:sz w:val="28"/>
          <w:szCs w:val="28"/>
        </w:rPr>
        <w:t>Інвестиційна діяльність</w:t>
      </w:r>
      <w:r w:rsidRPr="00F51E52">
        <w:rPr>
          <w:rFonts w:ascii="Times New Roman" w:hAnsi="Times New Roman"/>
          <w:sz w:val="24"/>
          <w:szCs w:val="28"/>
        </w:rPr>
        <w:t xml:space="preserve"> </w:t>
      </w:r>
      <w:r w:rsidRPr="00F51E52">
        <w:rPr>
          <w:rFonts w:ascii="Times New Roman" w:hAnsi="Times New Roman"/>
          <w:sz w:val="28"/>
          <w:szCs w:val="28"/>
        </w:rPr>
        <w:t>здійснювалася за власні кошти підприємства.</w:t>
      </w:r>
    </w:p>
    <w:p w:rsidR="00080EEE" w:rsidRDefault="00080EEE" w:rsidP="00080EEE">
      <w:pPr>
        <w:spacing w:after="0" w:line="240" w:lineRule="auto"/>
        <w:ind w:left="567"/>
        <w:contextualSpacing/>
        <w:jc w:val="both"/>
        <w:rPr>
          <w:rFonts w:ascii="Times New Roman" w:hAnsi="Times New Roman"/>
          <w:sz w:val="28"/>
          <w:szCs w:val="28"/>
        </w:rPr>
      </w:pPr>
    </w:p>
    <w:p w:rsidR="00080EEE" w:rsidRDefault="00080EEE" w:rsidP="00080EEE">
      <w:pPr>
        <w:spacing w:after="0" w:line="240" w:lineRule="auto"/>
        <w:ind w:left="567"/>
        <w:contextualSpacing/>
        <w:jc w:val="both"/>
        <w:rPr>
          <w:rFonts w:ascii="Times New Roman" w:hAnsi="Times New Roman"/>
          <w:sz w:val="28"/>
          <w:szCs w:val="28"/>
        </w:rPr>
      </w:pPr>
    </w:p>
    <w:p w:rsidR="00080EEE" w:rsidRDefault="00080EEE" w:rsidP="00080EEE">
      <w:pPr>
        <w:spacing w:after="0" w:line="240" w:lineRule="auto"/>
        <w:ind w:left="567"/>
        <w:contextualSpacing/>
        <w:jc w:val="both"/>
        <w:rPr>
          <w:rFonts w:ascii="Times New Roman" w:hAnsi="Times New Roman"/>
          <w:sz w:val="28"/>
          <w:szCs w:val="28"/>
        </w:rPr>
      </w:pPr>
    </w:p>
    <w:p w:rsidR="00080EEE" w:rsidRDefault="00080EEE" w:rsidP="00080EEE">
      <w:pPr>
        <w:spacing w:after="0" w:line="240" w:lineRule="auto"/>
        <w:ind w:left="567"/>
        <w:contextualSpacing/>
        <w:jc w:val="both"/>
        <w:rPr>
          <w:rFonts w:ascii="Times New Roman" w:hAnsi="Times New Roman"/>
          <w:sz w:val="28"/>
          <w:szCs w:val="28"/>
        </w:rPr>
      </w:pPr>
    </w:p>
    <w:p w:rsidR="00080EEE" w:rsidRDefault="00080EEE" w:rsidP="00080EEE">
      <w:pPr>
        <w:spacing w:after="0" w:line="240" w:lineRule="auto"/>
        <w:ind w:left="567"/>
        <w:contextualSpacing/>
        <w:jc w:val="both"/>
        <w:rPr>
          <w:rFonts w:ascii="Times New Roman" w:hAnsi="Times New Roman"/>
          <w:sz w:val="28"/>
          <w:szCs w:val="28"/>
        </w:rPr>
      </w:pPr>
    </w:p>
    <w:p w:rsidR="00080EEE" w:rsidRDefault="00080EEE" w:rsidP="00080EEE">
      <w:pPr>
        <w:spacing w:after="0" w:line="240" w:lineRule="auto"/>
        <w:ind w:left="567"/>
        <w:contextualSpacing/>
        <w:jc w:val="both"/>
        <w:rPr>
          <w:rFonts w:ascii="Times New Roman" w:hAnsi="Times New Roman"/>
          <w:sz w:val="28"/>
          <w:szCs w:val="28"/>
        </w:rPr>
      </w:pPr>
    </w:p>
    <w:p w:rsidR="00080EEE" w:rsidRDefault="00080EEE" w:rsidP="00080EEE">
      <w:pPr>
        <w:spacing w:after="0" w:line="240" w:lineRule="auto"/>
        <w:ind w:left="567"/>
        <w:contextualSpacing/>
        <w:jc w:val="both"/>
        <w:rPr>
          <w:rFonts w:ascii="Times New Roman" w:hAnsi="Times New Roman"/>
          <w:sz w:val="28"/>
          <w:szCs w:val="28"/>
        </w:rPr>
      </w:pPr>
    </w:p>
    <w:p w:rsidR="00080EEE" w:rsidRPr="00F51E52" w:rsidRDefault="00080EEE" w:rsidP="00080EEE">
      <w:pPr>
        <w:spacing w:after="0" w:line="240" w:lineRule="auto"/>
        <w:ind w:left="567"/>
        <w:contextualSpacing/>
        <w:jc w:val="both"/>
        <w:rPr>
          <w:rFonts w:ascii="Times New Roman" w:hAnsi="Times New Roman"/>
          <w:sz w:val="28"/>
          <w:szCs w:val="28"/>
        </w:rPr>
      </w:pPr>
      <w:r w:rsidRPr="00946626">
        <w:rPr>
          <w:rFonts w:ascii="Times New Roman" w:hAnsi="Times New Roman"/>
          <w:sz w:val="28"/>
          <w:szCs w:val="28"/>
        </w:rPr>
        <w:t>В. о.  Голови ДП «АМПУ»                                                      О. Г. Голодницький</w:t>
      </w:r>
    </w:p>
    <w:p w:rsidR="002B3752" w:rsidRPr="00C61B4C" w:rsidRDefault="0064492F" w:rsidP="0064492F">
      <w:pPr>
        <w:spacing w:after="0" w:line="240" w:lineRule="auto"/>
        <w:ind w:firstLine="567"/>
        <w:jc w:val="both"/>
        <w:rPr>
          <w:rFonts w:ascii="Times New Roman" w:eastAsia="Times New Roman" w:hAnsi="Times New Roman" w:cs="Times New Roman"/>
          <w:color w:val="FF0000"/>
          <w:sz w:val="28"/>
          <w:szCs w:val="28"/>
          <w:lang w:val="ru-RU" w:eastAsia="ru-RU"/>
        </w:rPr>
      </w:pPr>
      <w:r w:rsidRPr="00C61B4C">
        <w:rPr>
          <w:rFonts w:ascii="Times New Roman" w:eastAsia="Times New Roman" w:hAnsi="Times New Roman" w:cs="Times New Roman"/>
          <w:color w:val="FF0000"/>
          <w:sz w:val="28"/>
          <w:szCs w:val="28"/>
          <w:lang w:eastAsia="ru-RU"/>
        </w:rPr>
        <w:t xml:space="preserve">      </w:t>
      </w:r>
      <w:r w:rsidR="002B3752" w:rsidRPr="00C61B4C">
        <w:rPr>
          <w:rFonts w:ascii="Times New Roman" w:eastAsia="Times New Roman" w:hAnsi="Times New Roman" w:cs="Times New Roman"/>
          <w:color w:val="FF0000"/>
          <w:sz w:val="28"/>
          <w:szCs w:val="28"/>
          <w:lang w:val="ru-RU" w:eastAsia="ru-RU"/>
        </w:rPr>
        <w:tab/>
      </w:r>
    </w:p>
    <w:sectPr w:rsidR="002B3752" w:rsidRPr="00C61B4C" w:rsidSect="0004263A">
      <w:pgSz w:w="11906" w:h="16838"/>
      <w:pgMar w:top="851" w:right="851" w:bottom="851" w:left="1134" w:header="62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70" w:rsidRDefault="00303870">
      <w:pPr>
        <w:spacing w:after="0" w:line="240" w:lineRule="auto"/>
      </w:pPr>
      <w:r>
        <w:separator/>
      </w:r>
    </w:p>
  </w:endnote>
  <w:endnote w:type="continuationSeparator" w:id="0">
    <w:p w:rsidR="00303870" w:rsidRDefault="0030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70" w:rsidRDefault="00303870">
      <w:pPr>
        <w:spacing w:after="0" w:line="240" w:lineRule="auto"/>
      </w:pPr>
      <w:r>
        <w:separator/>
      </w:r>
    </w:p>
  </w:footnote>
  <w:footnote w:type="continuationSeparator" w:id="0">
    <w:p w:rsidR="00303870" w:rsidRDefault="00303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4E0"/>
    <w:multiLevelType w:val="hybridMultilevel"/>
    <w:tmpl w:val="017C482E"/>
    <w:lvl w:ilvl="0" w:tplc="A9C0DFDE">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5A418FD"/>
    <w:multiLevelType w:val="hybridMultilevel"/>
    <w:tmpl w:val="40A8EF90"/>
    <w:lvl w:ilvl="0" w:tplc="A61608EE">
      <w:numFmt w:val="bullet"/>
      <w:lvlText w:val="-"/>
      <w:lvlJc w:val="left"/>
      <w:pPr>
        <w:tabs>
          <w:tab w:val="num" w:pos="1416"/>
        </w:tabs>
        <w:ind w:left="1416" w:hanging="990"/>
      </w:pPr>
      <w:rPr>
        <w:rFonts w:ascii="Times New Roman" w:eastAsia="Times New Roman" w:hAnsi="Times New Roman" w:cs="Times New Roman" w:hint="default"/>
      </w:rPr>
    </w:lvl>
    <w:lvl w:ilvl="1" w:tplc="01D6A8F4">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95C30"/>
    <w:multiLevelType w:val="hybridMultilevel"/>
    <w:tmpl w:val="6C0C7AAC"/>
    <w:lvl w:ilvl="0" w:tplc="780E1214">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5634BA"/>
    <w:multiLevelType w:val="hybridMultilevel"/>
    <w:tmpl w:val="C016BCF6"/>
    <w:lvl w:ilvl="0" w:tplc="2C62042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4C7EA5"/>
    <w:multiLevelType w:val="multilevel"/>
    <w:tmpl w:val="E962F7F4"/>
    <w:lvl w:ilvl="0">
      <w:start w:val="1"/>
      <w:numFmt w:val="decimal"/>
      <w:lvlText w:val="%1."/>
      <w:lvlJc w:val="left"/>
      <w:pPr>
        <w:ind w:left="1068" w:hanging="360"/>
      </w:pPr>
      <w:rPr>
        <w:rFonts w:hint="default"/>
        <w:color w:val="000000"/>
      </w:rPr>
    </w:lvl>
    <w:lvl w:ilvl="1">
      <w:start w:val="1"/>
      <w:numFmt w:val="decimal"/>
      <w:isLgl/>
      <w:lvlText w:val="%1.%2."/>
      <w:lvlJc w:val="left"/>
      <w:pPr>
        <w:ind w:left="1855" w:hanging="720"/>
      </w:pPr>
      <w:rPr>
        <w:rFonts w:hint="default"/>
        <w:b/>
      </w:rPr>
    </w:lvl>
    <w:lvl w:ilvl="2">
      <w:start w:val="1"/>
      <w:numFmt w:val="decimal"/>
      <w:isLgl/>
      <w:lvlText w:val="%1.%2.%3."/>
      <w:lvlJc w:val="left"/>
      <w:pPr>
        <w:ind w:left="1632"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58"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222" w:hanging="1800"/>
      </w:pPr>
      <w:rPr>
        <w:rFonts w:hint="default"/>
      </w:rPr>
    </w:lvl>
    <w:lvl w:ilvl="8">
      <w:start w:val="1"/>
      <w:numFmt w:val="decimal"/>
      <w:isLgl/>
      <w:lvlText w:val="%1.%2.%3.%4.%5.%6.%7.%8.%9."/>
      <w:lvlJc w:val="left"/>
      <w:pPr>
        <w:ind w:left="3684" w:hanging="2160"/>
      </w:pPr>
      <w:rPr>
        <w:rFonts w:hint="default"/>
      </w:rPr>
    </w:lvl>
  </w:abstractNum>
  <w:abstractNum w:abstractNumId="5" w15:restartNumberingAfterBreak="0">
    <w:nsid w:val="0F473973"/>
    <w:multiLevelType w:val="hybridMultilevel"/>
    <w:tmpl w:val="772C3D2A"/>
    <w:lvl w:ilvl="0" w:tplc="EAE88CE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6BA0096"/>
    <w:multiLevelType w:val="hybridMultilevel"/>
    <w:tmpl w:val="3698B24A"/>
    <w:lvl w:ilvl="0" w:tplc="EAC88B18">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DB7B95"/>
    <w:multiLevelType w:val="hybridMultilevel"/>
    <w:tmpl w:val="B5AAF3E0"/>
    <w:lvl w:ilvl="0" w:tplc="10F8638E">
      <w:start w:val="4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6E199A"/>
    <w:multiLevelType w:val="hybridMultilevel"/>
    <w:tmpl w:val="EC38C624"/>
    <w:lvl w:ilvl="0" w:tplc="E2F6AD18">
      <w:numFmt w:val="bullet"/>
      <w:lvlText w:val="-"/>
      <w:lvlJc w:val="left"/>
      <w:pPr>
        <w:ind w:left="644" w:hanging="360"/>
      </w:pPr>
      <w:rPr>
        <w:rFonts w:ascii="Times New Roman" w:hAnsi="Times New Roman" w:cs="Times New Roman" w:hint="default"/>
        <w:spacing w:val="-20"/>
        <w:position w:val="0"/>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EC02CF"/>
    <w:multiLevelType w:val="multilevel"/>
    <w:tmpl w:val="D9064F1A"/>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15:restartNumberingAfterBreak="0">
    <w:nsid w:val="1D4C133A"/>
    <w:multiLevelType w:val="multilevel"/>
    <w:tmpl w:val="7BD65CD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EFB4B1A"/>
    <w:multiLevelType w:val="hybridMultilevel"/>
    <w:tmpl w:val="A31CDF0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1823A4E"/>
    <w:multiLevelType w:val="multilevel"/>
    <w:tmpl w:val="E962F7F4"/>
    <w:lvl w:ilvl="0">
      <w:start w:val="1"/>
      <w:numFmt w:val="decimal"/>
      <w:lvlText w:val="%1."/>
      <w:lvlJc w:val="left"/>
      <w:pPr>
        <w:ind w:left="1068" w:hanging="360"/>
      </w:pPr>
      <w:rPr>
        <w:rFonts w:hint="default"/>
        <w:color w:val="000000"/>
        <w:sz w:val="28"/>
      </w:rPr>
    </w:lvl>
    <w:lvl w:ilvl="1">
      <w:start w:val="1"/>
      <w:numFmt w:val="decimal"/>
      <w:isLgl/>
      <w:lvlText w:val="%1.%2."/>
      <w:lvlJc w:val="left"/>
      <w:pPr>
        <w:ind w:left="1855" w:hanging="720"/>
      </w:pPr>
      <w:rPr>
        <w:rFonts w:hint="default"/>
        <w:b/>
      </w:rPr>
    </w:lvl>
    <w:lvl w:ilvl="2">
      <w:start w:val="1"/>
      <w:numFmt w:val="decimal"/>
      <w:isLgl/>
      <w:lvlText w:val="%1.%2.%3."/>
      <w:lvlJc w:val="left"/>
      <w:pPr>
        <w:ind w:left="1632"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58"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22" w:hanging="1800"/>
      </w:pPr>
      <w:rPr>
        <w:rFonts w:hint="default"/>
      </w:rPr>
    </w:lvl>
    <w:lvl w:ilvl="8">
      <w:start w:val="1"/>
      <w:numFmt w:val="decimal"/>
      <w:isLgl/>
      <w:lvlText w:val="%1.%2.%3.%4.%5.%6.%7.%8.%9."/>
      <w:lvlJc w:val="left"/>
      <w:pPr>
        <w:ind w:left="3684" w:hanging="2160"/>
      </w:pPr>
      <w:rPr>
        <w:rFonts w:hint="default"/>
      </w:rPr>
    </w:lvl>
  </w:abstractNum>
  <w:abstractNum w:abstractNumId="13" w15:restartNumberingAfterBreak="0">
    <w:nsid w:val="23510A50"/>
    <w:multiLevelType w:val="hybridMultilevel"/>
    <w:tmpl w:val="8B4EB37A"/>
    <w:lvl w:ilvl="0" w:tplc="CB9CA79A">
      <w:numFmt w:val="bullet"/>
      <w:lvlText w:val="-"/>
      <w:lvlJc w:val="left"/>
      <w:pPr>
        <w:ind w:left="720" w:hanging="360"/>
      </w:pPr>
      <w:rPr>
        <w:rFonts w:ascii="Times New Roman" w:eastAsia="Times New Roman" w:hAnsi="Times New Roman" w:cs="Times New Roman" w:hint="default"/>
        <w:color w:val="auto"/>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9E3CD9"/>
    <w:multiLevelType w:val="hybridMultilevel"/>
    <w:tmpl w:val="39A00DE8"/>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5" w15:restartNumberingAfterBreak="0">
    <w:nsid w:val="386B14CC"/>
    <w:multiLevelType w:val="hybridMultilevel"/>
    <w:tmpl w:val="FBFC9546"/>
    <w:lvl w:ilvl="0" w:tplc="E280FC92">
      <w:start w:val="138"/>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9645F68"/>
    <w:multiLevelType w:val="hybridMultilevel"/>
    <w:tmpl w:val="162E36C0"/>
    <w:lvl w:ilvl="0" w:tplc="0364598E">
      <w:start w:val="7"/>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D4106"/>
    <w:multiLevelType w:val="hybridMultilevel"/>
    <w:tmpl w:val="2EBA0918"/>
    <w:lvl w:ilvl="0" w:tplc="2D20AA78">
      <w:start w:val="482"/>
      <w:numFmt w:val="bullet"/>
      <w:lvlText w:val="-"/>
      <w:lvlJc w:val="left"/>
      <w:pPr>
        <w:ind w:left="360" w:hanging="360"/>
      </w:pPr>
      <w:rPr>
        <w:rFonts w:ascii="Times New Roman" w:eastAsia="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0571769"/>
    <w:multiLevelType w:val="hybridMultilevel"/>
    <w:tmpl w:val="139A5E5E"/>
    <w:lvl w:ilvl="0" w:tplc="AB66D41C">
      <w:start w:val="17"/>
      <w:numFmt w:val="bullet"/>
      <w:lvlText w:val="-"/>
      <w:lvlJc w:val="left"/>
      <w:pPr>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43C8015C"/>
    <w:multiLevelType w:val="hybridMultilevel"/>
    <w:tmpl w:val="17C2D2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B51064"/>
    <w:multiLevelType w:val="hybridMultilevel"/>
    <w:tmpl w:val="CFEE95CA"/>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1" w15:restartNumberingAfterBreak="0">
    <w:nsid w:val="48A81316"/>
    <w:multiLevelType w:val="multilevel"/>
    <w:tmpl w:val="D9064F1A"/>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15:restartNumberingAfterBreak="0">
    <w:nsid w:val="523D3DC0"/>
    <w:multiLevelType w:val="hybridMultilevel"/>
    <w:tmpl w:val="D7DA6174"/>
    <w:lvl w:ilvl="0" w:tplc="7C64A668">
      <w:start w:val="12"/>
      <w:numFmt w:val="bullet"/>
      <w:lvlText w:val="-"/>
      <w:lvlJc w:val="left"/>
      <w:pPr>
        <w:ind w:left="1350" w:hanging="360"/>
      </w:pPr>
      <w:rPr>
        <w:rFonts w:ascii="Times New Roman" w:eastAsia="Times New Roman" w:hAnsi="Times New Roman" w:cs="Times New Roman" w:hint="default"/>
        <w:color w:val="auto"/>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23" w15:restartNumberingAfterBreak="0">
    <w:nsid w:val="53582919"/>
    <w:multiLevelType w:val="multilevel"/>
    <w:tmpl w:val="A8623152"/>
    <w:lvl w:ilvl="0">
      <w:start w:val="2"/>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15:restartNumberingAfterBreak="0">
    <w:nsid w:val="5797779E"/>
    <w:multiLevelType w:val="hybridMultilevel"/>
    <w:tmpl w:val="6A7A6AF0"/>
    <w:lvl w:ilvl="0" w:tplc="9D52D626">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87705EC"/>
    <w:multiLevelType w:val="hybridMultilevel"/>
    <w:tmpl w:val="A34881AE"/>
    <w:lvl w:ilvl="0" w:tplc="91EA3626">
      <w:start w:val="57"/>
      <w:numFmt w:val="bullet"/>
      <w:lvlText w:val="-"/>
      <w:lvlJc w:val="left"/>
      <w:pPr>
        <w:ind w:left="360" w:hanging="360"/>
      </w:pPr>
      <w:rPr>
        <w:rFonts w:ascii="Times New Roman" w:eastAsiaTheme="minorHAns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89E7B3B"/>
    <w:multiLevelType w:val="multilevel"/>
    <w:tmpl w:val="A7CE24F8"/>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15:restartNumberingAfterBreak="0">
    <w:nsid w:val="5B6B6CB1"/>
    <w:multiLevelType w:val="multilevel"/>
    <w:tmpl w:val="10609462"/>
    <w:lvl w:ilvl="0">
      <w:start w:val="2"/>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8" w15:restartNumberingAfterBreak="0">
    <w:nsid w:val="64E02DAC"/>
    <w:multiLevelType w:val="hybridMultilevel"/>
    <w:tmpl w:val="F37EC2F6"/>
    <w:lvl w:ilvl="0" w:tplc="BCBE5BAA">
      <w:start w:val="8"/>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9" w15:restartNumberingAfterBreak="0">
    <w:nsid w:val="65286C99"/>
    <w:multiLevelType w:val="hybridMultilevel"/>
    <w:tmpl w:val="C1D0F23C"/>
    <w:lvl w:ilvl="0" w:tplc="04220001">
      <w:start w:val="1"/>
      <w:numFmt w:val="bullet"/>
      <w:lvlText w:val=""/>
      <w:lvlJc w:val="left"/>
      <w:pPr>
        <w:ind w:left="1275" w:hanging="360"/>
      </w:pPr>
      <w:rPr>
        <w:rFonts w:ascii="Symbol" w:hAnsi="Symbol"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30" w15:restartNumberingAfterBreak="0">
    <w:nsid w:val="73734C5E"/>
    <w:multiLevelType w:val="hybridMultilevel"/>
    <w:tmpl w:val="15FCBF46"/>
    <w:lvl w:ilvl="0" w:tplc="7C64A668">
      <w:start w:val="1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2F5914"/>
    <w:multiLevelType w:val="hybridMultilevel"/>
    <w:tmpl w:val="1688D4FC"/>
    <w:lvl w:ilvl="0" w:tplc="CB9CA79A">
      <w:numFmt w:val="bullet"/>
      <w:lvlText w:val="-"/>
      <w:lvlJc w:val="left"/>
      <w:pPr>
        <w:ind w:left="1560" w:hanging="360"/>
      </w:pPr>
      <w:rPr>
        <w:rFonts w:ascii="Times New Roman" w:eastAsia="Times New Roman" w:hAnsi="Times New Roman" w:cs="Times New Roman" w:hint="default"/>
        <w:color w:val="auto"/>
        <w:lang w:val="ru-RU"/>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32" w15:restartNumberingAfterBreak="0">
    <w:nsid w:val="77474260"/>
    <w:multiLevelType w:val="multilevel"/>
    <w:tmpl w:val="95509BAA"/>
    <w:lvl w:ilvl="0">
      <w:start w:val="1"/>
      <w:numFmt w:val="decimal"/>
      <w:lvlText w:val="%1."/>
      <w:lvlJc w:val="left"/>
      <w:pPr>
        <w:ind w:left="927" w:hanging="360"/>
      </w:pPr>
      <w:rPr>
        <w:rFonts w:hint="default"/>
        <w:sz w:val="28"/>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15:restartNumberingAfterBreak="0">
    <w:nsid w:val="7B316127"/>
    <w:multiLevelType w:val="hybridMultilevel"/>
    <w:tmpl w:val="D442A49A"/>
    <w:lvl w:ilvl="0" w:tplc="E4227162">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BC340EF"/>
    <w:multiLevelType w:val="hybridMultilevel"/>
    <w:tmpl w:val="6CCE7B4A"/>
    <w:lvl w:ilvl="0" w:tplc="7384FB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0"/>
  </w:num>
  <w:num w:numId="4">
    <w:abstractNumId w:val="3"/>
  </w:num>
  <w:num w:numId="5">
    <w:abstractNumId w:val="23"/>
  </w:num>
  <w:num w:numId="6">
    <w:abstractNumId w:val="0"/>
  </w:num>
  <w:num w:numId="7">
    <w:abstractNumId w:val="29"/>
  </w:num>
  <w:num w:numId="8">
    <w:abstractNumId w:val="18"/>
  </w:num>
  <w:num w:numId="9">
    <w:abstractNumId w:val="33"/>
  </w:num>
  <w:num w:numId="10">
    <w:abstractNumId w:val="8"/>
  </w:num>
  <w:num w:numId="11">
    <w:abstractNumId w:val="28"/>
  </w:num>
  <w:num w:numId="12">
    <w:abstractNumId w:val="17"/>
  </w:num>
  <w:num w:numId="13">
    <w:abstractNumId w:val="7"/>
  </w:num>
  <w:num w:numId="14">
    <w:abstractNumId w:val="21"/>
  </w:num>
  <w:num w:numId="15">
    <w:abstractNumId w:val="1"/>
  </w:num>
  <w:num w:numId="16">
    <w:abstractNumId w:val="6"/>
  </w:num>
  <w:num w:numId="17">
    <w:abstractNumId w:val="6"/>
  </w:num>
  <w:num w:numId="18">
    <w:abstractNumId w:val="14"/>
  </w:num>
  <w:num w:numId="19">
    <w:abstractNumId w:val="20"/>
  </w:num>
  <w:num w:numId="20">
    <w:abstractNumId w:val="32"/>
  </w:num>
  <w:num w:numId="21">
    <w:abstractNumId w:val="10"/>
  </w:num>
  <w:num w:numId="22">
    <w:abstractNumId w:val="31"/>
  </w:num>
  <w:num w:numId="23">
    <w:abstractNumId w:val="13"/>
  </w:num>
  <w:num w:numId="24">
    <w:abstractNumId w:val="22"/>
  </w:num>
  <w:num w:numId="25">
    <w:abstractNumId w:val="11"/>
  </w:num>
  <w:num w:numId="26">
    <w:abstractNumId w:val="15"/>
  </w:num>
  <w:num w:numId="27">
    <w:abstractNumId w:val="25"/>
  </w:num>
  <w:num w:numId="28">
    <w:abstractNumId w:val="9"/>
  </w:num>
  <w:num w:numId="29">
    <w:abstractNumId w:val="27"/>
  </w:num>
  <w:num w:numId="30">
    <w:abstractNumId w:val="2"/>
  </w:num>
  <w:num w:numId="31">
    <w:abstractNumId w:val="26"/>
  </w:num>
  <w:num w:numId="32">
    <w:abstractNumId w:val="24"/>
  </w:num>
  <w:num w:numId="33">
    <w:abstractNumId w:val="5"/>
  </w:num>
  <w:num w:numId="3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4"/>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39"/>
    <w:rsid w:val="000039F6"/>
    <w:rsid w:val="00004537"/>
    <w:rsid w:val="00005A55"/>
    <w:rsid w:val="00005BFA"/>
    <w:rsid w:val="00012FED"/>
    <w:rsid w:val="00020C15"/>
    <w:rsid w:val="0002133F"/>
    <w:rsid w:val="000236EA"/>
    <w:rsid w:val="0002528F"/>
    <w:rsid w:val="000261CF"/>
    <w:rsid w:val="0002623C"/>
    <w:rsid w:val="00026A44"/>
    <w:rsid w:val="00027791"/>
    <w:rsid w:val="00027BB7"/>
    <w:rsid w:val="00030AF5"/>
    <w:rsid w:val="00033120"/>
    <w:rsid w:val="00034336"/>
    <w:rsid w:val="00041A45"/>
    <w:rsid w:val="0004261E"/>
    <w:rsid w:val="0004263A"/>
    <w:rsid w:val="00043023"/>
    <w:rsid w:val="00044144"/>
    <w:rsid w:val="00044ACB"/>
    <w:rsid w:val="000505BE"/>
    <w:rsid w:val="00053DF1"/>
    <w:rsid w:val="00053ED0"/>
    <w:rsid w:val="00054618"/>
    <w:rsid w:val="00055A1A"/>
    <w:rsid w:val="000568A2"/>
    <w:rsid w:val="00057C9F"/>
    <w:rsid w:val="00057F38"/>
    <w:rsid w:val="00063360"/>
    <w:rsid w:val="00073889"/>
    <w:rsid w:val="00080EEE"/>
    <w:rsid w:val="00087434"/>
    <w:rsid w:val="000913D0"/>
    <w:rsid w:val="00091E9E"/>
    <w:rsid w:val="00094CB8"/>
    <w:rsid w:val="000954BE"/>
    <w:rsid w:val="00095797"/>
    <w:rsid w:val="000A2BC3"/>
    <w:rsid w:val="000A323C"/>
    <w:rsid w:val="000A4EEA"/>
    <w:rsid w:val="000A57ED"/>
    <w:rsid w:val="000A5C37"/>
    <w:rsid w:val="000B1B02"/>
    <w:rsid w:val="000B28D3"/>
    <w:rsid w:val="000B73F3"/>
    <w:rsid w:val="000C033F"/>
    <w:rsid w:val="000C6A89"/>
    <w:rsid w:val="000C6BA5"/>
    <w:rsid w:val="000C7450"/>
    <w:rsid w:val="000D00B6"/>
    <w:rsid w:val="000D041C"/>
    <w:rsid w:val="000D2E7F"/>
    <w:rsid w:val="000D4514"/>
    <w:rsid w:val="000E1114"/>
    <w:rsid w:val="000E2F36"/>
    <w:rsid w:val="000E4248"/>
    <w:rsid w:val="000E65A8"/>
    <w:rsid w:val="000E6B2B"/>
    <w:rsid w:val="000E762C"/>
    <w:rsid w:val="000F2EEF"/>
    <w:rsid w:val="000F5625"/>
    <w:rsid w:val="000F72D5"/>
    <w:rsid w:val="00104F2A"/>
    <w:rsid w:val="001138E2"/>
    <w:rsid w:val="00114561"/>
    <w:rsid w:val="00117E07"/>
    <w:rsid w:val="00120A1D"/>
    <w:rsid w:val="001225BE"/>
    <w:rsid w:val="00122E1B"/>
    <w:rsid w:val="00124857"/>
    <w:rsid w:val="00125C3C"/>
    <w:rsid w:val="001269F3"/>
    <w:rsid w:val="00132130"/>
    <w:rsid w:val="00133E9E"/>
    <w:rsid w:val="001378D2"/>
    <w:rsid w:val="00140C4C"/>
    <w:rsid w:val="00141A52"/>
    <w:rsid w:val="0014695E"/>
    <w:rsid w:val="00146A92"/>
    <w:rsid w:val="001474BD"/>
    <w:rsid w:val="001513E0"/>
    <w:rsid w:val="001519C2"/>
    <w:rsid w:val="00151BD5"/>
    <w:rsid w:val="00165202"/>
    <w:rsid w:val="00172AA5"/>
    <w:rsid w:val="00172B72"/>
    <w:rsid w:val="00173F5B"/>
    <w:rsid w:val="00174E07"/>
    <w:rsid w:val="00175035"/>
    <w:rsid w:val="00176216"/>
    <w:rsid w:val="00180E14"/>
    <w:rsid w:val="00180F63"/>
    <w:rsid w:val="00194E45"/>
    <w:rsid w:val="0019609D"/>
    <w:rsid w:val="001A38C1"/>
    <w:rsid w:val="001A7FC0"/>
    <w:rsid w:val="001B2BEE"/>
    <w:rsid w:val="001C0890"/>
    <w:rsid w:val="001C290B"/>
    <w:rsid w:val="001C7224"/>
    <w:rsid w:val="001D0504"/>
    <w:rsid w:val="001D4C03"/>
    <w:rsid w:val="001D559E"/>
    <w:rsid w:val="001E2FBE"/>
    <w:rsid w:val="001F22E4"/>
    <w:rsid w:val="001F23DB"/>
    <w:rsid w:val="001F3786"/>
    <w:rsid w:val="001F4077"/>
    <w:rsid w:val="001F4D2F"/>
    <w:rsid w:val="001F58ED"/>
    <w:rsid w:val="00200C5A"/>
    <w:rsid w:val="00201616"/>
    <w:rsid w:val="002024EC"/>
    <w:rsid w:val="00203986"/>
    <w:rsid w:val="00203F00"/>
    <w:rsid w:val="0020709B"/>
    <w:rsid w:val="00212232"/>
    <w:rsid w:val="00212C4F"/>
    <w:rsid w:val="00213492"/>
    <w:rsid w:val="0021546D"/>
    <w:rsid w:val="0021588F"/>
    <w:rsid w:val="002166F7"/>
    <w:rsid w:val="00216A5A"/>
    <w:rsid w:val="00221C17"/>
    <w:rsid w:val="00221DB0"/>
    <w:rsid w:val="00222165"/>
    <w:rsid w:val="00223CF2"/>
    <w:rsid w:val="002251A2"/>
    <w:rsid w:val="002311F2"/>
    <w:rsid w:val="002317BF"/>
    <w:rsid w:val="002339E4"/>
    <w:rsid w:val="002348FA"/>
    <w:rsid w:val="002368B5"/>
    <w:rsid w:val="00237A22"/>
    <w:rsid w:val="002449D6"/>
    <w:rsid w:val="00245400"/>
    <w:rsid w:val="00251E5E"/>
    <w:rsid w:val="002531CF"/>
    <w:rsid w:val="00254943"/>
    <w:rsid w:val="00256DB1"/>
    <w:rsid w:val="00257F36"/>
    <w:rsid w:val="0026049F"/>
    <w:rsid w:val="002618C0"/>
    <w:rsid w:val="00264F78"/>
    <w:rsid w:val="00266B29"/>
    <w:rsid w:val="00274CE9"/>
    <w:rsid w:val="00274FFE"/>
    <w:rsid w:val="0029025E"/>
    <w:rsid w:val="002932A3"/>
    <w:rsid w:val="002937D0"/>
    <w:rsid w:val="002961EF"/>
    <w:rsid w:val="002962DA"/>
    <w:rsid w:val="00297220"/>
    <w:rsid w:val="002A0293"/>
    <w:rsid w:val="002A2380"/>
    <w:rsid w:val="002A310E"/>
    <w:rsid w:val="002A3EDF"/>
    <w:rsid w:val="002A4A80"/>
    <w:rsid w:val="002A574D"/>
    <w:rsid w:val="002B1339"/>
    <w:rsid w:val="002B3752"/>
    <w:rsid w:val="002C0FA3"/>
    <w:rsid w:val="002C1B24"/>
    <w:rsid w:val="002C3B37"/>
    <w:rsid w:val="002C3D2D"/>
    <w:rsid w:val="002C48AB"/>
    <w:rsid w:val="002C61BC"/>
    <w:rsid w:val="002C63FC"/>
    <w:rsid w:val="002C67CE"/>
    <w:rsid w:val="002C6B07"/>
    <w:rsid w:val="002C7E91"/>
    <w:rsid w:val="002D2908"/>
    <w:rsid w:val="002D3C51"/>
    <w:rsid w:val="002D42FA"/>
    <w:rsid w:val="002D777A"/>
    <w:rsid w:val="002D7F85"/>
    <w:rsid w:val="002E2ED9"/>
    <w:rsid w:val="002E4C11"/>
    <w:rsid w:val="002E7476"/>
    <w:rsid w:val="002F43EB"/>
    <w:rsid w:val="002F768D"/>
    <w:rsid w:val="0030017C"/>
    <w:rsid w:val="003015A0"/>
    <w:rsid w:val="00301A20"/>
    <w:rsid w:val="00302F28"/>
    <w:rsid w:val="00303870"/>
    <w:rsid w:val="00304154"/>
    <w:rsid w:val="003108C0"/>
    <w:rsid w:val="00313C52"/>
    <w:rsid w:val="003147D1"/>
    <w:rsid w:val="0031585F"/>
    <w:rsid w:val="003161BC"/>
    <w:rsid w:val="00324192"/>
    <w:rsid w:val="00325863"/>
    <w:rsid w:val="00325D23"/>
    <w:rsid w:val="003302FD"/>
    <w:rsid w:val="003312F5"/>
    <w:rsid w:val="003328AA"/>
    <w:rsid w:val="00333439"/>
    <w:rsid w:val="003344CF"/>
    <w:rsid w:val="0033496A"/>
    <w:rsid w:val="00337A26"/>
    <w:rsid w:val="00340FFF"/>
    <w:rsid w:val="00343303"/>
    <w:rsid w:val="003467E8"/>
    <w:rsid w:val="003478BE"/>
    <w:rsid w:val="003529AA"/>
    <w:rsid w:val="003578C1"/>
    <w:rsid w:val="00361D8C"/>
    <w:rsid w:val="00364082"/>
    <w:rsid w:val="003643B4"/>
    <w:rsid w:val="003658DE"/>
    <w:rsid w:val="003719EE"/>
    <w:rsid w:val="00371CFF"/>
    <w:rsid w:val="00374CAE"/>
    <w:rsid w:val="00376D77"/>
    <w:rsid w:val="00377352"/>
    <w:rsid w:val="0038395E"/>
    <w:rsid w:val="00385BB7"/>
    <w:rsid w:val="00386E03"/>
    <w:rsid w:val="00393EC9"/>
    <w:rsid w:val="00397935"/>
    <w:rsid w:val="003A0379"/>
    <w:rsid w:val="003A78A9"/>
    <w:rsid w:val="003B122D"/>
    <w:rsid w:val="003B1D21"/>
    <w:rsid w:val="003B550B"/>
    <w:rsid w:val="003B57D2"/>
    <w:rsid w:val="003B683C"/>
    <w:rsid w:val="003C0FD8"/>
    <w:rsid w:val="003C403F"/>
    <w:rsid w:val="003C5117"/>
    <w:rsid w:val="003C5778"/>
    <w:rsid w:val="003C5C27"/>
    <w:rsid w:val="003D0410"/>
    <w:rsid w:val="003D147A"/>
    <w:rsid w:val="003D3447"/>
    <w:rsid w:val="003D3457"/>
    <w:rsid w:val="003D4865"/>
    <w:rsid w:val="003D616D"/>
    <w:rsid w:val="003E261C"/>
    <w:rsid w:val="003E6957"/>
    <w:rsid w:val="003F54B3"/>
    <w:rsid w:val="004008FD"/>
    <w:rsid w:val="00400D9F"/>
    <w:rsid w:val="00402559"/>
    <w:rsid w:val="004064C6"/>
    <w:rsid w:val="00407CBE"/>
    <w:rsid w:val="0041205A"/>
    <w:rsid w:val="00413B1D"/>
    <w:rsid w:val="004142DE"/>
    <w:rsid w:val="00414DEB"/>
    <w:rsid w:val="00415759"/>
    <w:rsid w:val="00421FC5"/>
    <w:rsid w:val="00425D79"/>
    <w:rsid w:val="00430FA3"/>
    <w:rsid w:val="00432112"/>
    <w:rsid w:val="00433D45"/>
    <w:rsid w:val="0044098F"/>
    <w:rsid w:val="00440A66"/>
    <w:rsid w:val="00440D86"/>
    <w:rsid w:val="00441441"/>
    <w:rsid w:val="00443D68"/>
    <w:rsid w:val="00443E98"/>
    <w:rsid w:val="00450A9E"/>
    <w:rsid w:val="004521C9"/>
    <w:rsid w:val="004533F3"/>
    <w:rsid w:val="00453E97"/>
    <w:rsid w:val="00462A72"/>
    <w:rsid w:val="00464205"/>
    <w:rsid w:val="00471966"/>
    <w:rsid w:val="004771FB"/>
    <w:rsid w:val="0048128F"/>
    <w:rsid w:val="004824BB"/>
    <w:rsid w:val="004873C8"/>
    <w:rsid w:val="00492597"/>
    <w:rsid w:val="00492BFA"/>
    <w:rsid w:val="0049393B"/>
    <w:rsid w:val="00495FEE"/>
    <w:rsid w:val="00497FC7"/>
    <w:rsid w:val="004A3D81"/>
    <w:rsid w:val="004A44B4"/>
    <w:rsid w:val="004A513D"/>
    <w:rsid w:val="004B33E1"/>
    <w:rsid w:val="004B4BE9"/>
    <w:rsid w:val="004C0514"/>
    <w:rsid w:val="004C22F0"/>
    <w:rsid w:val="004C4E3D"/>
    <w:rsid w:val="004C51A6"/>
    <w:rsid w:val="004C6537"/>
    <w:rsid w:val="004C698B"/>
    <w:rsid w:val="004D159A"/>
    <w:rsid w:val="004D30AA"/>
    <w:rsid w:val="004D5FB9"/>
    <w:rsid w:val="004D708D"/>
    <w:rsid w:val="004E1F3F"/>
    <w:rsid w:val="004E40EE"/>
    <w:rsid w:val="004E47CA"/>
    <w:rsid w:val="004E4FAD"/>
    <w:rsid w:val="004E6989"/>
    <w:rsid w:val="004F07F0"/>
    <w:rsid w:val="004F0E06"/>
    <w:rsid w:val="004F221A"/>
    <w:rsid w:val="004F3763"/>
    <w:rsid w:val="004F7AFD"/>
    <w:rsid w:val="00503E51"/>
    <w:rsid w:val="005072EE"/>
    <w:rsid w:val="0051063C"/>
    <w:rsid w:val="005125E2"/>
    <w:rsid w:val="00512727"/>
    <w:rsid w:val="00512C09"/>
    <w:rsid w:val="005143CB"/>
    <w:rsid w:val="00516B7D"/>
    <w:rsid w:val="005217D1"/>
    <w:rsid w:val="00521C98"/>
    <w:rsid w:val="005248FA"/>
    <w:rsid w:val="00524937"/>
    <w:rsid w:val="00527EED"/>
    <w:rsid w:val="005320B2"/>
    <w:rsid w:val="005336FB"/>
    <w:rsid w:val="00536FFF"/>
    <w:rsid w:val="005476FA"/>
    <w:rsid w:val="0055578C"/>
    <w:rsid w:val="00561167"/>
    <w:rsid w:val="00563337"/>
    <w:rsid w:val="00564E20"/>
    <w:rsid w:val="00564EF9"/>
    <w:rsid w:val="0057526A"/>
    <w:rsid w:val="005757C6"/>
    <w:rsid w:val="00576D4D"/>
    <w:rsid w:val="00580066"/>
    <w:rsid w:val="00583198"/>
    <w:rsid w:val="00583344"/>
    <w:rsid w:val="00583684"/>
    <w:rsid w:val="00586570"/>
    <w:rsid w:val="00590229"/>
    <w:rsid w:val="005918B2"/>
    <w:rsid w:val="005A18F6"/>
    <w:rsid w:val="005A5AF7"/>
    <w:rsid w:val="005A6D6E"/>
    <w:rsid w:val="005C01F6"/>
    <w:rsid w:val="005C0B93"/>
    <w:rsid w:val="005C3A15"/>
    <w:rsid w:val="005C6D51"/>
    <w:rsid w:val="005C6F56"/>
    <w:rsid w:val="005D0199"/>
    <w:rsid w:val="005D4C2C"/>
    <w:rsid w:val="005D4E73"/>
    <w:rsid w:val="005D55DA"/>
    <w:rsid w:val="005D6734"/>
    <w:rsid w:val="005E5342"/>
    <w:rsid w:val="005E55AF"/>
    <w:rsid w:val="005E6D82"/>
    <w:rsid w:val="005E741B"/>
    <w:rsid w:val="005F5474"/>
    <w:rsid w:val="005F6CE2"/>
    <w:rsid w:val="005F7331"/>
    <w:rsid w:val="0060147C"/>
    <w:rsid w:val="00601974"/>
    <w:rsid w:val="0060747D"/>
    <w:rsid w:val="0061173B"/>
    <w:rsid w:val="0061178C"/>
    <w:rsid w:val="006120E5"/>
    <w:rsid w:val="006147F3"/>
    <w:rsid w:val="00620AEF"/>
    <w:rsid w:val="00622C00"/>
    <w:rsid w:val="00623102"/>
    <w:rsid w:val="00627D67"/>
    <w:rsid w:val="006305BD"/>
    <w:rsid w:val="006311F2"/>
    <w:rsid w:val="00633854"/>
    <w:rsid w:val="00633945"/>
    <w:rsid w:val="006407EC"/>
    <w:rsid w:val="0064086F"/>
    <w:rsid w:val="00642990"/>
    <w:rsid w:val="0064492F"/>
    <w:rsid w:val="00645509"/>
    <w:rsid w:val="00647899"/>
    <w:rsid w:val="00650552"/>
    <w:rsid w:val="00651A77"/>
    <w:rsid w:val="00651BF7"/>
    <w:rsid w:val="00654A0D"/>
    <w:rsid w:val="0066177E"/>
    <w:rsid w:val="0066413C"/>
    <w:rsid w:val="00666D20"/>
    <w:rsid w:val="00667FB6"/>
    <w:rsid w:val="006713B4"/>
    <w:rsid w:val="00671E74"/>
    <w:rsid w:val="0067360E"/>
    <w:rsid w:val="00673C9B"/>
    <w:rsid w:val="0067464D"/>
    <w:rsid w:val="00674CB9"/>
    <w:rsid w:val="00682846"/>
    <w:rsid w:val="00684C90"/>
    <w:rsid w:val="00684FED"/>
    <w:rsid w:val="0069090F"/>
    <w:rsid w:val="00691291"/>
    <w:rsid w:val="00697D62"/>
    <w:rsid w:val="006A040F"/>
    <w:rsid w:val="006A5D6D"/>
    <w:rsid w:val="006A7DB5"/>
    <w:rsid w:val="006B1E66"/>
    <w:rsid w:val="006B2DFE"/>
    <w:rsid w:val="006B3031"/>
    <w:rsid w:val="006B7321"/>
    <w:rsid w:val="006C2E26"/>
    <w:rsid w:val="006C6AFC"/>
    <w:rsid w:val="006C766C"/>
    <w:rsid w:val="006D2CBD"/>
    <w:rsid w:val="006D2CEB"/>
    <w:rsid w:val="006D5620"/>
    <w:rsid w:val="006D70B5"/>
    <w:rsid w:val="006E61C6"/>
    <w:rsid w:val="006E6F6C"/>
    <w:rsid w:val="006E716B"/>
    <w:rsid w:val="006E7E63"/>
    <w:rsid w:val="006F079F"/>
    <w:rsid w:val="006F4C78"/>
    <w:rsid w:val="006F5536"/>
    <w:rsid w:val="006F5824"/>
    <w:rsid w:val="006F7777"/>
    <w:rsid w:val="00700BA6"/>
    <w:rsid w:val="00703E74"/>
    <w:rsid w:val="007160E4"/>
    <w:rsid w:val="00717BC9"/>
    <w:rsid w:val="00717EC4"/>
    <w:rsid w:val="007207A7"/>
    <w:rsid w:val="00721444"/>
    <w:rsid w:val="00723F19"/>
    <w:rsid w:val="007318F7"/>
    <w:rsid w:val="00733569"/>
    <w:rsid w:val="007352CA"/>
    <w:rsid w:val="00736E9B"/>
    <w:rsid w:val="00743439"/>
    <w:rsid w:val="00744AB3"/>
    <w:rsid w:val="00751166"/>
    <w:rsid w:val="00751AC0"/>
    <w:rsid w:val="00751F1E"/>
    <w:rsid w:val="00753E0C"/>
    <w:rsid w:val="00757CC1"/>
    <w:rsid w:val="00762349"/>
    <w:rsid w:val="007629A2"/>
    <w:rsid w:val="00764887"/>
    <w:rsid w:val="00764A75"/>
    <w:rsid w:val="007667ED"/>
    <w:rsid w:val="00766848"/>
    <w:rsid w:val="00766985"/>
    <w:rsid w:val="00775ECB"/>
    <w:rsid w:val="00780051"/>
    <w:rsid w:val="00781C67"/>
    <w:rsid w:val="00781FB7"/>
    <w:rsid w:val="007835C0"/>
    <w:rsid w:val="00786943"/>
    <w:rsid w:val="00786BB1"/>
    <w:rsid w:val="00786C08"/>
    <w:rsid w:val="0079118C"/>
    <w:rsid w:val="00791CF5"/>
    <w:rsid w:val="00792BE4"/>
    <w:rsid w:val="0079564B"/>
    <w:rsid w:val="007A2E97"/>
    <w:rsid w:val="007A433E"/>
    <w:rsid w:val="007A4429"/>
    <w:rsid w:val="007A4F35"/>
    <w:rsid w:val="007A7328"/>
    <w:rsid w:val="007C0ED9"/>
    <w:rsid w:val="007C1A26"/>
    <w:rsid w:val="007C25C8"/>
    <w:rsid w:val="007C6B45"/>
    <w:rsid w:val="007D04F7"/>
    <w:rsid w:val="007D4634"/>
    <w:rsid w:val="007E009B"/>
    <w:rsid w:val="007E08F9"/>
    <w:rsid w:val="007E6557"/>
    <w:rsid w:val="007E6F11"/>
    <w:rsid w:val="007F24D5"/>
    <w:rsid w:val="007F4661"/>
    <w:rsid w:val="007F781D"/>
    <w:rsid w:val="00804631"/>
    <w:rsid w:val="00804CDA"/>
    <w:rsid w:val="00805D13"/>
    <w:rsid w:val="00806720"/>
    <w:rsid w:val="00807CA0"/>
    <w:rsid w:val="008109EA"/>
    <w:rsid w:val="00812A43"/>
    <w:rsid w:val="00816128"/>
    <w:rsid w:val="0081656A"/>
    <w:rsid w:val="00824BCC"/>
    <w:rsid w:val="00831AD8"/>
    <w:rsid w:val="0083588D"/>
    <w:rsid w:val="00837BDE"/>
    <w:rsid w:val="00837F44"/>
    <w:rsid w:val="00840217"/>
    <w:rsid w:val="00842632"/>
    <w:rsid w:val="00843B18"/>
    <w:rsid w:val="008442AC"/>
    <w:rsid w:val="0084469C"/>
    <w:rsid w:val="008468AA"/>
    <w:rsid w:val="008502BA"/>
    <w:rsid w:val="00850CC9"/>
    <w:rsid w:val="00851B13"/>
    <w:rsid w:val="00852D75"/>
    <w:rsid w:val="00856040"/>
    <w:rsid w:val="0086084D"/>
    <w:rsid w:val="00861276"/>
    <w:rsid w:val="00862FD9"/>
    <w:rsid w:val="008632B9"/>
    <w:rsid w:val="00864906"/>
    <w:rsid w:val="00866008"/>
    <w:rsid w:val="00871C1F"/>
    <w:rsid w:val="00875C5D"/>
    <w:rsid w:val="008765C8"/>
    <w:rsid w:val="008776C2"/>
    <w:rsid w:val="00883E63"/>
    <w:rsid w:val="0088452E"/>
    <w:rsid w:val="00886414"/>
    <w:rsid w:val="00886D48"/>
    <w:rsid w:val="0088747D"/>
    <w:rsid w:val="008909C5"/>
    <w:rsid w:val="0089271A"/>
    <w:rsid w:val="008A3A22"/>
    <w:rsid w:val="008A45AE"/>
    <w:rsid w:val="008B0449"/>
    <w:rsid w:val="008B2D3D"/>
    <w:rsid w:val="008B3AE8"/>
    <w:rsid w:val="008B3C26"/>
    <w:rsid w:val="008B3C31"/>
    <w:rsid w:val="008B4338"/>
    <w:rsid w:val="008B4D3A"/>
    <w:rsid w:val="008C227B"/>
    <w:rsid w:val="008D30DE"/>
    <w:rsid w:val="008D6635"/>
    <w:rsid w:val="008D66C0"/>
    <w:rsid w:val="008D66E8"/>
    <w:rsid w:val="008D6B17"/>
    <w:rsid w:val="008E0ACE"/>
    <w:rsid w:val="008E4839"/>
    <w:rsid w:val="008E4F85"/>
    <w:rsid w:val="008E6C8B"/>
    <w:rsid w:val="008E7820"/>
    <w:rsid w:val="008F21D5"/>
    <w:rsid w:val="008F2735"/>
    <w:rsid w:val="008F3D7E"/>
    <w:rsid w:val="008F598A"/>
    <w:rsid w:val="008F6DEA"/>
    <w:rsid w:val="00904355"/>
    <w:rsid w:val="00906786"/>
    <w:rsid w:val="00910664"/>
    <w:rsid w:val="009143C6"/>
    <w:rsid w:val="00916749"/>
    <w:rsid w:val="009173F2"/>
    <w:rsid w:val="00921346"/>
    <w:rsid w:val="0093181B"/>
    <w:rsid w:val="009359D5"/>
    <w:rsid w:val="00940F7B"/>
    <w:rsid w:val="0094138B"/>
    <w:rsid w:val="00941BC0"/>
    <w:rsid w:val="00941BF4"/>
    <w:rsid w:val="00942C8B"/>
    <w:rsid w:val="00944425"/>
    <w:rsid w:val="00944CB3"/>
    <w:rsid w:val="00947F0A"/>
    <w:rsid w:val="00961C8E"/>
    <w:rsid w:val="0096229E"/>
    <w:rsid w:val="00965C10"/>
    <w:rsid w:val="00970606"/>
    <w:rsid w:val="009709BA"/>
    <w:rsid w:val="00970A49"/>
    <w:rsid w:val="00975523"/>
    <w:rsid w:val="009812D3"/>
    <w:rsid w:val="00982077"/>
    <w:rsid w:val="00985A57"/>
    <w:rsid w:val="009860E1"/>
    <w:rsid w:val="009862DF"/>
    <w:rsid w:val="00991C24"/>
    <w:rsid w:val="00991F17"/>
    <w:rsid w:val="00992A3F"/>
    <w:rsid w:val="00992EC7"/>
    <w:rsid w:val="009948C0"/>
    <w:rsid w:val="0099607B"/>
    <w:rsid w:val="00996517"/>
    <w:rsid w:val="009A1E4C"/>
    <w:rsid w:val="009A1ED6"/>
    <w:rsid w:val="009A21E8"/>
    <w:rsid w:val="009A6575"/>
    <w:rsid w:val="009B373C"/>
    <w:rsid w:val="009C14EB"/>
    <w:rsid w:val="009C25CD"/>
    <w:rsid w:val="009C489D"/>
    <w:rsid w:val="009D1E59"/>
    <w:rsid w:val="009D22C5"/>
    <w:rsid w:val="009D414A"/>
    <w:rsid w:val="009D6D21"/>
    <w:rsid w:val="009D7F63"/>
    <w:rsid w:val="009E5C06"/>
    <w:rsid w:val="009E6EB1"/>
    <w:rsid w:val="009F3607"/>
    <w:rsid w:val="009F3CE3"/>
    <w:rsid w:val="009F604B"/>
    <w:rsid w:val="00A01EA6"/>
    <w:rsid w:val="00A03094"/>
    <w:rsid w:val="00A054B6"/>
    <w:rsid w:val="00A06D44"/>
    <w:rsid w:val="00A16C70"/>
    <w:rsid w:val="00A2084C"/>
    <w:rsid w:val="00A21E9A"/>
    <w:rsid w:val="00A22249"/>
    <w:rsid w:val="00A264BE"/>
    <w:rsid w:val="00A27FE6"/>
    <w:rsid w:val="00A306D8"/>
    <w:rsid w:val="00A31C56"/>
    <w:rsid w:val="00A322EE"/>
    <w:rsid w:val="00A324D3"/>
    <w:rsid w:val="00A3352E"/>
    <w:rsid w:val="00A36908"/>
    <w:rsid w:val="00A37F7C"/>
    <w:rsid w:val="00A408A4"/>
    <w:rsid w:val="00A4097B"/>
    <w:rsid w:val="00A40CBC"/>
    <w:rsid w:val="00A47FAC"/>
    <w:rsid w:val="00A5061D"/>
    <w:rsid w:val="00A5110E"/>
    <w:rsid w:val="00A52A85"/>
    <w:rsid w:val="00A57A44"/>
    <w:rsid w:val="00A60CBC"/>
    <w:rsid w:val="00A66407"/>
    <w:rsid w:val="00A664EA"/>
    <w:rsid w:val="00A70729"/>
    <w:rsid w:val="00A72E54"/>
    <w:rsid w:val="00A763E2"/>
    <w:rsid w:val="00A81588"/>
    <w:rsid w:val="00A81A04"/>
    <w:rsid w:val="00A81A5C"/>
    <w:rsid w:val="00A83E59"/>
    <w:rsid w:val="00A8435E"/>
    <w:rsid w:val="00A87201"/>
    <w:rsid w:val="00A87333"/>
    <w:rsid w:val="00A875C4"/>
    <w:rsid w:val="00A91114"/>
    <w:rsid w:val="00A91983"/>
    <w:rsid w:val="00A922D1"/>
    <w:rsid w:val="00A95906"/>
    <w:rsid w:val="00AA0544"/>
    <w:rsid w:val="00AA32D6"/>
    <w:rsid w:val="00AA6A85"/>
    <w:rsid w:val="00AA7EF3"/>
    <w:rsid w:val="00AB2AC5"/>
    <w:rsid w:val="00AB6EE5"/>
    <w:rsid w:val="00AB73F6"/>
    <w:rsid w:val="00AB78AC"/>
    <w:rsid w:val="00AB7FA3"/>
    <w:rsid w:val="00AC5903"/>
    <w:rsid w:val="00AC6D5E"/>
    <w:rsid w:val="00AC7E2A"/>
    <w:rsid w:val="00AD0FC5"/>
    <w:rsid w:val="00AD27E2"/>
    <w:rsid w:val="00AD4E3D"/>
    <w:rsid w:val="00AD4E95"/>
    <w:rsid w:val="00AD5355"/>
    <w:rsid w:val="00AD679B"/>
    <w:rsid w:val="00AE06AB"/>
    <w:rsid w:val="00AE2C3F"/>
    <w:rsid w:val="00AE6017"/>
    <w:rsid w:val="00AE62F6"/>
    <w:rsid w:val="00AF04F2"/>
    <w:rsid w:val="00AF2E7A"/>
    <w:rsid w:val="00AF3AD8"/>
    <w:rsid w:val="00B01E1D"/>
    <w:rsid w:val="00B024B2"/>
    <w:rsid w:val="00B05ACB"/>
    <w:rsid w:val="00B06394"/>
    <w:rsid w:val="00B06765"/>
    <w:rsid w:val="00B15E42"/>
    <w:rsid w:val="00B1634F"/>
    <w:rsid w:val="00B16BDB"/>
    <w:rsid w:val="00B2017D"/>
    <w:rsid w:val="00B20308"/>
    <w:rsid w:val="00B203A5"/>
    <w:rsid w:val="00B20A04"/>
    <w:rsid w:val="00B214B7"/>
    <w:rsid w:val="00B215BC"/>
    <w:rsid w:val="00B23D5C"/>
    <w:rsid w:val="00B24200"/>
    <w:rsid w:val="00B26BFE"/>
    <w:rsid w:val="00B325DB"/>
    <w:rsid w:val="00B35D45"/>
    <w:rsid w:val="00B40AB7"/>
    <w:rsid w:val="00B432DD"/>
    <w:rsid w:val="00B44558"/>
    <w:rsid w:val="00B46E1C"/>
    <w:rsid w:val="00B47932"/>
    <w:rsid w:val="00B47D96"/>
    <w:rsid w:val="00B509B8"/>
    <w:rsid w:val="00B51A54"/>
    <w:rsid w:val="00B52B66"/>
    <w:rsid w:val="00B550B0"/>
    <w:rsid w:val="00B5543C"/>
    <w:rsid w:val="00B56AE6"/>
    <w:rsid w:val="00B56C8B"/>
    <w:rsid w:val="00B56EB5"/>
    <w:rsid w:val="00B5739C"/>
    <w:rsid w:val="00B64F8B"/>
    <w:rsid w:val="00B736AE"/>
    <w:rsid w:val="00B7478E"/>
    <w:rsid w:val="00B76798"/>
    <w:rsid w:val="00B77C95"/>
    <w:rsid w:val="00B77EED"/>
    <w:rsid w:val="00B80A90"/>
    <w:rsid w:val="00B80D85"/>
    <w:rsid w:val="00B85D67"/>
    <w:rsid w:val="00B862D5"/>
    <w:rsid w:val="00B912F2"/>
    <w:rsid w:val="00B92E3A"/>
    <w:rsid w:val="00B95EBE"/>
    <w:rsid w:val="00B96417"/>
    <w:rsid w:val="00B96DFB"/>
    <w:rsid w:val="00BA0650"/>
    <w:rsid w:val="00BA1438"/>
    <w:rsid w:val="00BA62FC"/>
    <w:rsid w:val="00BA6E54"/>
    <w:rsid w:val="00BA7E9B"/>
    <w:rsid w:val="00BB1742"/>
    <w:rsid w:val="00BB3ECF"/>
    <w:rsid w:val="00BB4FFA"/>
    <w:rsid w:val="00BB6015"/>
    <w:rsid w:val="00BB795A"/>
    <w:rsid w:val="00BC3393"/>
    <w:rsid w:val="00BC6933"/>
    <w:rsid w:val="00BD0790"/>
    <w:rsid w:val="00BD20EC"/>
    <w:rsid w:val="00BE5339"/>
    <w:rsid w:val="00BE7AED"/>
    <w:rsid w:val="00BF3472"/>
    <w:rsid w:val="00BF4AA9"/>
    <w:rsid w:val="00BF55DF"/>
    <w:rsid w:val="00C00425"/>
    <w:rsid w:val="00C00D7C"/>
    <w:rsid w:val="00C01C1E"/>
    <w:rsid w:val="00C06E92"/>
    <w:rsid w:val="00C07FBE"/>
    <w:rsid w:val="00C154E3"/>
    <w:rsid w:val="00C15F71"/>
    <w:rsid w:val="00C16FFF"/>
    <w:rsid w:val="00C24240"/>
    <w:rsid w:val="00C259D7"/>
    <w:rsid w:val="00C31BDF"/>
    <w:rsid w:val="00C33D79"/>
    <w:rsid w:val="00C370AD"/>
    <w:rsid w:val="00C51130"/>
    <w:rsid w:val="00C546DE"/>
    <w:rsid w:val="00C57633"/>
    <w:rsid w:val="00C57893"/>
    <w:rsid w:val="00C61B4C"/>
    <w:rsid w:val="00C62A84"/>
    <w:rsid w:val="00C63F61"/>
    <w:rsid w:val="00C6609F"/>
    <w:rsid w:val="00C67389"/>
    <w:rsid w:val="00C703FA"/>
    <w:rsid w:val="00C71DC7"/>
    <w:rsid w:val="00C802F5"/>
    <w:rsid w:val="00C812EF"/>
    <w:rsid w:val="00C86E4D"/>
    <w:rsid w:val="00C874FD"/>
    <w:rsid w:val="00C90A64"/>
    <w:rsid w:val="00C95652"/>
    <w:rsid w:val="00C9747E"/>
    <w:rsid w:val="00C975FB"/>
    <w:rsid w:val="00CA19BF"/>
    <w:rsid w:val="00CA3586"/>
    <w:rsid w:val="00CA37A7"/>
    <w:rsid w:val="00CB2F3D"/>
    <w:rsid w:val="00CB4475"/>
    <w:rsid w:val="00CB4552"/>
    <w:rsid w:val="00CB55A4"/>
    <w:rsid w:val="00CB66CA"/>
    <w:rsid w:val="00CB6D32"/>
    <w:rsid w:val="00CB7013"/>
    <w:rsid w:val="00CC0B99"/>
    <w:rsid w:val="00CC1B7C"/>
    <w:rsid w:val="00CC1E92"/>
    <w:rsid w:val="00CC416A"/>
    <w:rsid w:val="00CC62BE"/>
    <w:rsid w:val="00CC76A5"/>
    <w:rsid w:val="00CD0BC1"/>
    <w:rsid w:val="00CD235B"/>
    <w:rsid w:val="00CD2DAD"/>
    <w:rsid w:val="00CD671F"/>
    <w:rsid w:val="00CD687D"/>
    <w:rsid w:val="00CD7F3E"/>
    <w:rsid w:val="00CE0557"/>
    <w:rsid w:val="00CE1190"/>
    <w:rsid w:val="00CE18BB"/>
    <w:rsid w:val="00CE36B3"/>
    <w:rsid w:val="00CE3A54"/>
    <w:rsid w:val="00CE66FF"/>
    <w:rsid w:val="00CF50C8"/>
    <w:rsid w:val="00D01354"/>
    <w:rsid w:val="00D01479"/>
    <w:rsid w:val="00D02484"/>
    <w:rsid w:val="00D02E49"/>
    <w:rsid w:val="00D03BA3"/>
    <w:rsid w:val="00D04371"/>
    <w:rsid w:val="00D049AC"/>
    <w:rsid w:val="00D04D51"/>
    <w:rsid w:val="00D05A8E"/>
    <w:rsid w:val="00D05B0C"/>
    <w:rsid w:val="00D05CA4"/>
    <w:rsid w:val="00D05E67"/>
    <w:rsid w:val="00D06123"/>
    <w:rsid w:val="00D0692B"/>
    <w:rsid w:val="00D06EA0"/>
    <w:rsid w:val="00D13EBD"/>
    <w:rsid w:val="00D149A4"/>
    <w:rsid w:val="00D163A1"/>
    <w:rsid w:val="00D2288A"/>
    <w:rsid w:val="00D23AE5"/>
    <w:rsid w:val="00D27C75"/>
    <w:rsid w:val="00D303FB"/>
    <w:rsid w:val="00D319A6"/>
    <w:rsid w:val="00D33D98"/>
    <w:rsid w:val="00D34D96"/>
    <w:rsid w:val="00D3502A"/>
    <w:rsid w:val="00D3606C"/>
    <w:rsid w:val="00D40677"/>
    <w:rsid w:val="00D41236"/>
    <w:rsid w:val="00D41A5A"/>
    <w:rsid w:val="00D43B66"/>
    <w:rsid w:val="00D444AE"/>
    <w:rsid w:val="00D45C4A"/>
    <w:rsid w:val="00D46ECB"/>
    <w:rsid w:val="00D4797A"/>
    <w:rsid w:val="00D50630"/>
    <w:rsid w:val="00D5117E"/>
    <w:rsid w:val="00D53F15"/>
    <w:rsid w:val="00D550E1"/>
    <w:rsid w:val="00D5677E"/>
    <w:rsid w:val="00D63EA7"/>
    <w:rsid w:val="00D679BC"/>
    <w:rsid w:val="00D727E2"/>
    <w:rsid w:val="00D738A1"/>
    <w:rsid w:val="00D7670D"/>
    <w:rsid w:val="00D77E07"/>
    <w:rsid w:val="00D807AB"/>
    <w:rsid w:val="00D82D3D"/>
    <w:rsid w:val="00D8364B"/>
    <w:rsid w:val="00D86A88"/>
    <w:rsid w:val="00D87767"/>
    <w:rsid w:val="00D9499E"/>
    <w:rsid w:val="00DA50AF"/>
    <w:rsid w:val="00DA6A54"/>
    <w:rsid w:val="00DB0B92"/>
    <w:rsid w:val="00DB181B"/>
    <w:rsid w:val="00DB2994"/>
    <w:rsid w:val="00DB2BF7"/>
    <w:rsid w:val="00DB7D4E"/>
    <w:rsid w:val="00DC372F"/>
    <w:rsid w:val="00DC46E7"/>
    <w:rsid w:val="00DC6229"/>
    <w:rsid w:val="00DC7738"/>
    <w:rsid w:val="00DD56F9"/>
    <w:rsid w:val="00DD5DDF"/>
    <w:rsid w:val="00DD6BF2"/>
    <w:rsid w:val="00DD6CB1"/>
    <w:rsid w:val="00DD7F17"/>
    <w:rsid w:val="00DE07E3"/>
    <w:rsid w:val="00DE2382"/>
    <w:rsid w:val="00DE3DF3"/>
    <w:rsid w:val="00DE7AA6"/>
    <w:rsid w:val="00DF145E"/>
    <w:rsid w:val="00DF37B2"/>
    <w:rsid w:val="00DF3C6F"/>
    <w:rsid w:val="00E003AF"/>
    <w:rsid w:val="00E06DAF"/>
    <w:rsid w:val="00E0719C"/>
    <w:rsid w:val="00E07DA7"/>
    <w:rsid w:val="00E119B0"/>
    <w:rsid w:val="00E136D8"/>
    <w:rsid w:val="00E205E5"/>
    <w:rsid w:val="00E30B79"/>
    <w:rsid w:val="00E3166C"/>
    <w:rsid w:val="00E32D52"/>
    <w:rsid w:val="00E33D93"/>
    <w:rsid w:val="00E3413B"/>
    <w:rsid w:val="00E34415"/>
    <w:rsid w:val="00E350B5"/>
    <w:rsid w:val="00E3624A"/>
    <w:rsid w:val="00E37047"/>
    <w:rsid w:val="00E42B50"/>
    <w:rsid w:val="00E430A3"/>
    <w:rsid w:val="00E4337A"/>
    <w:rsid w:val="00E509D3"/>
    <w:rsid w:val="00E50D90"/>
    <w:rsid w:val="00E5283B"/>
    <w:rsid w:val="00E52AC7"/>
    <w:rsid w:val="00E5515B"/>
    <w:rsid w:val="00E56258"/>
    <w:rsid w:val="00E612DB"/>
    <w:rsid w:val="00E61784"/>
    <w:rsid w:val="00E660C0"/>
    <w:rsid w:val="00E66B06"/>
    <w:rsid w:val="00E70A70"/>
    <w:rsid w:val="00E717EE"/>
    <w:rsid w:val="00E754ED"/>
    <w:rsid w:val="00E76C5D"/>
    <w:rsid w:val="00E84571"/>
    <w:rsid w:val="00E858F3"/>
    <w:rsid w:val="00E91D00"/>
    <w:rsid w:val="00E91F40"/>
    <w:rsid w:val="00E920C2"/>
    <w:rsid w:val="00E92C91"/>
    <w:rsid w:val="00E95B30"/>
    <w:rsid w:val="00EA078F"/>
    <w:rsid w:val="00EA0A8F"/>
    <w:rsid w:val="00EA20A6"/>
    <w:rsid w:val="00EA46F6"/>
    <w:rsid w:val="00EA5F46"/>
    <w:rsid w:val="00EA63A2"/>
    <w:rsid w:val="00EA6740"/>
    <w:rsid w:val="00EB02C9"/>
    <w:rsid w:val="00EB31E5"/>
    <w:rsid w:val="00EB437C"/>
    <w:rsid w:val="00EB56CB"/>
    <w:rsid w:val="00EB7394"/>
    <w:rsid w:val="00EC10A8"/>
    <w:rsid w:val="00EC27D2"/>
    <w:rsid w:val="00EC338C"/>
    <w:rsid w:val="00EC6B42"/>
    <w:rsid w:val="00EC79D0"/>
    <w:rsid w:val="00ED0A60"/>
    <w:rsid w:val="00ED1070"/>
    <w:rsid w:val="00ED10F2"/>
    <w:rsid w:val="00ED1A2A"/>
    <w:rsid w:val="00ED1BAA"/>
    <w:rsid w:val="00ED385E"/>
    <w:rsid w:val="00ED4AD7"/>
    <w:rsid w:val="00ED6FDE"/>
    <w:rsid w:val="00EE0DE6"/>
    <w:rsid w:val="00EE36A0"/>
    <w:rsid w:val="00EE4397"/>
    <w:rsid w:val="00EE6E8E"/>
    <w:rsid w:val="00EE7CD1"/>
    <w:rsid w:val="00EF03D0"/>
    <w:rsid w:val="00EF0F3B"/>
    <w:rsid w:val="00EF1DA2"/>
    <w:rsid w:val="00EF21E9"/>
    <w:rsid w:val="00EF260E"/>
    <w:rsid w:val="00EF29C9"/>
    <w:rsid w:val="00EF3CBC"/>
    <w:rsid w:val="00EF44E1"/>
    <w:rsid w:val="00F0201C"/>
    <w:rsid w:val="00F0239A"/>
    <w:rsid w:val="00F035F3"/>
    <w:rsid w:val="00F06FB8"/>
    <w:rsid w:val="00F07E45"/>
    <w:rsid w:val="00F16181"/>
    <w:rsid w:val="00F2214C"/>
    <w:rsid w:val="00F2259C"/>
    <w:rsid w:val="00F25D06"/>
    <w:rsid w:val="00F34749"/>
    <w:rsid w:val="00F356D9"/>
    <w:rsid w:val="00F35FE4"/>
    <w:rsid w:val="00F401FA"/>
    <w:rsid w:val="00F4147A"/>
    <w:rsid w:val="00F51241"/>
    <w:rsid w:val="00F529B3"/>
    <w:rsid w:val="00F536A3"/>
    <w:rsid w:val="00F53805"/>
    <w:rsid w:val="00F53DD0"/>
    <w:rsid w:val="00F55838"/>
    <w:rsid w:val="00F56519"/>
    <w:rsid w:val="00F57B20"/>
    <w:rsid w:val="00F60ACF"/>
    <w:rsid w:val="00F60D04"/>
    <w:rsid w:val="00F6251D"/>
    <w:rsid w:val="00F655CC"/>
    <w:rsid w:val="00F656BB"/>
    <w:rsid w:val="00F6752E"/>
    <w:rsid w:val="00F67BAC"/>
    <w:rsid w:val="00F7073C"/>
    <w:rsid w:val="00F70F54"/>
    <w:rsid w:val="00F71823"/>
    <w:rsid w:val="00F72725"/>
    <w:rsid w:val="00F72E79"/>
    <w:rsid w:val="00F72FD9"/>
    <w:rsid w:val="00F748C6"/>
    <w:rsid w:val="00F75B7A"/>
    <w:rsid w:val="00F75FD6"/>
    <w:rsid w:val="00F76AEE"/>
    <w:rsid w:val="00F77A18"/>
    <w:rsid w:val="00F81A31"/>
    <w:rsid w:val="00F83A8A"/>
    <w:rsid w:val="00F84391"/>
    <w:rsid w:val="00F85901"/>
    <w:rsid w:val="00F87090"/>
    <w:rsid w:val="00F8748D"/>
    <w:rsid w:val="00F91D11"/>
    <w:rsid w:val="00F94B0F"/>
    <w:rsid w:val="00F9647E"/>
    <w:rsid w:val="00F96B20"/>
    <w:rsid w:val="00F977AD"/>
    <w:rsid w:val="00FA0FDD"/>
    <w:rsid w:val="00FA113B"/>
    <w:rsid w:val="00FA3CBE"/>
    <w:rsid w:val="00FA7658"/>
    <w:rsid w:val="00FB08F8"/>
    <w:rsid w:val="00FB1CAD"/>
    <w:rsid w:val="00FB1D62"/>
    <w:rsid w:val="00FB654C"/>
    <w:rsid w:val="00FC113E"/>
    <w:rsid w:val="00FC73C4"/>
    <w:rsid w:val="00FD34EB"/>
    <w:rsid w:val="00FD4C30"/>
    <w:rsid w:val="00FD5176"/>
    <w:rsid w:val="00FD6FE2"/>
    <w:rsid w:val="00FD7975"/>
    <w:rsid w:val="00FE05D5"/>
    <w:rsid w:val="00FE0CC0"/>
    <w:rsid w:val="00FE1790"/>
    <w:rsid w:val="00FE23DE"/>
    <w:rsid w:val="00FE3367"/>
    <w:rsid w:val="00FE744F"/>
    <w:rsid w:val="00FE7CA3"/>
    <w:rsid w:val="00FF0268"/>
    <w:rsid w:val="00FF133D"/>
    <w:rsid w:val="00FF17D4"/>
    <w:rsid w:val="00FF3581"/>
    <w:rsid w:val="00FF6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0E16E7-C002-42AD-A1FD-51ADE66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C6"/>
  </w:style>
  <w:style w:type="paragraph" w:styleId="1">
    <w:name w:val="heading 1"/>
    <w:basedOn w:val="a"/>
    <w:next w:val="a"/>
    <w:link w:val="10"/>
    <w:uiPriority w:val="9"/>
    <w:qFormat/>
    <w:rsid w:val="00386E03"/>
    <w:pPr>
      <w:keepNext/>
      <w:spacing w:after="0" w:line="480" w:lineRule="auto"/>
      <w:ind w:firstLine="708"/>
      <w:jc w:val="both"/>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5D4E73"/>
    <w:pPr>
      <w:spacing w:after="0" w:line="360" w:lineRule="auto"/>
      <w:ind w:firstLine="34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uiPriority w:val="99"/>
    <w:semiHidden/>
    <w:rsid w:val="005D4E73"/>
    <w:rPr>
      <w:rFonts w:ascii="Times New Roman" w:eastAsia="Times New Roman" w:hAnsi="Times New Roman" w:cs="Times New Roman"/>
      <w:sz w:val="28"/>
      <w:szCs w:val="24"/>
    </w:rPr>
  </w:style>
  <w:style w:type="paragraph" w:styleId="a5">
    <w:name w:val="Title"/>
    <w:basedOn w:val="a"/>
    <w:link w:val="a6"/>
    <w:uiPriority w:val="10"/>
    <w:qFormat/>
    <w:rsid w:val="005D4E73"/>
    <w:pPr>
      <w:spacing w:after="0" w:line="240" w:lineRule="auto"/>
      <w:jc w:val="center"/>
    </w:pPr>
    <w:rPr>
      <w:rFonts w:ascii="Times New Roman" w:eastAsia="Times New Roman" w:hAnsi="Times New Roman" w:cs="Times New Roman"/>
      <w:b/>
      <w:bCs/>
      <w:szCs w:val="20"/>
    </w:rPr>
  </w:style>
  <w:style w:type="character" w:customStyle="1" w:styleId="a6">
    <w:name w:val="Название Знак"/>
    <w:basedOn w:val="a0"/>
    <w:link w:val="a5"/>
    <w:uiPriority w:val="10"/>
    <w:rsid w:val="005D4E73"/>
    <w:rPr>
      <w:rFonts w:ascii="Times New Roman" w:eastAsia="Times New Roman" w:hAnsi="Times New Roman" w:cs="Times New Roman"/>
      <w:b/>
      <w:bCs/>
      <w:szCs w:val="20"/>
    </w:rPr>
  </w:style>
  <w:style w:type="paragraph" w:styleId="3">
    <w:name w:val="Body Text Indent 3"/>
    <w:basedOn w:val="a"/>
    <w:link w:val="30"/>
    <w:uiPriority w:val="99"/>
    <w:semiHidden/>
    <w:rsid w:val="005D4E73"/>
    <w:pPr>
      <w:spacing w:after="0" w:line="240" w:lineRule="auto"/>
      <w:ind w:left="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semiHidden/>
    <w:rsid w:val="005D4E73"/>
    <w:rPr>
      <w:rFonts w:ascii="Times New Roman" w:eastAsia="Times New Roman" w:hAnsi="Times New Roman" w:cs="Times New Roman"/>
      <w:sz w:val="24"/>
      <w:szCs w:val="20"/>
      <w:lang w:eastAsia="ru-RU"/>
    </w:rPr>
  </w:style>
  <w:style w:type="paragraph" w:customStyle="1" w:styleId="Iniiaiieoaeno2">
    <w:name w:val="Iniiaiie oaeno 2"/>
    <w:basedOn w:val="a"/>
    <w:rsid w:val="005D4E73"/>
    <w:pPr>
      <w:widowControl w:val="0"/>
      <w:spacing w:after="0" w:line="240" w:lineRule="auto"/>
      <w:ind w:firstLine="567"/>
      <w:jc w:val="both"/>
    </w:pPr>
    <w:rPr>
      <w:rFonts w:ascii="Times New Roman" w:eastAsia="Times New Roman" w:hAnsi="Times New Roman" w:cs="Times New Roman"/>
      <w:sz w:val="28"/>
      <w:szCs w:val="20"/>
      <w:lang w:val="ru-RU" w:eastAsia="ru-RU"/>
    </w:rPr>
  </w:style>
  <w:style w:type="paragraph" w:customStyle="1" w:styleId="rvps2">
    <w:name w:val="rvps2"/>
    <w:basedOn w:val="a"/>
    <w:rsid w:val="005D4E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837F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toc 2"/>
    <w:basedOn w:val="a"/>
    <w:next w:val="a"/>
    <w:autoRedefine/>
    <w:uiPriority w:val="39"/>
    <w:unhideWhenUsed/>
    <w:qFormat/>
    <w:rsid w:val="00386E03"/>
    <w:pPr>
      <w:spacing w:after="100" w:line="276" w:lineRule="auto"/>
      <w:ind w:left="220"/>
    </w:pPr>
    <w:rPr>
      <w:rFonts w:ascii="Calibri" w:eastAsia="Times New Roman" w:hAnsi="Calibri" w:cs="Times New Roman"/>
      <w:lang w:eastAsia="uk-UA"/>
    </w:rPr>
  </w:style>
  <w:style w:type="paragraph" w:styleId="11">
    <w:name w:val="toc 1"/>
    <w:basedOn w:val="a"/>
    <w:next w:val="a"/>
    <w:autoRedefine/>
    <w:uiPriority w:val="39"/>
    <w:unhideWhenUsed/>
    <w:qFormat/>
    <w:rsid w:val="009A1ED6"/>
    <w:pPr>
      <w:tabs>
        <w:tab w:val="right" w:leader="dot" w:pos="9344"/>
      </w:tabs>
      <w:spacing w:after="100" w:line="276" w:lineRule="auto"/>
      <w:jc w:val="center"/>
    </w:pPr>
    <w:rPr>
      <w:rFonts w:ascii="Times New Roman" w:eastAsia="Times New Roman" w:hAnsi="Times New Roman" w:cs="Times New Roman"/>
      <w:b/>
      <w:iCs/>
      <w:noProof/>
      <w:sz w:val="26"/>
      <w:szCs w:val="26"/>
      <w:lang w:eastAsia="uk-UA"/>
    </w:rPr>
  </w:style>
  <w:style w:type="paragraph" w:styleId="31">
    <w:name w:val="toc 3"/>
    <w:basedOn w:val="a"/>
    <w:next w:val="a"/>
    <w:autoRedefine/>
    <w:uiPriority w:val="39"/>
    <w:unhideWhenUsed/>
    <w:qFormat/>
    <w:rsid w:val="00386E03"/>
    <w:pPr>
      <w:spacing w:after="100" w:line="276" w:lineRule="auto"/>
      <w:ind w:left="440"/>
    </w:pPr>
    <w:rPr>
      <w:rFonts w:ascii="Calibri" w:eastAsia="Times New Roman" w:hAnsi="Calibri" w:cs="Times New Roman"/>
      <w:lang w:eastAsia="uk-UA"/>
    </w:rPr>
  </w:style>
  <w:style w:type="character" w:styleId="a8">
    <w:name w:val="Hyperlink"/>
    <w:uiPriority w:val="99"/>
    <w:unhideWhenUsed/>
    <w:rsid w:val="00386E03"/>
    <w:rPr>
      <w:color w:val="0000FF"/>
      <w:u w:val="single"/>
    </w:rPr>
  </w:style>
  <w:style w:type="character" w:customStyle="1" w:styleId="10">
    <w:name w:val="Заголовок 1 Знак"/>
    <w:basedOn w:val="a0"/>
    <w:link w:val="1"/>
    <w:uiPriority w:val="9"/>
    <w:rsid w:val="00386E03"/>
    <w:rPr>
      <w:rFonts w:ascii="Cambria" w:eastAsia="Times New Roman" w:hAnsi="Cambria" w:cs="Times New Roman"/>
      <w:b/>
      <w:bCs/>
      <w:kern w:val="32"/>
      <w:sz w:val="32"/>
      <w:szCs w:val="32"/>
      <w:lang w:val="x-none" w:eastAsia="x-none"/>
    </w:rPr>
  </w:style>
  <w:style w:type="paragraph" w:styleId="a9">
    <w:name w:val="List Paragraph"/>
    <w:basedOn w:val="a"/>
    <w:link w:val="aa"/>
    <w:uiPriority w:val="99"/>
    <w:qFormat/>
    <w:rsid w:val="004C4E3D"/>
    <w:pPr>
      <w:ind w:left="720"/>
      <w:contextualSpacing/>
    </w:pPr>
  </w:style>
  <w:style w:type="paragraph" w:styleId="ab">
    <w:name w:val="Balloon Text"/>
    <w:basedOn w:val="a"/>
    <w:link w:val="ac"/>
    <w:uiPriority w:val="99"/>
    <w:semiHidden/>
    <w:unhideWhenUsed/>
    <w:rsid w:val="009A1ED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A1ED6"/>
    <w:rPr>
      <w:rFonts w:ascii="Segoe UI" w:hAnsi="Segoe UI" w:cs="Segoe UI"/>
      <w:sz w:val="18"/>
      <w:szCs w:val="18"/>
    </w:rPr>
  </w:style>
  <w:style w:type="table" w:styleId="ad">
    <w:name w:val="Table Grid"/>
    <w:basedOn w:val="a1"/>
    <w:uiPriority w:val="39"/>
    <w:rsid w:val="0065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651A77"/>
    <w:rPr>
      <w:rFonts w:cs="Times New Roman"/>
    </w:rPr>
  </w:style>
  <w:style w:type="table" w:customStyle="1" w:styleId="12">
    <w:name w:val="Сетка таблицы1"/>
    <w:basedOn w:val="a1"/>
    <w:next w:val="ad"/>
    <w:uiPriority w:val="39"/>
    <w:rsid w:val="00F6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E05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317BF"/>
    <w:pPr>
      <w:spacing w:after="0" w:line="240" w:lineRule="auto"/>
    </w:pPr>
    <w:rPr>
      <w:rFonts w:ascii="Times New Roman" w:eastAsia="Times New Roman" w:hAnsi="Times New Roman" w:cs="Times New Roman"/>
      <w:sz w:val="24"/>
      <w:szCs w:val="24"/>
      <w:lang w:val="ru-RU" w:eastAsia="ru-RU"/>
    </w:rPr>
  </w:style>
  <w:style w:type="paragraph" w:styleId="20">
    <w:name w:val="Body Text Indent 2"/>
    <w:basedOn w:val="a"/>
    <w:link w:val="21"/>
    <w:uiPriority w:val="99"/>
    <w:unhideWhenUsed/>
    <w:rsid w:val="00B52B66"/>
    <w:pPr>
      <w:spacing w:after="120" w:line="480" w:lineRule="auto"/>
      <w:ind w:left="283"/>
    </w:pPr>
  </w:style>
  <w:style w:type="character" w:customStyle="1" w:styleId="21">
    <w:name w:val="Основной текст с отступом 2 Знак"/>
    <w:basedOn w:val="a0"/>
    <w:link w:val="20"/>
    <w:uiPriority w:val="99"/>
    <w:rsid w:val="00B52B66"/>
  </w:style>
  <w:style w:type="paragraph" w:styleId="af">
    <w:name w:val="header"/>
    <w:basedOn w:val="a"/>
    <w:link w:val="af0"/>
    <w:uiPriority w:val="99"/>
    <w:unhideWhenUsed/>
    <w:rsid w:val="00D04371"/>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D04371"/>
  </w:style>
  <w:style w:type="paragraph" w:styleId="af1">
    <w:name w:val="footer"/>
    <w:basedOn w:val="a"/>
    <w:link w:val="af2"/>
    <w:uiPriority w:val="99"/>
    <w:unhideWhenUsed/>
    <w:rsid w:val="00D04371"/>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D04371"/>
  </w:style>
  <w:style w:type="paragraph" w:customStyle="1" w:styleId="13">
    <w:name w:val="Абзац списка1"/>
    <w:basedOn w:val="a"/>
    <w:rsid w:val="00DC6229"/>
    <w:pPr>
      <w:spacing w:after="200" w:line="276" w:lineRule="auto"/>
      <w:ind w:left="720"/>
      <w:contextualSpacing/>
    </w:pPr>
    <w:rPr>
      <w:rFonts w:ascii="Calibri" w:eastAsia="Times New Roman" w:hAnsi="Calibri" w:cs="Times New Roman"/>
      <w:lang w:val="ru-RU"/>
    </w:rPr>
  </w:style>
  <w:style w:type="character" w:styleId="af3">
    <w:name w:val="Strong"/>
    <w:basedOn w:val="a0"/>
    <w:uiPriority w:val="22"/>
    <w:qFormat/>
    <w:rsid w:val="003658DE"/>
    <w:rPr>
      <w:b/>
      <w:bCs/>
    </w:rPr>
  </w:style>
  <w:style w:type="character" w:styleId="af4">
    <w:name w:val="Emphasis"/>
    <w:basedOn w:val="a0"/>
    <w:uiPriority w:val="20"/>
    <w:qFormat/>
    <w:rsid w:val="003658DE"/>
    <w:rPr>
      <w:i/>
      <w:iCs/>
    </w:rPr>
  </w:style>
  <w:style w:type="character" w:customStyle="1" w:styleId="aa">
    <w:name w:val="Абзац списка Знак"/>
    <w:link w:val="a9"/>
    <w:uiPriority w:val="99"/>
    <w:locked/>
    <w:rsid w:val="008B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903">
      <w:bodyDiv w:val="1"/>
      <w:marLeft w:val="0"/>
      <w:marRight w:val="0"/>
      <w:marTop w:val="0"/>
      <w:marBottom w:val="0"/>
      <w:divBdr>
        <w:top w:val="none" w:sz="0" w:space="0" w:color="auto"/>
        <w:left w:val="none" w:sz="0" w:space="0" w:color="auto"/>
        <w:bottom w:val="none" w:sz="0" w:space="0" w:color="auto"/>
        <w:right w:val="none" w:sz="0" w:space="0" w:color="auto"/>
      </w:divBdr>
    </w:div>
    <w:div w:id="60253876">
      <w:bodyDiv w:val="1"/>
      <w:marLeft w:val="0"/>
      <w:marRight w:val="0"/>
      <w:marTop w:val="0"/>
      <w:marBottom w:val="0"/>
      <w:divBdr>
        <w:top w:val="none" w:sz="0" w:space="0" w:color="auto"/>
        <w:left w:val="none" w:sz="0" w:space="0" w:color="auto"/>
        <w:bottom w:val="none" w:sz="0" w:space="0" w:color="auto"/>
        <w:right w:val="none" w:sz="0" w:space="0" w:color="auto"/>
      </w:divBdr>
    </w:div>
    <w:div w:id="155150194">
      <w:bodyDiv w:val="1"/>
      <w:marLeft w:val="0"/>
      <w:marRight w:val="0"/>
      <w:marTop w:val="0"/>
      <w:marBottom w:val="0"/>
      <w:divBdr>
        <w:top w:val="none" w:sz="0" w:space="0" w:color="auto"/>
        <w:left w:val="none" w:sz="0" w:space="0" w:color="auto"/>
        <w:bottom w:val="none" w:sz="0" w:space="0" w:color="auto"/>
        <w:right w:val="none" w:sz="0" w:space="0" w:color="auto"/>
      </w:divBdr>
    </w:div>
    <w:div w:id="174350938">
      <w:bodyDiv w:val="1"/>
      <w:marLeft w:val="0"/>
      <w:marRight w:val="0"/>
      <w:marTop w:val="0"/>
      <w:marBottom w:val="0"/>
      <w:divBdr>
        <w:top w:val="none" w:sz="0" w:space="0" w:color="auto"/>
        <w:left w:val="none" w:sz="0" w:space="0" w:color="auto"/>
        <w:bottom w:val="none" w:sz="0" w:space="0" w:color="auto"/>
        <w:right w:val="none" w:sz="0" w:space="0" w:color="auto"/>
      </w:divBdr>
    </w:div>
    <w:div w:id="181869856">
      <w:bodyDiv w:val="1"/>
      <w:marLeft w:val="0"/>
      <w:marRight w:val="0"/>
      <w:marTop w:val="0"/>
      <w:marBottom w:val="0"/>
      <w:divBdr>
        <w:top w:val="none" w:sz="0" w:space="0" w:color="auto"/>
        <w:left w:val="none" w:sz="0" w:space="0" w:color="auto"/>
        <w:bottom w:val="none" w:sz="0" w:space="0" w:color="auto"/>
        <w:right w:val="none" w:sz="0" w:space="0" w:color="auto"/>
      </w:divBdr>
    </w:div>
    <w:div w:id="211506582">
      <w:bodyDiv w:val="1"/>
      <w:marLeft w:val="0"/>
      <w:marRight w:val="0"/>
      <w:marTop w:val="0"/>
      <w:marBottom w:val="0"/>
      <w:divBdr>
        <w:top w:val="none" w:sz="0" w:space="0" w:color="auto"/>
        <w:left w:val="none" w:sz="0" w:space="0" w:color="auto"/>
        <w:bottom w:val="none" w:sz="0" w:space="0" w:color="auto"/>
        <w:right w:val="none" w:sz="0" w:space="0" w:color="auto"/>
      </w:divBdr>
    </w:div>
    <w:div w:id="231087744">
      <w:bodyDiv w:val="1"/>
      <w:marLeft w:val="0"/>
      <w:marRight w:val="0"/>
      <w:marTop w:val="0"/>
      <w:marBottom w:val="0"/>
      <w:divBdr>
        <w:top w:val="none" w:sz="0" w:space="0" w:color="auto"/>
        <w:left w:val="none" w:sz="0" w:space="0" w:color="auto"/>
        <w:bottom w:val="none" w:sz="0" w:space="0" w:color="auto"/>
        <w:right w:val="none" w:sz="0" w:space="0" w:color="auto"/>
      </w:divBdr>
    </w:div>
    <w:div w:id="301694912">
      <w:bodyDiv w:val="1"/>
      <w:marLeft w:val="0"/>
      <w:marRight w:val="0"/>
      <w:marTop w:val="0"/>
      <w:marBottom w:val="0"/>
      <w:divBdr>
        <w:top w:val="none" w:sz="0" w:space="0" w:color="auto"/>
        <w:left w:val="none" w:sz="0" w:space="0" w:color="auto"/>
        <w:bottom w:val="none" w:sz="0" w:space="0" w:color="auto"/>
        <w:right w:val="none" w:sz="0" w:space="0" w:color="auto"/>
      </w:divBdr>
    </w:div>
    <w:div w:id="329604935">
      <w:bodyDiv w:val="1"/>
      <w:marLeft w:val="0"/>
      <w:marRight w:val="0"/>
      <w:marTop w:val="0"/>
      <w:marBottom w:val="0"/>
      <w:divBdr>
        <w:top w:val="none" w:sz="0" w:space="0" w:color="auto"/>
        <w:left w:val="none" w:sz="0" w:space="0" w:color="auto"/>
        <w:bottom w:val="none" w:sz="0" w:space="0" w:color="auto"/>
        <w:right w:val="none" w:sz="0" w:space="0" w:color="auto"/>
      </w:divBdr>
    </w:div>
    <w:div w:id="342129708">
      <w:bodyDiv w:val="1"/>
      <w:marLeft w:val="0"/>
      <w:marRight w:val="0"/>
      <w:marTop w:val="0"/>
      <w:marBottom w:val="0"/>
      <w:divBdr>
        <w:top w:val="none" w:sz="0" w:space="0" w:color="auto"/>
        <w:left w:val="none" w:sz="0" w:space="0" w:color="auto"/>
        <w:bottom w:val="none" w:sz="0" w:space="0" w:color="auto"/>
        <w:right w:val="none" w:sz="0" w:space="0" w:color="auto"/>
      </w:divBdr>
    </w:div>
    <w:div w:id="361589905">
      <w:bodyDiv w:val="1"/>
      <w:marLeft w:val="0"/>
      <w:marRight w:val="0"/>
      <w:marTop w:val="0"/>
      <w:marBottom w:val="0"/>
      <w:divBdr>
        <w:top w:val="none" w:sz="0" w:space="0" w:color="auto"/>
        <w:left w:val="none" w:sz="0" w:space="0" w:color="auto"/>
        <w:bottom w:val="none" w:sz="0" w:space="0" w:color="auto"/>
        <w:right w:val="none" w:sz="0" w:space="0" w:color="auto"/>
      </w:divBdr>
    </w:div>
    <w:div w:id="449475367">
      <w:bodyDiv w:val="1"/>
      <w:marLeft w:val="0"/>
      <w:marRight w:val="0"/>
      <w:marTop w:val="0"/>
      <w:marBottom w:val="0"/>
      <w:divBdr>
        <w:top w:val="none" w:sz="0" w:space="0" w:color="auto"/>
        <w:left w:val="none" w:sz="0" w:space="0" w:color="auto"/>
        <w:bottom w:val="none" w:sz="0" w:space="0" w:color="auto"/>
        <w:right w:val="none" w:sz="0" w:space="0" w:color="auto"/>
      </w:divBdr>
    </w:div>
    <w:div w:id="466507323">
      <w:bodyDiv w:val="1"/>
      <w:marLeft w:val="0"/>
      <w:marRight w:val="0"/>
      <w:marTop w:val="0"/>
      <w:marBottom w:val="0"/>
      <w:divBdr>
        <w:top w:val="none" w:sz="0" w:space="0" w:color="auto"/>
        <w:left w:val="none" w:sz="0" w:space="0" w:color="auto"/>
        <w:bottom w:val="none" w:sz="0" w:space="0" w:color="auto"/>
        <w:right w:val="none" w:sz="0" w:space="0" w:color="auto"/>
      </w:divBdr>
    </w:div>
    <w:div w:id="534587004">
      <w:bodyDiv w:val="1"/>
      <w:marLeft w:val="0"/>
      <w:marRight w:val="0"/>
      <w:marTop w:val="0"/>
      <w:marBottom w:val="0"/>
      <w:divBdr>
        <w:top w:val="none" w:sz="0" w:space="0" w:color="auto"/>
        <w:left w:val="none" w:sz="0" w:space="0" w:color="auto"/>
        <w:bottom w:val="none" w:sz="0" w:space="0" w:color="auto"/>
        <w:right w:val="none" w:sz="0" w:space="0" w:color="auto"/>
      </w:divBdr>
    </w:div>
    <w:div w:id="590551172">
      <w:bodyDiv w:val="1"/>
      <w:marLeft w:val="0"/>
      <w:marRight w:val="0"/>
      <w:marTop w:val="0"/>
      <w:marBottom w:val="0"/>
      <w:divBdr>
        <w:top w:val="none" w:sz="0" w:space="0" w:color="auto"/>
        <w:left w:val="none" w:sz="0" w:space="0" w:color="auto"/>
        <w:bottom w:val="none" w:sz="0" w:space="0" w:color="auto"/>
        <w:right w:val="none" w:sz="0" w:space="0" w:color="auto"/>
      </w:divBdr>
    </w:div>
    <w:div w:id="706179342">
      <w:bodyDiv w:val="1"/>
      <w:marLeft w:val="0"/>
      <w:marRight w:val="0"/>
      <w:marTop w:val="0"/>
      <w:marBottom w:val="0"/>
      <w:divBdr>
        <w:top w:val="none" w:sz="0" w:space="0" w:color="auto"/>
        <w:left w:val="none" w:sz="0" w:space="0" w:color="auto"/>
        <w:bottom w:val="none" w:sz="0" w:space="0" w:color="auto"/>
        <w:right w:val="none" w:sz="0" w:space="0" w:color="auto"/>
      </w:divBdr>
    </w:div>
    <w:div w:id="764687110">
      <w:bodyDiv w:val="1"/>
      <w:marLeft w:val="0"/>
      <w:marRight w:val="0"/>
      <w:marTop w:val="0"/>
      <w:marBottom w:val="0"/>
      <w:divBdr>
        <w:top w:val="none" w:sz="0" w:space="0" w:color="auto"/>
        <w:left w:val="none" w:sz="0" w:space="0" w:color="auto"/>
        <w:bottom w:val="none" w:sz="0" w:space="0" w:color="auto"/>
        <w:right w:val="none" w:sz="0" w:space="0" w:color="auto"/>
      </w:divBdr>
    </w:div>
    <w:div w:id="771127867">
      <w:bodyDiv w:val="1"/>
      <w:marLeft w:val="0"/>
      <w:marRight w:val="0"/>
      <w:marTop w:val="0"/>
      <w:marBottom w:val="0"/>
      <w:divBdr>
        <w:top w:val="none" w:sz="0" w:space="0" w:color="auto"/>
        <w:left w:val="none" w:sz="0" w:space="0" w:color="auto"/>
        <w:bottom w:val="none" w:sz="0" w:space="0" w:color="auto"/>
        <w:right w:val="none" w:sz="0" w:space="0" w:color="auto"/>
      </w:divBdr>
    </w:div>
    <w:div w:id="785275790">
      <w:bodyDiv w:val="1"/>
      <w:marLeft w:val="0"/>
      <w:marRight w:val="0"/>
      <w:marTop w:val="0"/>
      <w:marBottom w:val="0"/>
      <w:divBdr>
        <w:top w:val="none" w:sz="0" w:space="0" w:color="auto"/>
        <w:left w:val="none" w:sz="0" w:space="0" w:color="auto"/>
        <w:bottom w:val="none" w:sz="0" w:space="0" w:color="auto"/>
        <w:right w:val="none" w:sz="0" w:space="0" w:color="auto"/>
      </w:divBdr>
    </w:div>
    <w:div w:id="789130560">
      <w:bodyDiv w:val="1"/>
      <w:marLeft w:val="0"/>
      <w:marRight w:val="0"/>
      <w:marTop w:val="0"/>
      <w:marBottom w:val="0"/>
      <w:divBdr>
        <w:top w:val="none" w:sz="0" w:space="0" w:color="auto"/>
        <w:left w:val="none" w:sz="0" w:space="0" w:color="auto"/>
        <w:bottom w:val="none" w:sz="0" w:space="0" w:color="auto"/>
        <w:right w:val="none" w:sz="0" w:space="0" w:color="auto"/>
      </w:divBdr>
    </w:div>
    <w:div w:id="890531198">
      <w:bodyDiv w:val="1"/>
      <w:marLeft w:val="0"/>
      <w:marRight w:val="0"/>
      <w:marTop w:val="0"/>
      <w:marBottom w:val="0"/>
      <w:divBdr>
        <w:top w:val="none" w:sz="0" w:space="0" w:color="auto"/>
        <w:left w:val="none" w:sz="0" w:space="0" w:color="auto"/>
        <w:bottom w:val="none" w:sz="0" w:space="0" w:color="auto"/>
        <w:right w:val="none" w:sz="0" w:space="0" w:color="auto"/>
      </w:divBdr>
    </w:div>
    <w:div w:id="928002606">
      <w:bodyDiv w:val="1"/>
      <w:marLeft w:val="0"/>
      <w:marRight w:val="0"/>
      <w:marTop w:val="0"/>
      <w:marBottom w:val="0"/>
      <w:divBdr>
        <w:top w:val="none" w:sz="0" w:space="0" w:color="auto"/>
        <w:left w:val="none" w:sz="0" w:space="0" w:color="auto"/>
        <w:bottom w:val="none" w:sz="0" w:space="0" w:color="auto"/>
        <w:right w:val="none" w:sz="0" w:space="0" w:color="auto"/>
      </w:divBdr>
    </w:div>
    <w:div w:id="972442160">
      <w:bodyDiv w:val="1"/>
      <w:marLeft w:val="0"/>
      <w:marRight w:val="0"/>
      <w:marTop w:val="0"/>
      <w:marBottom w:val="0"/>
      <w:divBdr>
        <w:top w:val="none" w:sz="0" w:space="0" w:color="auto"/>
        <w:left w:val="none" w:sz="0" w:space="0" w:color="auto"/>
        <w:bottom w:val="none" w:sz="0" w:space="0" w:color="auto"/>
        <w:right w:val="none" w:sz="0" w:space="0" w:color="auto"/>
      </w:divBdr>
    </w:div>
    <w:div w:id="1086223559">
      <w:bodyDiv w:val="1"/>
      <w:marLeft w:val="0"/>
      <w:marRight w:val="0"/>
      <w:marTop w:val="0"/>
      <w:marBottom w:val="0"/>
      <w:divBdr>
        <w:top w:val="none" w:sz="0" w:space="0" w:color="auto"/>
        <w:left w:val="none" w:sz="0" w:space="0" w:color="auto"/>
        <w:bottom w:val="none" w:sz="0" w:space="0" w:color="auto"/>
        <w:right w:val="none" w:sz="0" w:space="0" w:color="auto"/>
      </w:divBdr>
    </w:div>
    <w:div w:id="1190988870">
      <w:bodyDiv w:val="1"/>
      <w:marLeft w:val="0"/>
      <w:marRight w:val="0"/>
      <w:marTop w:val="0"/>
      <w:marBottom w:val="0"/>
      <w:divBdr>
        <w:top w:val="none" w:sz="0" w:space="0" w:color="auto"/>
        <w:left w:val="none" w:sz="0" w:space="0" w:color="auto"/>
        <w:bottom w:val="none" w:sz="0" w:space="0" w:color="auto"/>
        <w:right w:val="none" w:sz="0" w:space="0" w:color="auto"/>
      </w:divBdr>
    </w:div>
    <w:div w:id="1275400224">
      <w:bodyDiv w:val="1"/>
      <w:marLeft w:val="0"/>
      <w:marRight w:val="0"/>
      <w:marTop w:val="0"/>
      <w:marBottom w:val="0"/>
      <w:divBdr>
        <w:top w:val="none" w:sz="0" w:space="0" w:color="auto"/>
        <w:left w:val="none" w:sz="0" w:space="0" w:color="auto"/>
        <w:bottom w:val="none" w:sz="0" w:space="0" w:color="auto"/>
        <w:right w:val="none" w:sz="0" w:space="0" w:color="auto"/>
      </w:divBdr>
    </w:div>
    <w:div w:id="1292444118">
      <w:bodyDiv w:val="1"/>
      <w:marLeft w:val="0"/>
      <w:marRight w:val="0"/>
      <w:marTop w:val="0"/>
      <w:marBottom w:val="0"/>
      <w:divBdr>
        <w:top w:val="none" w:sz="0" w:space="0" w:color="auto"/>
        <w:left w:val="none" w:sz="0" w:space="0" w:color="auto"/>
        <w:bottom w:val="none" w:sz="0" w:space="0" w:color="auto"/>
        <w:right w:val="none" w:sz="0" w:space="0" w:color="auto"/>
      </w:divBdr>
    </w:div>
    <w:div w:id="1322925821">
      <w:bodyDiv w:val="1"/>
      <w:marLeft w:val="0"/>
      <w:marRight w:val="0"/>
      <w:marTop w:val="0"/>
      <w:marBottom w:val="0"/>
      <w:divBdr>
        <w:top w:val="none" w:sz="0" w:space="0" w:color="auto"/>
        <w:left w:val="none" w:sz="0" w:space="0" w:color="auto"/>
        <w:bottom w:val="none" w:sz="0" w:space="0" w:color="auto"/>
        <w:right w:val="none" w:sz="0" w:space="0" w:color="auto"/>
      </w:divBdr>
    </w:div>
    <w:div w:id="1458450023">
      <w:bodyDiv w:val="1"/>
      <w:marLeft w:val="0"/>
      <w:marRight w:val="0"/>
      <w:marTop w:val="0"/>
      <w:marBottom w:val="0"/>
      <w:divBdr>
        <w:top w:val="none" w:sz="0" w:space="0" w:color="auto"/>
        <w:left w:val="none" w:sz="0" w:space="0" w:color="auto"/>
        <w:bottom w:val="none" w:sz="0" w:space="0" w:color="auto"/>
        <w:right w:val="none" w:sz="0" w:space="0" w:color="auto"/>
      </w:divBdr>
    </w:div>
    <w:div w:id="1530753757">
      <w:bodyDiv w:val="1"/>
      <w:marLeft w:val="0"/>
      <w:marRight w:val="0"/>
      <w:marTop w:val="0"/>
      <w:marBottom w:val="0"/>
      <w:divBdr>
        <w:top w:val="none" w:sz="0" w:space="0" w:color="auto"/>
        <w:left w:val="none" w:sz="0" w:space="0" w:color="auto"/>
        <w:bottom w:val="none" w:sz="0" w:space="0" w:color="auto"/>
        <w:right w:val="none" w:sz="0" w:space="0" w:color="auto"/>
      </w:divBdr>
    </w:div>
    <w:div w:id="1532450321">
      <w:bodyDiv w:val="1"/>
      <w:marLeft w:val="0"/>
      <w:marRight w:val="0"/>
      <w:marTop w:val="0"/>
      <w:marBottom w:val="0"/>
      <w:divBdr>
        <w:top w:val="none" w:sz="0" w:space="0" w:color="auto"/>
        <w:left w:val="none" w:sz="0" w:space="0" w:color="auto"/>
        <w:bottom w:val="none" w:sz="0" w:space="0" w:color="auto"/>
        <w:right w:val="none" w:sz="0" w:space="0" w:color="auto"/>
      </w:divBdr>
    </w:div>
    <w:div w:id="1541361569">
      <w:bodyDiv w:val="1"/>
      <w:marLeft w:val="0"/>
      <w:marRight w:val="0"/>
      <w:marTop w:val="0"/>
      <w:marBottom w:val="0"/>
      <w:divBdr>
        <w:top w:val="none" w:sz="0" w:space="0" w:color="auto"/>
        <w:left w:val="none" w:sz="0" w:space="0" w:color="auto"/>
        <w:bottom w:val="none" w:sz="0" w:space="0" w:color="auto"/>
        <w:right w:val="none" w:sz="0" w:space="0" w:color="auto"/>
      </w:divBdr>
    </w:div>
    <w:div w:id="1662856496">
      <w:bodyDiv w:val="1"/>
      <w:marLeft w:val="0"/>
      <w:marRight w:val="0"/>
      <w:marTop w:val="0"/>
      <w:marBottom w:val="0"/>
      <w:divBdr>
        <w:top w:val="none" w:sz="0" w:space="0" w:color="auto"/>
        <w:left w:val="none" w:sz="0" w:space="0" w:color="auto"/>
        <w:bottom w:val="none" w:sz="0" w:space="0" w:color="auto"/>
        <w:right w:val="none" w:sz="0" w:space="0" w:color="auto"/>
      </w:divBdr>
    </w:div>
    <w:div w:id="1670979922">
      <w:bodyDiv w:val="1"/>
      <w:marLeft w:val="0"/>
      <w:marRight w:val="0"/>
      <w:marTop w:val="0"/>
      <w:marBottom w:val="0"/>
      <w:divBdr>
        <w:top w:val="none" w:sz="0" w:space="0" w:color="auto"/>
        <w:left w:val="none" w:sz="0" w:space="0" w:color="auto"/>
        <w:bottom w:val="none" w:sz="0" w:space="0" w:color="auto"/>
        <w:right w:val="none" w:sz="0" w:space="0" w:color="auto"/>
      </w:divBdr>
    </w:div>
    <w:div w:id="1798374648">
      <w:bodyDiv w:val="1"/>
      <w:marLeft w:val="0"/>
      <w:marRight w:val="0"/>
      <w:marTop w:val="0"/>
      <w:marBottom w:val="0"/>
      <w:divBdr>
        <w:top w:val="none" w:sz="0" w:space="0" w:color="auto"/>
        <w:left w:val="none" w:sz="0" w:space="0" w:color="auto"/>
        <w:bottom w:val="none" w:sz="0" w:space="0" w:color="auto"/>
        <w:right w:val="none" w:sz="0" w:space="0" w:color="auto"/>
      </w:divBdr>
    </w:div>
    <w:div w:id="1841775671">
      <w:bodyDiv w:val="1"/>
      <w:marLeft w:val="0"/>
      <w:marRight w:val="0"/>
      <w:marTop w:val="0"/>
      <w:marBottom w:val="0"/>
      <w:divBdr>
        <w:top w:val="none" w:sz="0" w:space="0" w:color="auto"/>
        <w:left w:val="none" w:sz="0" w:space="0" w:color="auto"/>
        <w:bottom w:val="none" w:sz="0" w:space="0" w:color="auto"/>
        <w:right w:val="none" w:sz="0" w:space="0" w:color="auto"/>
      </w:divBdr>
    </w:div>
    <w:div w:id="1842966557">
      <w:bodyDiv w:val="1"/>
      <w:marLeft w:val="0"/>
      <w:marRight w:val="0"/>
      <w:marTop w:val="0"/>
      <w:marBottom w:val="0"/>
      <w:divBdr>
        <w:top w:val="none" w:sz="0" w:space="0" w:color="auto"/>
        <w:left w:val="none" w:sz="0" w:space="0" w:color="auto"/>
        <w:bottom w:val="none" w:sz="0" w:space="0" w:color="auto"/>
        <w:right w:val="none" w:sz="0" w:space="0" w:color="auto"/>
      </w:divBdr>
    </w:div>
    <w:div w:id="1844978463">
      <w:bodyDiv w:val="1"/>
      <w:marLeft w:val="0"/>
      <w:marRight w:val="0"/>
      <w:marTop w:val="0"/>
      <w:marBottom w:val="0"/>
      <w:divBdr>
        <w:top w:val="none" w:sz="0" w:space="0" w:color="auto"/>
        <w:left w:val="none" w:sz="0" w:space="0" w:color="auto"/>
        <w:bottom w:val="none" w:sz="0" w:space="0" w:color="auto"/>
        <w:right w:val="none" w:sz="0" w:space="0" w:color="auto"/>
      </w:divBdr>
    </w:div>
    <w:div w:id="1898592294">
      <w:bodyDiv w:val="1"/>
      <w:marLeft w:val="0"/>
      <w:marRight w:val="0"/>
      <w:marTop w:val="0"/>
      <w:marBottom w:val="0"/>
      <w:divBdr>
        <w:top w:val="none" w:sz="0" w:space="0" w:color="auto"/>
        <w:left w:val="none" w:sz="0" w:space="0" w:color="auto"/>
        <w:bottom w:val="none" w:sz="0" w:space="0" w:color="auto"/>
        <w:right w:val="none" w:sz="0" w:space="0" w:color="auto"/>
      </w:divBdr>
    </w:div>
    <w:div w:id="1900820162">
      <w:bodyDiv w:val="1"/>
      <w:marLeft w:val="0"/>
      <w:marRight w:val="0"/>
      <w:marTop w:val="0"/>
      <w:marBottom w:val="0"/>
      <w:divBdr>
        <w:top w:val="none" w:sz="0" w:space="0" w:color="auto"/>
        <w:left w:val="none" w:sz="0" w:space="0" w:color="auto"/>
        <w:bottom w:val="none" w:sz="0" w:space="0" w:color="auto"/>
        <w:right w:val="none" w:sz="0" w:space="0" w:color="auto"/>
      </w:divBdr>
    </w:div>
    <w:div w:id="2030914425">
      <w:bodyDiv w:val="1"/>
      <w:marLeft w:val="0"/>
      <w:marRight w:val="0"/>
      <w:marTop w:val="0"/>
      <w:marBottom w:val="0"/>
      <w:divBdr>
        <w:top w:val="none" w:sz="0" w:space="0" w:color="auto"/>
        <w:left w:val="none" w:sz="0" w:space="0" w:color="auto"/>
        <w:bottom w:val="none" w:sz="0" w:space="0" w:color="auto"/>
        <w:right w:val="none" w:sz="0" w:space="0" w:color="auto"/>
      </w:divBdr>
    </w:div>
    <w:div w:id="2033066426">
      <w:bodyDiv w:val="1"/>
      <w:marLeft w:val="0"/>
      <w:marRight w:val="0"/>
      <w:marTop w:val="0"/>
      <w:marBottom w:val="0"/>
      <w:divBdr>
        <w:top w:val="none" w:sz="0" w:space="0" w:color="auto"/>
        <w:left w:val="none" w:sz="0" w:space="0" w:color="auto"/>
        <w:bottom w:val="none" w:sz="0" w:space="0" w:color="auto"/>
        <w:right w:val="none" w:sz="0" w:space="0" w:color="auto"/>
      </w:divBdr>
    </w:div>
    <w:div w:id="2044552549">
      <w:bodyDiv w:val="1"/>
      <w:marLeft w:val="0"/>
      <w:marRight w:val="0"/>
      <w:marTop w:val="0"/>
      <w:marBottom w:val="0"/>
      <w:divBdr>
        <w:top w:val="none" w:sz="0" w:space="0" w:color="auto"/>
        <w:left w:val="none" w:sz="0" w:space="0" w:color="auto"/>
        <w:bottom w:val="none" w:sz="0" w:space="0" w:color="auto"/>
        <w:right w:val="none" w:sz="0" w:space="0" w:color="auto"/>
      </w:divBdr>
    </w:div>
    <w:div w:id="20966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0179\Documents\1%20&#1045;&#1082;&#1086;&#1085;&#1086;&#1084;&#1110;&#1082;&#1072;\&#1060;&#1110;&#1085;&#1087;&#1083;&#1072;&#1085;%202019\&#1057;&#1054;&#1041;&#1030;&#1042;&#1040;&#1056;&#1058;&#1030;&#1057;&#1058;&#1068;\&#1075;&#1088;&#1072;&#1092;&#1080;&#1082;&#1080;%20&#1076;&#1083;%20&#1055;&#1047;\&#1043;&#1088;&#1072;&#1092;&#1080;&#1082;&#1080;%20&#1082;%20&#1055;&#1047;%20&#1079;&#1074;&#1110;&#1090;%20&#1030;V201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0060\Desktop\&#1055;&#1047;%202019\&#1043;&#1088;&#1072;&#1092;&#1080;&#1082;%20&#1072;&#1076;&#1084;&#1080;&#108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   Факторні зміни чистого доходу</a:t>
            </a:r>
            <a:r>
              <a:rPr lang="ru-RU" sz="1200" b="1" baseline="0">
                <a:solidFill>
                  <a:sysClr val="windowText" lastClr="000000"/>
                </a:solidFill>
                <a:latin typeface="Times New Roman" panose="02020603050405020304" pitchFamily="18" charset="0"/>
                <a:cs typeface="Times New Roman" panose="02020603050405020304" pitchFamily="18" charset="0"/>
              </a:rPr>
              <a:t> відносно 2018 року,</a:t>
            </a:r>
            <a:r>
              <a:rPr lang="ru-RU" sz="1200" b="1">
                <a:solidFill>
                  <a:sysClr val="windowText" lastClr="000000"/>
                </a:solidFill>
                <a:latin typeface="Times New Roman" panose="02020603050405020304" pitchFamily="18" charset="0"/>
                <a:cs typeface="Times New Roman" panose="02020603050405020304" pitchFamily="18" charset="0"/>
              </a:rPr>
              <a:t> млн.грн</a:t>
            </a:r>
          </a:p>
        </c:rich>
      </c:tx>
      <c:layout>
        <c:manualLayout>
          <c:xMode val="edge"/>
          <c:yMode val="edge"/>
          <c:x val="0.18579772327370478"/>
          <c:y val="2.559016532603467E-2"/>
        </c:manualLayout>
      </c:layout>
      <c:overlay val="0"/>
      <c:spPr>
        <a:noFill/>
        <a:ln>
          <a:noFill/>
        </a:ln>
        <a:effectLst/>
      </c:spPr>
      <c:txPr>
        <a:bodyPr rot="0" spcFirstLastPara="1" vertOverflow="ellipsis" vert="horz" wrap="square" anchor="ctr" anchorCtr="1"/>
        <a:lstStyle/>
        <a:p>
          <a:pPr algn="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5.0333242007523031E-2"/>
          <c:y val="0.15897416932472483"/>
          <c:w val="0.93114241001564946"/>
          <c:h val="0.69208540713232769"/>
        </c:manualLayout>
      </c:layout>
      <c:lineChart>
        <c:grouping val="standard"/>
        <c:varyColors val="0"/>
        <c:ser>
          <c:idx val="0"/>
          <c:order val="0"/>
          <c:spPr>
            <a:ln w="28575" cap="rnd">
              <a:noFill/>
              <a:round/>
            </a:ln>
            <a:effectLst/>
          </c:spPr>
          <c:marker>
            <c:symbol val="none"/>
          </c:marker>
          <c:dLbls>
            <c:delete val="1"/>
          </c:dLbls>
          <c:cat>
            <c:strRef>
              <c:f>'2Й СЛАЙД (ПНМ)1_18 (3)'!$AX$104:$AX$111</c:f>
              <c:strCache>
                <c:ptCount val="8"/>
                <c:pt idx="0">
                  <c:v>Факт 2018 </c:v>
                </c:pt>
                <c:pt idx="1">
                  <c:v>доходи від портових зборів </c:v>
                </c:pt>
                <c:pt idx="2">
                  <c:v>лоцманські послуги</c:v>
                </c:pt>
                <c:pt idx="3">
                  <c:v>послуги регулювання руху суден</c:v>
                </c:pt>
                <c:pt idx="4">
                  <c:v>забезпечення проведення криголамних робіт</c:v>
                </c:pt>
                <c:pt idx="5">
                  <c:v>послуга із забезпеченням доступу до причалу</c:v>
                </c:pt>
                <c:pt idx="6">
                  <c:v>доходи від інших послуг</c:v>
                </c:pt>
                <c:pt idx="7">
                  <c:v>Факт 2019</c:v>
                </c:pt>
              </c:strCache>
            </c:strRef>
          </c:cat>
          <c:val>
            <c:numRef>
              <c:f>'2Й СЛАЙД (ПНМ)1_18 (3)'!$BA$104:$BA$111</c:f>
              <c:numCache>
                <c:formatCode>#\ ##0.0\ \ ;"( "#\ ##0.0\ \);\-\ \ </c:formatCode>
                <c:ptCount val="8"/>
                <c:pt idx="0" formatCode="General">
                  <c:v>0</c:v>
                </c:pt>
                <c:pt idx="1">
                  <c:v>6526.2</c:v>
                </c:pt>
                <c:pt idx="2">
                  <c:v>6942.0999999999995</c:v>
                </c:pt>
                <c:pt idx="3">
                  <c:v>7027.9</c:v>
                </c:pt>
                <c:pt idx="4">
                  <c:v>7062.2999999999993</c:v>
                </c:pt>
                <c:pt idx="5">
                  <c:v>7058.0999999999995</c:v>
                </c:pt>
                <c:pt idx="6">
                  <c:v>7001.2999999999993</c:v>
                </c:pt>
                <c:pt idx="7">
                  <c:v>0</c:v>
                </c:pt>
              </c:numCache>
            </c:numRef>
          </c:val>
          <c:smooth val="0"/>
          <c:extLst xmlns:c16r2="http://schemas.microsoft.com/office/drawing/2015/06/chart">
            <c:ext xmlns:c16="http://schemas.microsoft.com/office/drawing/2014/chart" uri="{C3380CC4-5D6E-409C-BE32-E72D297353CC}">
              <c16:uniqueId val="{00000000-CE75-48A4-972C-422C6939532A}"/>
            </c:ext>
          </c:extLst>
        </c:ser>
        <c:ser>
          <c:idx val="1"/>
          <c:order val="1"/>
          <c:spPr>
            <a:ln w="28575" cap="rnd">
              <a:noFill/>
              <a:round/>
            </a:ln>
            <a:effectLst/>
          </c:spPr>
          <c:marker>
            <c:symbol val="none"/>
          </c:marker>
          <c:dLbls>
            <c:dLbl>
              <c:idx val="0"/>
              <c:layout/>
              <c:tx>
                <c:rich>
                  <a:bodyPr/>
                  <a:lstStyle/>
                  <a:p>
                    <a:r>
                      <a:rPr lang="en-US"/>
                      <a:t>6 525,8</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E75-48A4-972C-422C6939532A}"/>
                </c:ext>
                <c:ext xmlns:c15="http://schemas.microsoft.com/office/drawing/2012/chart" uri="{CE6537A1-D6FC-4f65-9D91-7224C49458BB}">
                  <c15:layout/>
                </c:ext>
              </c:extLst>
            </c:dLbl>
            <c:dLbl>
              <c:idx val="1"/>
              <c:layout>
                <c:manualLayout>
                  <c:x val="-6.1658939259664966E-2"/>
                  <c:y val="-2.7519416114699175E-2"/>
                </c:manualLayout>
              </c:layout>
              <c:tx>
                <c:rich>
                  <a:bodyPr/>
                  <a:lstStyle/>
                  <a:p>
                    <a:r>
                      <a:rPr lang="en-US"/>
                      <a:t>416,3</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E75-48A4-972C-422C6939532A}"/>
                </c:ext>
                <c:ext xmlns:c15="http://schemas.microsoft.com/office/drawing/2012/chart" uri="{CE6537A1-D6FC-4f65-9D91-7224C49458BB}">
                  <c15:layout>
                    <c:manualLayout>
                      <c:w val="0.11356784405854366"/>
                      <c:h val="9.2834177798581524E-2"/>
                    </c:manualLayout>
                  </c15:layout>
                </c:ext>
              </c:extLst>
            </c:dLbl>
            <c:dLbl>
              <c:idx val="2"/>
              <c:layout>
                <c:manualLayout>
                  <c:x val="-5.2243096713272409E-2"/>
                  <c:y val="-2.3134710900863418E-2"/>
                </c:manualLayout>
              </c:layout>
              <c:tx>
                <c:rich>
                  <a:bodyPr/>
                  <a:lstStyle/>
                  <a:p>
                    <a:r>
                      <a:rPr lang="en-US"/>
                      <a:t>85,8</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E75-48A4-972C-422C6939532A}"/>
                </c:ext>
                <c:ext xmlns:c15="http://schemas.microsoft.com/office/drawing/2012/chart" uri="{CE6537A1-D6FC-4f65-9D91-7224C49458BB}">
                  <c15:layout>
                    <c:manualLayout>
                      <c:w val="8.605135384280288E-2"/>
                      <c:h val="3.3721949139919154E-2"/>
                    </c:manualLayout>
                  </c15:layout>
                </c:ext>
              </c:extLst>
            </c:dLbl>
            <c:dLbl>
              <c:idx val="3"/>
              <c:layout>
                <c:manualLayout>
                  <c:x val="-3.6314053951874106E-2"/>
                  <c:y val="-3.4588244962530344E-2"/>
                </c:manualLayout>
              </c:layout>
              <c:tx>
                <c:rich>
                  <a:bodyPr/>
                  <a:lstStyle/>
                  <a:p>
                    <a:r>
                      <a:rPr lang="en-US"/>
                      <a:t>34,4</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E75-48A4-972C-422C6939532A}"/>
                </c:ext>
                <c:ext xmlns:c15="http://schemas.microsoft.com/office/drawing/2012/chart" uri="{CE6537A1-D6FC-4f65-9D91-7224C49458BB}">
                  <c15:layout>
                    <c:manualLayout>
                      <c:w val="5.119485728767921E-2"/>
                      <c:h val="6.3558767482831763E-2"/>
                    </c:manualLayout>
                  </c15:layout>
                </c:ext>
              </c:extLst>
            </c:dLbl>
            <c:dLbl>
              <c:idx val="4"/>
              <c:layout>
                <c:manualLayout>
                  <c:x val="-3.6248317118036347E-2"/>
                  <c:y val="-2.3903518909451388E-2"/>
                </c:manualLayout>
              </c:layout>
              <c:tx>
                <c:rich>
                  <a:bodyPr/>
                  <a:lstStyle/>
                  <a:p>
                    <a:r>
                      <a:rPr lang="en-US"/>
                      <a:t>4,2</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E75-48A4-972C-422C6939532A}"/>
                </c:ext>
                <c:ext xmlns:c15="http://schemas.microsoft.com/office/drawing/2012/chart" uri="{CE6537A1-D6FC-4f65-9D91-7224C49458BB}">
                  <c15:layout>
                    <c:manualLayout>
                      <c:w val="5.2329569154270485E-2"/>
                      <c:h val="3.0151016597451313E-2"/>
                    </c:manualLayout>
                  </c15:layout>
                </c:ext>
              </c:extLst>
            </c:dLbl>
            <c:dLbl>
              <c:idx val="5"/>
              <c:layout>
                <c:manualLayout>
                  <c:x val="-3.3028036347588094E-2"/>
                  <c:y val="-4.6337118819051726E-2"/>
                </c:manualLayout>
              </c:layout>
              <c:tx>
                <c:rich>
                  <a:bodyPr/>
                  <a:lstStyle/>
                  <a:p>
                    <a:r>
                      <a:rPr lang="en-US"/>
                      <a:t>56,8</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E75-48A4-972C-422C6939532A}"/>
                </c:ext>
                <c:ext xmlns:c15="http://schemas.microsoft.com/office/drawing/2012/chart" uri="{CE6537A1-D6FC-4f65-9D91-7224C49458BB}">
                  <c15:layout>
                    <c:manualLayout>
                      <c:w val="4.7507128674685845E-2"/>
                      <c:h val="6.0913344736017574E-2"/>
                    </c:manualLayout>
                  </c15:layout>
                </c:ext>
              </c:extLst>
            </c:dLbl>
            <c:dLbl>
              <c:idx val="6"/>
              <c:layout>
                <c:manualLayout>
                  <c:x val="-2.9397233170261189E-2"/>
                  <c:y val="-1.6105726510213622E-2"/>
                </c:manualLayout>
              </c:layout>
              <c:tx>
                <c:rich>
                  <a:bodyPr/>
                  <a:lstStyle/>
                  <a:p>
                    <a:r>
                      <a:rPr lang="en-US"/>
                      <a:t>19,5</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E75-48A4-972C-422C6939532A}"/>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'2Й СЛАЙД (ПНМ)1_18 (3)'!$AX$104:$AX$111</c:f>
              <c:strCache>
                <c:ptCount val="8"/>
                <c:pt idx="0">
                  <c:v>Факт 2018 </c:v>
                </c:pt>
                <c:pt idx="1">
                  <c:v>доходи від портових зборів </c:v>
                </c:pt>
                <c:pt idx="2">
                  <c:v>лоцманські послуги</c:v>
                </c:pt>
                <c:pt idx="3">
                  <c:v>послуги регулювання руху суден</c:v>
                </c:pt>
                <c:pt idx="4">
                  <c:v>забезпечення проведення криголамних робіт</c:v>
                </c:pt>
                <c:pt idx="5">
                  <c:v>послуга із забезпеченням доступу до причалу</c:v>
                </c:pt>
                <c:pt idx="6">
                  <c:v>доходи від інших послуг</c:v>
                </c:pt>
                <c:pt idx="7">
                  <c:v>Факт 2019</c:v>
                </c:pt>
              </c:strCache>
            </c:strRef>
          </c:cat>
          <c:val>
            <c:numRef>
              <c:f>'2Й СЛАЙД (ПНМ)1_18 (3)'!$BB$104:$BB$111</c:f>
              <c:numCache>
                <c:formatCode>#\ ##0.0\ \ ;"( "#\ ##0.0\ \);\-\ \ </c:formatCode>
                <c:ptCount val="8"/>
                <c:pt idx="0">
                  <c:v>6526.2</c:v>
                </c:pt>
                <c:pt idx="1">
                  <c:v>6942.0999999999995</c:v>
                </c:pt>
                <c:pt idx="2" formatCode="#\ ##0.0">
                  <c:v>7027.9</c:v>
                </c:pt>
                <c:pt idx="3" formatCode="#\ ##0.0">
                  <c:v>7062.2999999999993</c:v>
                </c:pt>
                <c:pt idx="4" formatCode="#\ ##0.0">
                  <c:v>7058.0999999999995</c:v>
                </c:pt>
                <c:pt idx="5" formatCode="#\ ##0.0">
                  <c:v>7001.2999999999993</c:v>
                </c:pt>
                <c:pt idx="6" formatCode="#\ ##0.0">
                  <c:v>7020.7999999999993</c:v>
                </c:pt>
                <c:pt idx="7" formatCode="#\ ##0.0">
                  <c:v>7020.7999999999993</c:v>
                </c:pt>
              </c:numCache>
            </c:numRef>
          </c:val>
          <c:smooth val="0"/>
          <c:extLst xmlns:c16r2="http://schemas.microsoft.com/office/drawing/2015/06/chart">
            <c:ext xmlns:c16="http://schemas.microsoft.com/office/drawing/2014/chart" uri="{C3380CC4-5D6E-409C-BE32-E72D297353CC}">
              <c16:uniqueId val="{00000008-CE75-48A4-972C-422C6939532A}"/>
            </c:ext>
          </c:extLst>
        </c:ser>
        <c:dLbls>
          <c:dLblPos val="t"/>
          <c:showLegendKey val="0"/>
          <c:showVal val="1"/>
          <c:showCatName val="0"/>
          <c:showSerName val="0"/>
          <c:showPercent val="0"/>
          <c:showBubbleSize val="0"/>
        </c:dLbls>
        <c:upDownBars>
          <c:gapWidth val="151"/>
          <c:upBars>
            <c:spPr>
              <a:solidFill>
                <a:srgbClr val="006699"/>
              </a:solidFill>
              <a:ln w="9525">
                <a:noFill/>
              </a:ln>
              <a:effectLst/>
            </c:spPr>
          </c:upBars>
          <c:downBars>
            <c:spPr>
              <a:solidFill>
                <a:srgbClr val="FF0000"/>
              </a:solidFill>
              <a:ln w="9525">
                <a:noFill/>
              </a:ln>
              <a:effectLst/>
            </c:spPr>
          </c:downBars>
        </c:upDownBars>
        <c:smooth val="0"/>
        <c:axId val="-1678891152"/>
        <c:axId val="-1678888976"/>
      </c:lineChart>
      <c:catAx>
        <c:axId val="-1678891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18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678888976"/>
        <c:crosses val="autoZero"/>
        <c:auto val="1"/>
        <c:lblAlgn val="ctr"/>
        <c:lblOffset val="50"/>
        <c:noMultiLvlLbl val="0"/>
      </c:catAx>
      <c:valAx>
        <c:axId val="-1678888976"/>
        <c:scaling>
          <c:orientation val="minMax"/>
          <c:max val="7500"/>
          <c:min val="500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678891152"/>
        <c:crosses val="autoZero"/>
        <c:crossBetween val="between"/>
        <c:majorUnit val="250"/>
        <c:min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Arial" panose="020B0604020202020204" pitchFamily="34" charset="0"/>
          <a:cs typeface="Arial" panose="020B0604020202020204" pitchFamily="34" charset="0"/>
        </a:defRPr>
      </a:pPr>
      <a:endParaRPr lang="uk-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Фактори зростання витрат у складі собівартості  </a:t>
            </a:r>
            <a:r>
              <a:rPr lang="uk-UA" sz="1400" b="0" i="0" u="none" strike="noStrike" baseline="0">
                <a:effectLst/>
              </a:rPr>
              <a:t>за </a:t>
            </a:r>
            <a:r>
              <a:rPr lang="ru-RU" sz="1400" b="0" i="0" u="none" strike="noStrike" baseline="0">
                <a:effectLst/>
              </a:rPr>
              <a:t>2019 </a:t>
            </a:r>
            <a:r>
              <a:rPr lang="uk-UA" sz="1400" b="0" i="0" u="none" strike="noStrike" baseline="0">
                <a:effectLst/>
              </a:rPr>
              <a:t>рік</a:t>
            </a:r>
            <a:r>
              <a:rPr lang="ru-RU" sz="1400" b="0" i="0" u="none" strike="noStrike" baseline="0">
                <a:effectLst/>
              </a:rPr>
              <a:t> відносно факту  2018 року,</a:t>
            </a:r>
            <a:r>
              <a:rPr lang="ru-RU"/>
              <a:t> млн.грн</a:t>
            </a:r>
          </a:p>
        </c:rich>
      </c:tx>
      <c:layout>
        <c:manualLayout>
          <c:xMode val="edge"/>
          <c:yMode val="edge"/>
          <c:x val="0.14768242707300436"/>
          <c:y val="3.433357431371354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5.3483757062838172E-2"/>
          <c:y val="0.19099293411090798"/>
          <c:w val="0.93114241001564946"/>
          <c:h val="0.67949110527850687"/>
        </c:manualLayout>
      </c:layout>
      <c:lineChart>
        <c:grouping val="standard"/>
        <c:varyColors val="0"/>
        <c:ser>
          <c:idx val="1"/>
          <c:order val="0"/>
          <c:spPr>
            <a:ln w="25400" cap="rnd">
              <a:noFill/>
              <a:round/>
            </a:ln>
            <a:effectLst/>
          </c:spPr>
          <c:marker>
            <c:symbol val="none"/>
          </c:marker>
          <c:cat>
            <c:strRef>
              <c:f>график!$B$38:$B$44</c:f>
              <c:strCache>
                <c:ptCount val="7"/>
                <c:pt idx="0">
                  <c:v>факт 2018</c:v>
                </c:pt>
                <c:pt idx="1">
                  <c:v>ФДФ</c:v>
                </c:pt>
                <c:pt idx="2">
                  <c:v>ВМР та ЦЗ</c:v>
                </c:pt>
                <c:pt idx="3">
                  <c:v>Нові плавзасоби</c:v>
                </c:pt>
                <c:pt idx="4">
                  <c:v>Днопоглиблення</c:v>
                </c:pt>
                <c:pt idx="5">
                  <c:v>інші</c:v>
                </c:pt>
                <c:pt idx="6">
                  <c:v>факт 2019</c:v>
                </c:pt>
              </c:strCache>
            </c:strRef>
          </c:cat>
          <c:val>
            <c:numRef>
              <c:f>график!$F$38:$F$44</c:f>
              <c:numCache>
                <c:formatCode>#\ ##0.0\ \ ;"( "#\ ##0.0\ \);\-\ \ </c:formatCode>
                <c:ptCount val="7"/>
                <c:pt idx="0" formatCode="General">
                  <c:v>0</c:v>
                </c:pt>
                <c:pt idx="1">
                  <c:v>2863</c:v>
                </c:pt>
                <c:pt idx="2">
                  <c:v>2972.2</c:v>
                </c:pt>
                <c:pt idx="3">
                  <c:v>3012.7</c:v>
                </c:pt>
                <c:pt idx="4">
                  <c:v>3030.6</c:v>
                </c:pt>
                <c:pt idx="5">
                  <c:v>3768</c:v>
                </c:pt>
                <c:pt idx="6">
                  <c:v>0</c:v>
                </c:pt>
              </c:numCache>
            </c:numRef>
          </c:val>
          <c:smooth val="0"/>
          <c:extLst xmlns:c16r2="http://schemas.microsoft.com/office/drawing/2015/06/chart">
            <c:ext xmlns:c16="http://schemas.microsoft.com/office/drawing/2014/chart" uri="{C3380CC4-5D6E-409C-BE32-E72D297353CC}">
              <c16:uniqueId val="{00000005-E3C7-4D87-A8A5-8AF54B54F02F}"/>
            </c:ext>
          </c:extLst>
        </c:ser>
        <c:ser>
          <c:idx val="0"/>
          <c:order val="1"/>
          <c:spPr>
            <a:ln w="25400" cap="rnd">
              <a:noFill/>
              <a:round/>
            </a:ln>
            <a:effectLst/>
          </c:spPr>
          <c:marker>
            <c:symbol val="none"/>
          </c:marker>
          <c:dLbls>
            <c:dLbl>
              <c:idx val="0"/>
              <c:layout>
                <c:manualLayout>
                  <c:x val="-6.8372939390350287E-2"/>
                  <c:y val="-4.6994915668178892E-2"/>
                </c:manualLayout>
              </c:layout>
              <c:tx>
                <c:rich>
                  <a:bodyPr/>
                  <a:lstStyle/>
                  <a:p>
                    <a:fld id="{2298C182-5CF9-4E82-BC20-93F3F00BA01E}" type="CELLRANGE">
                      <a:rPr lang="en-US"/>
                      <a:pPr/>
                      <a:t>[ДИАПАЗОН ЯЧЕЕК]</a:t>
                    </a:fld>
                    <a:r>
                      <a:rPr lang="en-US" baseline="0"/>
                      <a:t>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888-43E1-9A8C-0BD89D19A44C}"/>
                </c:ext>
                <c:ext xmlns:c15="http://schemas.microsoft.com/office/drawing/2012/chart" uri="{CE6537A1-D6FC-4f65-9D91-7224C49458BB}">
                  <c15:layout/>
                  <c15:dlblFieldTable/>
                  <c15:showDataLabelsRange val="1"/>
                </c:ext>
              </c:extLst>
            </c:dLbl>
            <c:dLbl>
              <c:idx val="1"/>
              <c:layout>
                <c:manualLayout>
                  <c:x val="-8.0804382915868528E-2"/>
                  <c:y val="-3.5246186751134168E-2"/>
                </c:manualLayout>
              </c:layout>
              <c:tx>
                <c:rich>
                  <a:bodyPr/>
                  <a:lstStyle/>
                  <a:p>
                    <a:fld id="{CEA7624F-F697-4D5C-91B6-3860EEAB755F}" type="CELLRANGE">
                      <a:rPr lang="en-US"/>
                      <a:pPr/>
                      <a:t>[ДИАПАЗОН ЯЧЕЕК]</a:t>
                    </a:fld>
                    <a:endParaRPr lang="uk-UA"/>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888-43E1-9A8C-0BD89D19A44C}"/>
                </c:ext>
                <c:ext xmlns:c15="http://schemas.microsoft.com/office/drawing/2012/chart" uri="{CE6537A1-D6FC-4f65-9D91-7224C49458BB}">
                  <c15:layout/>
                  <c15:dlblFieldTable/>
                  <c15:showDataLabelsRange val="1"/>
                </c:ext>
              </c:extLst>
            </c:dLbl>
            <c:dLbl>
              <c:idx val="2"/>
              <c:layout>
                <c:manualLayout>
                  <c:x val="-7.666056840736242E-2"/>
                  <c:y val="-3.818336898039535E-2"/>
                </c:manualLayout>
              </c:layout>
              <c:tx>
                <c:rich>
                  <a:bodyPr/>
                  <a:lstStyle/>
                  <a:p>
                    <a:fld id="{551D8A6D-2E82-4B94-8B86-481E2B967DC6}" type="CELLRANGE">
                      <a:rPr lang="en-US"/>
                      <a:pPr/>
                      <a:t>[ДИАПАЗОН ЯЧЕЕК]</a:t>
                    </a:fld>
                    <a:endParaRPr lang="uk-UA"/>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888-43E1-9A8C-0BD89D19A44C}"/>
                </c:ext>
                <c:ext xmlns:c15="http://schemas.microsoft.com/office/drawing/2012/chart" uri="{CE6537A1-D6FC-4f65-9D91-7224C49458BB}">
                  <c15:layout/>
                  <c15:dlblFieldTable/>
                  <c15:showDataLabelsRange val="1"/>
                </c:ext>
              </c:extLst>
            </c:dLbl>
            <c:dLbl>
              <c:idx val="3"/>
              <c:layout>
                <c:manualLayout>
                  <c:x val="-7.0444846644603307E-2"/>
                  <c:y val="-2.3497457834089446E-2"/>
                </c:manualLayout>
              </c:layout>
              <c:tx>
                <c:rich>
                  <a:bodyPr/>
                  <a:lstStyle/>
                  <a:p>
                    <a:fld id="{4F79C10F-A962-49FB-A8E4-C80A2FE03A16}" type="CELLRANGE">
                      <a:rPr lang="en-US"/>
                      <a:pPr/>
                      <a:t>[ДИАПАЗОН ЯЧЕЕК]</a:t>
                    </a:fld>
                    <a:endParaRPr lang="uk-UA"/>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888-43E1-9A8C-0BD89D19A44C}"/>
                </c:ext>
                <c:ext xmlns:c15="http://schemas.microsoft.com/office/drawing/2012/chart" uri="{CE6537A1-D6FC-4f65-9D91-7224C49458BB}">
                  <c15:layout/>
                  <c15:dlblFieldTable/>
                  <c15:showDataLabelsRange val="1"/>
                </c:ext>
              </c:extLst>
            </c:dLbl>
            <c:dLbl>
              <c:idx val="4"/>
              <c:layout>
                <c:manualLayout>
                  <c:x val="-7.6660568407362489E-2"/>
                  <c:y val="-4.6994915668178892E-2"/>
                </c:manualLayout>
              </c:layout>
              <c:tx>
                <c:rich>
                  <a:bodyPr/>
                  <a:lstStyle/>
                  <a:p>
                    <a:fld id="{7C419B88-32AE-4057-BAD8-B0F451B2DA9D}" type="CELLRANGE">
                      <a:rPr lang="en-US"/>
                      <a:pPr/>
                      <a:t>[ДИАПАЗОН ЯЧЕЕК]</a:t>
                    </a:fld>
                    <a:endParaRPr lang="uk-UA"/>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888-43E1-9A8C-0BD89D19A44C}"/>
                </c:ext>
                <c:ext xmlns:c15="http://schemas.microsoft.com/office/drawing/2012/chart" uri="{CE6537A1-D6FC-4f65-9D91-7224C49458BB}">
                  <c15:layout/>
                  <c15:dlblFieldTable/>
                  <c15:showDataLabelsRange val="1"/>
                </c:ext>
              </c:extLst>
            </c:dLbl>
            <c:dLbl>
              <c:idx val="5"/>
              <c:layout>
                <c:manualLayout>
                  <c:x val="-7.8732475661615453E-2"/>
                  <c:y val="-4.9932097897440096E-2"/>
                </c:manualLayout>
              </c:layout>
              <c:tx>
                <c:rich>
                  <a:bodyPr/>
                  <a:lstStyle/>
                  <a:p>
                    <a:fld id="{659A1E3E-BF85-49C9-85AC-EFD10E747F69}" type="CELLRANGE">
                      <a:rPr lang="en-US"/>
                      <a:pPr/>
                      <a:t>[ДИАПАЗОН ЯЧЕЕК]</a:t>
                    </a:fld>
                    <a:endParaRPr lang="uk-UA"/>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888-43E1-9A8C-0BD89D19A44C}"/>
                </c:ext>
                <c:ext xmlns:c15="http://schemas.microsoft.com/office/drawing/2012/chart" uri="{CE6537A1-D6FC-4f65-9D91-7224C49458BB}">
                  <c15:layout/>
                  <c15:dlblFieldTable/>
                  <c15:showDataLabelsRange val="1"/>
                </c:ext>
              </c:extLst>
            </c:dLbl>
            <c:dLbl>
              <c:idx val="6"/>
              <c:layout>
                <c:manualLayout>
                  <c:x val="-1.8647165288277496E-2"/>
                  <c:y val="-4.4057733438917709E-2"/>
                </c:manualLayout>
              </c:layout>
              <c:tx>
                <c:rich>
                  <a:bodyPr/>
                  <a:lstStyle/>
                  <a:p>
                    <a:fld id="{E8E0A317-B208-430B-9F39-B96AEAC1F5CF}" type="CELLRANGE">
                      <a:rPr lang="en-US"/>
                      <a:pPr/>
                      <a:t>[ДИАПАЗОН ЯЧЕЕК]</a:t>
                    </a:fld>
                    <a:endParaRPr lang="uk-UA"/>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888-43E1-9A8C-0BD89D19A44C}"/>
                </c:ex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график!$B$38:$B$44</c:f>
              <c:strCache>
                <c:ptCount val="7"/>
                <c:pt idx="0">
                  <c:v>факт 2018</c:v>
                </c:pt>
                <c:pt idx="1">
                  <c:v>ФДФ</c:v>
                </c:pt>
                <c:pt idx="2">
                  <c:v>ВМР та ЦЗ</c:v>
                </c:pt>
                <c:pt idx="3">
                  <c:v>Нові плавзасоби</c:v>
                </c:pt>
                <c:pt idx="4">
                  <c:v>Днопоглиблення</c:v>
                </c:pt>
                <c:pt idx="5">
                  <c:v>інші</c:v>
                </c:pt>
                <c:pt idx="6">
                  <c:v>факт 2019</c:v>
                </c:pt>
              </c:strCache>
            </c:strRef>
          </c:cat>
          <c:val>
            <c:numRef>
              <c:f>график!$G$38:$G$44</c:f>
              <c:numCache>
                <c:formatCode>#\ ##0.0\ \ ;"( "#\ ##0.0\ \);\-\ \ </c:formatCode>
                <c:ptCount val="7"/>
                <c:pt idx="0">
                  <c:v>2863</c:v>
                </c:pt>
                <c:pt idx="1">
                  <c:v>2972.2</c:v>
                </c:pt>
                <c:pt idx="2">
                  <c:v>3012.7</c:v>
                </c:pt>
                <c:pt idx="3" formatCode="#\ ##0.0">
                  <c:v>3030.6</c:v>
                </c:pt>
                <c:pt idx="4" formatCode="#\ ##0.0">
                  <c:v>3768</c:v>
                </c:pt>
                <c:pt idx="5" formatCode="#\ ##0.0">
                  <c:v>3907</c:v>
                </c:pt>
                <c:pt idx="6" formatCode="#\ ##0.0">
                  <c:v>3907</c:v>
                </c:pt>
              </c:numCache>
            </c:numRef>
          </c:val>
          <c:smooth val="0"/>
          <c:extLst xmlns:c16r2="http://schemas.microsoft.com/office/drawing/2015/06/chart">
            <c:ext xmlns:c16="http://schemas.microsoft.com/office/drawing/2014/chart" uri="{C3380CC4-5D6E-409C-BE32-E72D297353CC}">
              <c16:uniqueId val="{00000007-0888-43E1-9A8C-0BD89D19A44C}"/>
            </c:ext>
            <c:ext xmlns:c15="http://schemas.microsoft.com/office/drawing/2012/chart" uri="{02D57815-91ED-43cb-92C2-25804820EDAC}">
              <c15:datalabelsRange>
                <c15:f>график!$C$38:$C$45</c15:f>
                <c15:dlblRangeCache>
                  <c:ptCount val="8"/>
                  <c:pt idx="0">
                    <c:v>2 863,0  </c:v>
                  </c:pt>
                  <c:pt idx="1">
                    <c:v>109,2  </c:v>
                  </c:pt>
                  <c:pt idx="2">
                    <c:v>40,5  </c:v>
                  </c:pt>
                  <c:pt idx="3">
                    <c:v>17,9  </c:v>
                  </c:pt>
                  <c:pt idx="4">
                    <c:v>737,4  </c:v>
                  </c:pt>
                  <c:pt idx="5">
                    <c:v>139,0  </c:v>
                  </c:pt>
                  <c:pt idx="6">
                    <c:v>3 907,0</c:v>
                  </c:pt>
                </c15:dlblRangeCache>
              </c15:datalabelsRange>
            </c:ext>
          </c:extLst>
        </c:ser>
        <c:dLbls>
          <c:showLegendKey val="0"/>
          <c:showVal val="0"/>
          <c:showCatName val="0"/>
          <c:showSerName val="0"/>
          <c:showPercent val="0"/>
          <c:showBubbleSize val="0"/>
        </c:dLbls>
        <c:upDownBars>
          <c:gapWidth val="90"/>
          <c:upBars>
            <c:spPr>
              <a:solidFill>
                <a:srgbClr val="006699"/>
              </a:solidFill>
              <a:ln w="9525">
                <a:solidFill>
                  <a:schemeClr val="tx1"/>
                </a:solidFill>
              </a:ln>
              <a:effectLst/>
            </c:spPr>
          </c:upBars>
          <c:downBars>
            <c:spPr>
              <a:solidFill>
                <a:srgbClr val="FF0000"/>
              </a:solidFill>
              <a:ln w="9525">
                <a:solidFill>
                  <a:schemeClr val="tx1"/>
                </a:solidFill>
              </a:ln>
              <a:effectLst/>
            </c:spPr>
          </c:downBars>
        </c:upDownBars>
        <c:smooth val="0"/>
        <c:axId val="-1678887888"/>
        <c:axId val="-1678886800"/>
      </c:lineChart>
      <c:catAx>
        <c:axId val="-167888788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144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678886800"/>
        <c:crosses val="autoZero"/>
        <c:auto val="1"/>
        <c:lblAlgn val="ctr"/>
        <c:lblOffset val="100"/>
        <c:noMultiLvlLbl val="0"/>
      </c:catAx>
      <c:valAx>
        <c:axId val="-1678886800"/>
        <c:scaling>
          <c:orientation val="minMax"/>
          <c:max val="3910"/>
          <c:min val="280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678887888"/>
        <c:crosses val="autoZero"/>
        <c:crossBetween val="between"/>
        <c:majorUnit val="100"/>
        <c:min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Факторні зміни адміністративних витрат, млн.грн</a:t>
            </a:r>
          </a:p>
        </c:rich>
      </c:tx>
      <c:layout>
        <c:manualLayout>
          <c:xMode val="edge"/>
          <c:yMode val="edge"/>
          <c:x val="0.20493541925680342"/>
          <c:y val="3.4371673918696832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5.4744132187589042E-2"/>
          <c:y val="8.7746538476168742E-2"/>
          <c:w val="0.93114241001564946"/>
          <c:h val="0.72498847064956795"/>
        </c:manualLayout>
      </c:layout>
      <c:lineChart>
        <c:grouping val="standard"/>
        <c:varyColors val="0"/>
        <c:ser>
          <c:idx val="0"/>
          <c:order val="0"/>
          <c:spPr>
            <a:ln w="28575" cap="rnd">
              <a:noFill/>
              <a:round/>
            </a:ln>
            <a:effectLst/>
          </c:spPr>
          <c:marker>
            <c:symbol val="none"/>
          </c:marker>
          <c:dLbls>
            <c:delete val="1"/>
          </c:dLbls>
          <c:cat>
            <c:strRef>
              <c:f>'2Й СЛАЙД (ПНМ)1_18'!$AX$26:$AX$32</c:f>
              <c:strCache>
                <c:ptCount val="7"/>
                <c:pt idx="0">
                  <c:v>факт  2018 </c:v>
                </c:pt>
                <c:pt idx="1">
                  <c:v>ВОП з відрахуваннями</c:v>
                </c:pt>
                <c:pt idx="2">
                  <c:v>ФДФ</c:v>
                </c:pt>
                <c:pt idx="3">
                  <c:v>Амортизація</c:v>
                </c:pt>
                <c:pt idx="4">
                  <c:v>Професійні послуги, послуги банку</c:v>
                </c:pt>
                <c:pt idx="5">
                  <c:v>Інші витрати</c:v>
                </c:pt>
                <c:pt idx="6">
                  <c:v>факт  2019</c:v>
                </c:pt>
              </c:strCache>
            </c:strRef>
          </c:cat>
          <c:val>
            <c:numRef>
              <c:f>'2Й СЛАЙД (ПНМ)1_18'!$BA$26:$BA$32</c:f>
              <c:numCache>
                <c:formatCode>#\ ##0\ \ ;"( "#\ ##0\ \);\-\ </c:formatCode>
                <c:ptCount val="7"/>
                <c:pt idx="0" formatCode="General">
                  <c:v>0</c:v>
                </c:pt>
                <c:pt idx="1">
                  <c:v>722.9</c:v>
                </c:pt>
                <c:pt idx="2">
                  <c:v>830</c:v>
                </c:pt>
                <c:pt idx="3">
                  <c:v>850.9</c:v>
                </c:pt>
                <c:pt idx="4">
                  <c:v>861.9</c:v>
                </c:pt>
                <c:pt idx="5">
                  <c:v>871.9</c:v>
                </c:pt>
                <c:pt idx="6" formatCode="#\ ##0.0\ \ ;&quot;( &quot;#\ ##0.0\ \);\-\ \ ">
                  <c:v>0</c:v>
                </c:pt>
              </c:numCache>
            </c:numRef>
          </c:val>
          <c:smooth val="0"/>
          <c:extLst xmlns:c16r2="http://schemas.microsoft.com/office/drawing/2015/06/chart">
            <c:ext xmlns:c16="http://schemas.microsoft.com/office/drawing/2014/chart" uri="{C3380CC4-5D6E-409C-BE32-E72D297353CC}">
              <c16:uniqueId val="{00000000-2E21-4585-AEFA-BF99902999CD}"/>
            </c:ext>
          </c:extLst>
        </c:ser>
        <c:ser>
          <c:idx val="1"/>
          <c:order val="1"/>
          <c:spPr>
            <a:ln w="28575" cap="rnd">
              <a:noFill/>
              <a:round/>
            </a:ln>
            <a:effectLst/>
          </c:spPr>
          <c:marker>
            <c:symbol val="none"/>
          </c:marker>
          <c:dLbls>
            <c:dLbl>
              <c:idx val="0"/>
              <c:layout>
                <c:manualLayout>
                  <c:x val="-4.3212510513391922E-2"/>
                  <c:y val="-3.8039379713865368E-2"/>
                </c:manualLayout>
              </c:layout>
              <c:tx>
                <c:rich>
                  <a:bodyPr/>
                  <a:lstStyle/>
                  <a:p>
                    <a:r>
                      <a:rPr lang="en-US"/>
                      <a:t>722,9</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649-4887-A50B-E1F000807184}"/>
                </c:ext>
                <c:ext xmlns:c15="http://schemas.microsoft.com/office/drawing/2012/chart" uri="{CE6537A1-D6FC-4f65-9D91-7224C49458BB}">
                  <c15:layout>
                    <c:manualLayout>
                      <c:w val="7.420290614440557E-2"/>
                      <c:h val="2.9222463636389868E-2"/>
                    </c:manualLayout>
                  </c15:layout>
                </c:ext>
              </c:extLst>
            </c:dLbl>
            <c:dLbl>
              <c:idx val="1"/>
              <c:layout>
                <c:manualLayout>
                  <c:x val="-6.4689848798184901E-2"/>
                  <c:y val="-4.5529159133925794E-2"/>
                </c:manualLayout>
              </c:layout>
              <c:tx>
                <c:rich>
                  <a:bodyPr/>
                  <a:lstStyle/>
                  <a:p>
                    <a:r>
                      <a:rPr lang="en-US"/>
                      <a:t>107,1</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649-4887-A50B-E1F000807184}"/>
                </c:ext>
                <c:ext xmlns:c15="http://schemas.microsoft.com/office/drawing/2012/chart" uri="{CE6537A1-D6FC-4f65-9D91-7224C49458BB}">
                  <c15:layout>
                    <c:manualLayout>
                      <c:w val="0.12597300619290019"/>
                      <c:h val="0.10902574019738595"/>
                    </c:manualLayout>
                  </c15:layout>
                </c:ext>
              </c:extLst>
            </c:dLbl>
            <c:dLbl>
              <c:idx val="2"/>
              <c:layout>
                <c:manualLayout>
                  <c:x val="-2.1661326054600322E-2"/>
                  <c:y val="-2.9737416406737667E-2"/>
                </c:manualLayout>
              </c:layout>
              <c:tx>
                <c:rich>
                  <a:bodyPr/>
                  <a:lstStyle/>
                  <a:p>
                    <a:r>
                      <a:rPr lang="en-US"/>
                      <a:t>20,9</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649-4887-A50B-E1F000807184}"/>
                </c:ext>
                <c:ext xmlns:c15="http://schemas.microsoft.com/office/drawing/2012/chart" uri="{CE6537A1-D6FC-4f65-9D91-7224C49458BB}">
                  <c15:layout/>
                </c:ext>
              </c:extLst>
            </c:dLbl>
            <c:dLbl>
              <c:idx val="3"/>
              <c:layout>
                <c:manualLayout>
                  <c:x val="-1.5350616503664746E-2"/>
                  <c:y val="-4.2633615970259463E-2"/>
                </c:manualLayout>
              </c:layout>
              <c:tx>
                <c:rich>
                  <a:bodyPr/>
                  <a:lstStyle/>
                  <a:p>
                    <a:r>
                      <a:rPr lang="en-US"/>
                      <a:t>10,2</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649-4887-A50B-E1F000807184}"/>
                </c:ext>
                <c:ext xmlns:c15="http://schemas.microsoft.com/office/drawing/2012/chart" uri="{CE6537A1-D6FC-4f65-9D91-7224C49458BB}">
                  <c15:layout/>
                </c:ext>
              </c:extLst>
            </c:dLbl>
            <c:dLbl>
              <c:idx val="4"/>
              <c:layout/>
              <c:tx>
                <c:rich>
                  <a:bodyPr/>
                  <a:lstStyle/>
                  <a:p>
                    <a:r>
                      <a:rPr lang="en-US"/>
                      <a:t>10,0</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649-4887-A50B-E1F000807184}"/>
                </c:ext>
                <c:ext xmlns:c15="http://schemas.microsoft.com/office/drawing/2012/chart" uri="{CE6537A1-D6FC-4f65-9D91-7224C49458BB}">
                  <c15:layout/>
                </c:ext>
              </c:extLst>
            </c:dLbl>
            <c:dLbl>
              <c:idx val="5"/>
              <c:layout>
                <c:manualLayout>
                  <c:x val="-2.4433968803402709E-2"/>
                  <c:y val="-2.9737416406737691E-2"/>
                </c:manualLayout>
              </c:layout>
              <c:tx>
                <c:rich>
                  <a:bodyPr/>
                  <a:lstStyle/>
                  <a:p>
                    <a:r>
                      <a:rPr lang="en-US"/>
                      <a:t>2,9</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649-4887-A50B-E1F000807184}"/>
                </c:ext>
                <c:ext xmlns:c15="http://schemas.microsoft.com/office/drawing/2012/chart" uri="{CE6537A1-D6FC-4f65-9D91-7224C49458BB}">
                  <c15:layout/>
                </c:ext>
              </c:extLst>
            </c:dLbl>
            <c:dLbl>
              <c:idx val="6"/>
              <c:layout>
                <c:manualLayout>
                  <c:x val="-2.8107720445565872E-2"/>
                  <c:y val="-4.4684319716997191E-2"/>
                </c:manualLayout>
              </c:layout>
              <c:tx>
                <c:rich>
                  <a:bodyPr/>
                  <a:lstStyle/>
                  <a:p>
                    <a:r>
                      <a:rPr lang="en-US"/>
                      <a:t>874,0</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649-4887-A50B-E1F000807184}"/>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'2Й СЛАЙД (ПНМ)1_18'!$AX$26:$AX$32</c:f>
              <c:strCache>
                <c:ptCount val="7"/>
                <c:pt idx="0">
                  <c:v>факт  2018 </c:v>
                </c:pt>
                <c:pt idx="1">
                  <c:v>ВОП з відрахуваннями</c:v>
                </c:pt>
                <c:pt idx="2">
                  <c:v>ФДФ</c:v>
                </c:pt>
                <c:pt idx="3">
                  <c:v>Амортизація</c:v>
                </c:pt>
                <c:pt idx="4">
                  <c:v>Професійні послуги, послуги банку</c:v>
                </c:pt>
                <c:pt idx="5">
                  <c:v>Інші витрати</c:v>
                </c:pt>
                <c:pt idx="6">
                  <c:v>факт  2019</c:v>
                </c:pt>
              </c:strCache>
            </c:strRef>
          </c:cat>
          <c:val>
            <c:numRef>
              <c:f>'2Й СЛАЙД (ПНМ)1_18'!$BB$26:$BB$32</c:f>
              <c:numCache>
                <c:formatCode>#\ ##0\ \ ;"( "#\ ##0\ \);\-\ </c:formatCode>
                <c:ptCount val="7"/>
                <c:pt idx="0">
                  <c:v>722.9</c:v>
                </c:pt>
                <c:pt idx="1">
                  <c:v>830</c:v>
                </c:pt>
                <c:pt idx="2">
                  <c:v>850.9</c:v>
                </c:pt>
                <c:pt idx="3">
                  <c:v>861.9</c:v>
                </c:pt>
                <c:pt idx="4">
                  <c:v>871.9</c:v>
                </c:pt>
                <c:pt idx="5">
                  <c:v>874</c:v>
                </c:pt>
                <c:pt idx="6">
                  <c:v>874</c:v>
                </c:pt>
              </c:numCache>
            </c:numRef>
          </c:val>
          <c:smooth val="0"/>
          <c:extLst xmlns:c16r2="http://schemas.microsoft.com/office/drawing/2015/06/chart">
            <c:ext xmlns:c16="http://schemas.microsoft.com/office/drawing/2014/chart" uri="{C3380CC4-5D6E-409C-BE32-E72D297353CC}">
              <c16:uniqueId val="{0000000A-2E21-4585-AEFA-BF99902999CD}"/>
            </c:ext>
          </c:extLst>
        </c:ser>
        <c:dLbls>
          <c:dLblPos val="t"/>
          <c:showLegendKey val="0"/>
          <c:showVal val="1"/>
          <c:showCatName val="0"/>
          <c:showSerName val="0"/>
          <c:showPercent val="0"/>
          <c:showBubbleSize val="0"/>
        </c:dLbls>
        <c:upDownBars>
          <c:gapWidth val="30"/>
          <c:upBars>
            <c:spPr>
              <a:solidFill>
                <a:srgbClr val="0070C0"/>
              </a:solidFill>
              <a:ln w="9525">
                <a:solidFill>
                  <a:srgbClr val="0070C0"/>
                </a:solidFill>
              </a:ln>
              <a:effectLst/>
            </c:spPr>
          </c:upBars>
          <c:downBars>
            <c:spPr>
              <a:solidFill>
                <a:srgbClr val="FF0000"/>
              </a:solidFill>
              <a:ln w="9525">
                <a:solidFill>
                  <a:srgbClr val="FF0000"/>
                </a:solidFill>
              </a:ln>
              <a:effectLst/>
            </c:spPr>
          </c:downBars>
        </c:upDownBars>
        <c:smooth val="0"/>
        <c:axId val="-1678886256"/>
        <c:axId val="-1678885712"/>
      </c:lineChart>
      <c:catAx>
        <c:axId val="-167888625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678885712"/>
        <c:crosses val="autoZero"/>
        <c:auto val="1"/>
        <c:lblAlgn val="ctr"/>
        <c:lblOffset val="50"/>
        <c:noMultiLvlLbl val="0"/>
      </c:catAx>
      <c:valAx>
        <c:axId val="-1678885712"/>
        <c:scaling>
          <c:orientation val="minMax"/>
          <c:max val="1000"/>
          <c:min val="100"/>
        </c:scaling>
        <c:delete val="0"/>
        <c:axPos val="l"/>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678886256"/>
        <c:crosses val="autoZero"/>
        <c:crossBetween val="between"/>
        <c:minorUnit val="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1B00-7C5C-4F17-82E1-5BAB58AD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17631</TotalTime>
  <Pages>30</Pages>
  <Words>40220</Words>
  <Characters>22926</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Єргієва Олена Валеріївна</cp:lastModifiedBy>
  <cp:revision>394</cp:revision>
  <cp:lastPrinted>2020-03-04T14:07:00Z</cp:lastPrinted>
  <dcterms:created xsi:type="dcterms:W3CDTF">2016-03-01T07:43:00Z</dcterms:created>
  <dcterms:modified xsi:type="dcterms:W3CDTF">2020-03-05T09:09:00Z</dcterms:modified>
</cp:coreProperties>
</file>