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ED" w:rsidRPr="001560D9" w:rsidRDefault="00073DED" w:rsidP="000A1345">
      <w:pPr>
        <w:pStyle w:val="a7"/>
        <w:tabs>
          <w:tab w:val="left" w:pos="567"/>
        </w:tabs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>Пояснювальна записка</w:t>
      </w:r>
    </w:p>
    <w:p w:rsidR="00073DED" w:rsidRPr="001560D9" w:rsidRDefault="00073DED" w:rsidP="001A0575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 xml:space="preserve">до звіту про </w:t>
      </w:r>
      <w:r w:rsidR="00C9455D" w:rsidRPr="001560D9">
        <w:rPr>
          <w:b/>
          <w:bCs/>
          <w:sz w:val="28"/>
          <w:lang w:val="uk-UA"/>
        </w:rPr>
        <w:t>виконання показників фінансового плану</w:t>
      </w:r>
    </w:p>
    <w:p w:rsidR="00073DED" w:rsidRPr="001560D9" w:rsidRDefault="0029383D" w:rsidP="001A0575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 xml:space="preserve">ДП </w:t>
      </w:r>
      <w:r w:rsidR="0034375A">
        <w:rPr>
          <w:b/>
          <w:bCs/>
          <w:sz w:val="28"/>
          <w:lang w:val="uk-UA"/>
        </w:rPr>
        <w:t>"</w:t>
      </w:r>
      <w:r w:rsidR="00073DED" w:rsidRPr="001560D9">
        <w:rPr>
          <w:b/>
          <w:bCs/>
          <w:sz w:val="28"/>
          <w:lang w:val="uk-UA"/>
        </w:rPr>
        <w:t>С</w:t>
      </w:r>
      <w:r w:rsidR="00900F52">
        <w:rPr>
          <w:b/>
          <w:bCs/>
          <w:sz w:val="28"/>
          <w:lang w:val="uk-UA"/>
        </w:rPr>
        <w:t>тивідорна компанія</w:t>
      </w:r>
      <w:r w:rsidR="00073DED" w:rsidRPr="001560D9">
        <w:rPr>
          <w:b/>
          <w:bCs/>
          <w:sz w:val="28"/>
          <w:lang w:val="uk-UA"/>
        </w:rPr>
        <w:t xml:space="preserve"> </w:t>
      </w:r>
      <w:r w:rsidR="0034375A">
        <w:rPr>
          <w:b/>
          <w:bCs/>
          <w:sz w:val="28"/>
          <w:lang w:val="uk-UA"/>
        </w:rPr>
        <w:t>"</w:t>
      </w:r>
      <w:r w:rsidR="00073DED" w:rsidRPr="001560D9">
        <w:rPr>
          <w:b/>
          <w:bCs/>
          <w:sz w:val="28"/>
          <w:lang w:val="uk-UA"/>
        </w:rPr>
        <w:t>О</w:t>
      </w:r>
      <w:r w:rsidR="00900F52">
        <w:rPr>
          <w:b/>
          <w:bCs/>
          <w:sz w:val="28"/>
          <w:lang w:val="uk-UA"/>
        </w:rPr>
        <w:t>львія</w:t>
      </w:r>
      <w:r w:rsidR="0034375A">
        <w:rPr>
          <w:b/>
          <w:bCs/>
          <w:sz w:val="28"/>
          <w:lang w:val="uk-UA"/>
        </w:rPr>
        <w:t>"</w:t>
      </w:r>
    </w:p>
    <w:p w:rsidR="00073DED" w:rsidRPr="001560D9" w:rsidRDefault="00F663E1" w:rsidP="003B5032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>з</w:t>
      </w:r>
      <w:r w:rsidR="00073DED" w:rsidRPr="001560D9">
        <w:rPr>
          <w:b/>
          <w:bCs/>
          <w:sz w:val="28"/>
          <w:lang w:val="uk-UA"/>
        </w:rPr>
        <w:t>а</w:t>
      </w:r>
      <w:r w:rsidRPr="001560D9">
        <w:rPr>
          <w:b/>
          <w:bCs/>
          <w:sz w:val="28"/>
          <w:lang w:val="uk-UA"/>
        </w:rPr>
        <w:t xml:space="preserve"> </w:t>
      </w:r>
      <w:r w:rsidR="00073DED" w:rsidRPr="001560D9">
        <w:rPr>
          <w:b/>
          <w:bCs/>
          <w:sz w:val="28"/>
          <w:lang w:val="uk-UA"/>
        </w:rPr>
        <w:t>20</w:t>
      </w:r>
      <w:r w:rsidR="001376B8" w:rsidRPr="001560D9">
        <w:rPr>
          <w:b/>
          <w:bCs/>
          <w:sz w:val="28"/>
          <w:lang w:val="uk-UA"/>
        </w:rPr>
        <w:t>1</w:t>
      </w:r>
      <w:r w:rsidR="00CD1E6B">
        <w:rPr>
          <w:b/>
          <w:bCs/>
          <w:sz w:val="28"/>
          <w:lang w:val="uk-UA"/>
        </w:rPr>
        <w:t>9</w:t>
      </w:r>
      <w:r w:rsidR="00073DED" w:rsidRPr="001560D9">
        <w:rPr>
          <w:b/>
          <w:bCs/>
          <w:sz w:val="28"/>
          <w:lang w:val="uk-UA"/>
        </w:rPr>
        <w:t xml:space="preserve"> р</w:t>
      </w:r>
      <w:r w:rsidR="007E069A">
        <w:rPr>
          <w:b/>
          <w:bCs/>
          <w:sz w:val="28"/>
          <w:lang w:val="uk-UA"/>
        </w:rPr>
        <w:t>і</w:t>
      </w:r>
      <w:r w:rsidR="00073DED" w:rsidRPr="001560D9">
        <w:rPr>
          <w:b/>
          <w:bCs/>
          <w:sz w:val="28"/>
          <w:lang w:val="uk-UA"/>
        </w:rPr>
        <w:t>к</w:t>
      </w:r>
    </w:p>
    <w:p w:rsidR="00073DED" w:rsidRPr="00CA2E3E" w:rsidRDefault="00073DED" w:rsidP="001866B8">
      <w:pPr>
        <w:pStyle w:val="a7"/>
        <w:ind w:left="0" w:firstLine="0"/>
        <w:jc w:val="left"/>
        <w:rPr>
          <w:sz w:val="22"/>
        </w:rPr>
      </w:pPr>
    </w:p>
    <w:p w:rsidR="00CA2E3E" w:rsidRPr="00CA2E3E" w:rsidRDefault="00CA2E3E" w:rsidP="001866B8">
      <w:pPr>
        <w:pStyle w:val="a7"/>
        <w:ind w:left="0" w:firstLine="0"/>
        <w:jc w:val="left"/>
        <w:rPr>
          <w:sz w:val="22"/>
        </w:rPr>
      </w:pPr>
    </w:p>
    <w:p w:rsidR="00363C03" w:rsidRPr="001560D9" w:rsidRDefault="000D185E" w:rsidP="00D45D0D">
      <w:pPr>
        <w:pStyle w:val="a7"/>
        <w:tabs>
          <w:tab w:val="left" w:pos="567"/>
        </w:tabs>
        <w:spacing w:line="360" w:lineRule="exact"/>
        <w:ind w:left="0" w:firstLine="0"/>
        <w:jc w:val="left"/>
        <w:rPr>
          <w:b/>
          <w:sz w:val="28"/>
          <w:lang w:val="uk-UA"/>
        </w:rPr>
      </w:pPr>
      <w:r w:rsidRPr="001560D9">
        <w:rPr>
          <w:b/>
          <w:sz w:val="28"/>
          <w:lang w:val="uk-UA"/>
        </w:rPr>
        <w:t xml:space="preserve">        </w:t>
      </w:r>
      <w:r w:rsidR="00363C03" w:rsidRPr="001560D9">
        <w:rPr>
          <w:b/>
          <w:sz w:val="28"/>
          <w:lang w:val="uk-UA"/>
        </w:rPr>
        <w:t>1. Загальн</w:t>
      </w:r>
      <w:r w:rsidR="00643C1F">
        <w:rPr>
          <w:b/>
          <w:sz w:val="28"/>
          <w:lang w:val="uk-UA"/>
        </w:rPr>
        <w:t>а інформація про підприємство та його діяльність</w:t>
      </w:r>
    </w:p>
    <w:p w:rsidR="00363C03" w:rsidRPr="006815F2" w:rsidRDefault="00363C03" w:rsidP="00D45D0D">
      <w:pPr>
        <w:pStyle w:val="a7"/>
        <w:spacing w:line="360" w:lineRule="exact"/>
        <w:ind w:left="0" w:firstLine="0"/>
        <w:jc w:val="left"/>
        <w:rPr>
          <w:sz w:val="26"/>
          <w:szCs w:val="26"/>
        </w:rPr>
      </w:pPr>
    </w:p>
    <w:p w:rsidR="00C9455D" w:rsidRDefault="00C9455D" w:rsidP="00D45D0D">
      <w:pPr>
        <w:pStyle w:val="a7"/>
        <w:numPr>
          <w:ilvl w:val="1"/>
          <w:numId w:val="12"/>
        </w:numPr>
        <w:spacing w:line="360" w:lineRule="exact"/>
        <w:ind w:left="1134" w:hanging="567"/>
        <w:jc w:val="left"/>
        <w:rPr>
          <w:b/>
          <w:sz w:val="26"/>
          <w:szCs w:val="26"/>
          <w:lang w:val="uk-UA"/>
        </w:rPr>
      </w:pPr>
      <w:r w:rsidRPr="001560D9">
        <w:rPr>
          <w:b/>
          <w:sz w:val="26"/>
          <w:szCs w:val="26"/>
          <w:lang w:val="uk-UA"/>
        </w:rPr>
        <w:t>Загальні відомості про діяльність підприємства</w:t>
      </w:r>
    </w:p>
    <w:p w:rsidR="00FF4B6A" w:rsidRDefault="00FF4B6A" w:rsidP="00FF4B6A">
      <w:pPr>
        <w:pStyle w:val="a7"/>
        <w:spacing w:line="360" w:lineRule="exact"/>
        <w:ind w:left="1134" w:firstLine="0"/>
        <w:jc w:val="left"/>
        <w:rPr>
          <w:b/>
          <w:sz w:val="26"/>
          <w:szCs w:val="26"/>
          <w:lang w:val="uk-UA"/>
        </w:rPr>
      </w:pPr>
    </w:p>
    <w:p w:rsidR="00CD1E6B" w:rsidRPr="001560D9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ДП </w:t>
      </w:r>
      <w:r>
        <w:rPr>
          <w:bCs/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тивідорна компанія</w:t>
      </w:r>
      <w:r w:rsidRPr="001560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львія"</w:t>
      </w:r>
      <w:r w:rsidRPr="001560D9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>е</w:t>
      </w:r>
      <w:r w:rsidRPr="001560D9">
        <w:rPr>
          <w:sz w:val="26"/>
          <w:szCs w:val="26"/>
          <w:lang w:val="uk-UA"/>
        </w:rPr>
        <w:t xml:space="preserve"> на лівому березі Дніпро-Бузького лиману в 25 км від м. Миколаєва. Заснований у 1965 році.</w:t>
      </w:r>
    </w:p>
    <w:p w:rsidR="00CD1E6B" w:rsidRPr="001560D9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ДП СК </w:t>
      </w:r>
      <w:r w:rsidRPr="00924E92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Ольвія</w:t>
      </w:r>
      <w:r w:rsidRPr="00924E92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 спе</w:t>
      </w:r>
      <w:r w:rsidRPr="001560D9">
        <w:rPr>
          <w:sz w:val="26"/>
          <w:szCs w:val="26"/>
          <w:lang w:val="uk-UA"/>
        </w:rPr>
        <w:t>ціалізується на переробці генеральних (</w:t>
      </w:r>
      <w:proofErr w:type="spellStart"/>
      <w:r w:rsidRPr="001560D9">
        <w:rPr>
          <w:sz w:val="26"/>
          <w:szCs w:val="26"/>
          <w:lang w:val="uk-UA"/>
        </w:rPr>
        <w:t>тарно</w:t>
      </w:r>
      <w:proofErr w:type="spellEnd"/>
      <w:r w:rsidRPr="001560D9">
        <w:rPr>
          <w:sz w:val="26"/>
          <w:szCs w:val="26"/>
          <w:lang w:val="uk-UA"/>
        </w:rPr>
        <w:t>-штучних) вантажів.</w:t>
      </w:r>
    </w:p>
    <w:p w:rsidR="00CD1E6B" w:rsidRPr="001560D9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Підприємство</w:t>
      </w:r>
      <w:r w:rsidRPr="001560D9">
        <w:rPr>
          <w:sz w:val="26"/>
          <w:szCs w:val="26"/>
          <w:lang w:val="uk-UA"/>
        </w:rPr>
        <w:t xml:space="preserve"> налічує 7 причалів, на яких забезпечується цілодобова обробка транспортних  засобів. Загальна довжина причального фронту 1532 м.</w:t>
      </w:r>
    </w:p>
    <w:p w:rsidR="00CD1E6B" w:rsidRPr="001560D9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Проектна потужність підприємства складає 2570 тис. </w:t>
      </w:r>
      <w:proofErr w:type="spellStart"/>
      <w:r w:rsidRPr="001560D9">
        <w:rPr>
          <w:sz w:val="26"/>
          <w:szCs w:val="26"/>
          <w:lang w:val="uk-UA"/>
        </w:rPr>
        <w:t>тонн</w:t>
      </w:r>
      <w:proofErr w:type="spellEnd"/>
      <w:r w:rsidRPr="001560D9">
        <w:rPr>
          <w:sz w:val="26"/>
          <w:szCs w:val="26"/>
          <w:lang w:val="uk-UA"/>
        </w:rPr>
        <w:t xml:space="preserve"> на рік.</w:t>
      </w:r>
    </w:p>
    <w:p w:rsidR="00CD1E6B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Причали </w:t>
      </w:r>
      <w:r w:rsidRPr="001560D9">
        <w:rPr>
          <w:sz w:val="26"/>
          <w:szCs w:val="26"/>
          <w:lang w:val="uk-UA"/>
        </w:rPr>
        <w:t>оснащені 2</w:t>
      </w:r>
      <w:r>
        <w:rPr>
          <w:sz w:val="26"/>
          <w:szCs w:val="26"/>
          <w:lang w:val="uk-UA"/>
        </w:rPr>
        <w:t>2</w:t>
      </w:r>
      <w:r w:rsidRPr="001560D9">
        <w:rPr>
          <w:sz w:val="26"/>
          <w:szCs w:val="26"/>
          <w:lang w:val="uk-UA"/>
        </w:rPr>
        <w:t xml:space="preserve"> портальними кранами вантажопідйомністю від 20 до 40 </w:t>
      </w:r>
      <w:proofErr w:type="spellStart"/>
      <w:r w:rsidRPr="001560D9">
        <w:rPr>
          <w:sz w:val="26"/>
          <w:szCs w:val="26"/>
          <w:lang w:val="uk-UA"/>
        </w:rPr>
        <w:t>тонн</w:t>
      </w:r>
      <w:proofErr w:type="spellEnd"/>
      <w:r w:rsidRPr="001560D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ДП СК </w:t>
      </w:r>
      <w:r w:rsidRPr="00F25AD6">
        <w:rPr>
          <w:sz w:val="26"/>
          <w:szCs w:val="26"/>
          <w:lang w:val="uk-UA"/>
        </w:rPr>
        <w:t>“</w:t>
      </w:r>
      <w:r>
        <w:rPr>
          <w:sz w:val="26"/>
          <w:szCs w:val="26"/>
          <w:lang w:val="uk-UA"/>
        </w:rPr>
        <w:t>Ольвія</w:t>
      </w:r>
      <w:r w:rsidRPr="00F25AD6">
        <w:rPr>
          <w:sz w:val="26"/>
          <w:szCs w:val="26"/>
          <w:lang w:val="uk-UA"/>
        </w:rPr>
        <w:t>”</w:t>
      </w:r>
      <w:r w:rsidRPr="001560D9">
        <w:rPr>
          <w:sz w:val="26"/>
          <w:szCs w:val="26"/>
          <w:lang w:val="uk-UA"/>
        </w:rPr>
        <w:t xml:space="preserve"> </w:t>
      </w:r>
      <w:r w:rsidRPr="00E84A48">
        <w:rPr>
          <w:sz w:val="26"/>
          <w:szCs w:val="26"/>
          <w:lang w:val="uk-UA"/>
        </w:rPr>
        <w:t>налічує 1</w:t>
      </w:r>
      <w:r w:rsidR="00E84A48" w:rsidRPr="00E84A48">
        <w:rPr>
          <w:sz w:val="26"/>
          <w:szCs w:val="26"/>
          <w:lang w:val="uk-UA"/>
        </w:rPr>
        <w:t>28</w:t>
      </w:r>
      <w:r w:rsidR="00E84A48">
        <w:rPr>
          <w:sz w:val="26"/>
          <w:szCs w:val="26"/>
          <w:lang w:val="uk-UA"/>
        </w:rPr>
        <w:t xml:space="preserve"> одиниць</w:t>
      </w:r>
      <w:r w:rsidRPr="000B42C2">
        <w:rPr>
          <w:sz w:val="26"/>
          <w:szCs w:val="26"/>
          <w:lang w:val="uk-UA"/>
        </w:rPr>
        <w:t xml:space="preserve"> </w:t>
      </w:r>
      <w:r w:rsidRPr="001560D9">
        <w:rPr>
          <w:sz w:val="26"/>
          <w:szCs w:val="26"/>
          <w:lang w:val="uk-UA"/>
        </w:rPr>
        <w:t>малої механізації. Портовий флот має у своєму складі  3 службово-допоміжних судна:</w:t>
      </w:r>
    </w:p>
    <w:p w:rsidR="00CD1E6B" w:rsidRPr="001560D9" w:rsidRDefault="00CD1E6B" w:rsidP="00CD1E6B">
      <w:pPr>
        <w:pStyle w:val="a7"/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Буксир 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Руслан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 потужністю  1200 </w:t>
      </w:r>
      <w:proofErr w:type="spellStart"/>
      <w:r w:rsidRPr="001560D9">
        <w:rPr>
          <w:sz w:val="26"/>
          <w:szCs w:val="26"/>
          <w:lang w:val="uk-UA"/>
        </w:rPr>
        <w:t>к.с</w:t>
      </w:r>
      <w:proofErr w:type="spellEnd"/>
      <w:r w:rsidRPr="001560D9">
        <w:rPr>
          <w:sz w:val="26"/>
          <w:szCs w:val="26"/>
          <w:lang w:val="uk-UA"/>
        </w:rPr>
        <w:t>.;</w:t>
      </w:r>
    </w:p>
    <w:p w:rsidR="00CD1E6B" w:rsidRPr="001560D9" w:rsidRDefault="00CD1E6B" w:rsidP="00CD1E6B">
      <w:pPr>
        <w:pStyle w:val="a7"/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Буксир 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Витязь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 потужністю  1200 </w:t>
      </w:r>
      <w:proofErr w:type="spellStart"/>
      <w:r w:rsidRPr="001560D9">
        <w:rPr>
          <w:sz w:val="26"/>
          <w:szCs w:val="26"/>
          <w:lang w:val="uk-UA"/>
        </w:rPr>
        <w:t>к.с</w:t>
      </w:r>
      <w:proofErr w:type="spellEnd"/>
      <w:r w:rsidRPr="001560D9">
        <w:rPr>
          <w:sz w:val="26"/>
          <w:szCs w:val="26"/>
          <w:lang w:val="uk-UA"/>
        </w:rPr>
        <w:t>.;</w:t>
      </w:r>
    </w:p>
    <w:p w:rsidR="00CD1E6B" w:rsidRDefault="00CD1E6B" w:rsidP="00CD1E6B">
      <w:pPr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Буксир "</w:t>
      </w:r>
      <w:proofErr w:type="spellStart"/>
      <w:r w:rsidRPr="001560D9">
        <w:rPr>
          <w:sz w:val="26"/>
          <w:szCs w:val="26"/>
          <w:lang w:val="uk-UA"/>
        </w:rPr>
        <w:t>Капитан</w:t>
      </w:r>
      <w:proofErr w:type="spellEnd"/>
      <w:r w:rsidRPr="001560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"</w:t>
      </w:r>
      <w:proofErr w:type="spellStart"/>
      <w:r w:rsidRPr="001560D9">
        <w:rPr>
          <w:sz w:val="26"/>
          <w:szCs w:val="26"/>
          <w:lang w:val="uk-UA"/>
        </w:rPr>
        <w:t>Гисич</w:t>
      </w:r>
      <w:proofErr w:type="spellEnd"/>
      <w:r w:rsidRPr="001560D9">
        <w:rPr>
          <w:sz w:val="26"/>
          <w:szCs w:val="26"/>
          <w:lang w:val="uk-UA"/>
        </w:rPr>
        <w:t xml:space="preserve">" - потужністю 2310 </w:t>
      </w:r>
      <w:proofErr w:type="spellStart"/>
      <w:r w:rsidRPr="001560D9">
        <w:rPr>
          <w:sz w:val="26"/>
          <w:szCs w:val="26"/>
          <w:lang w:val="uk-UA"/>
        </w:rPr>
        <w:t>к.с</w:t>
      </w:r>
      <w:proofErr w:type="spellEnd"/>
      <w:r w:rsidRPr="001560D9">
        <w:rPr>
          <w:sz w:val="26"/>
          <w:szCs w:val="26"/>
          <w:lang w:val="uk-UA"/>
        </w:rPr>
        <w:t xml:space="preserve">. </w:t>
      </w:r>
    </w:p>
    <w:p w:rsidR="00CD1E6B" w:rsidRPr="00534B14" w:rsidRDefault="00CD1E6B" w:rsidP="00CD1E6B">
      <w:pPr>
        <w:spacing w:before="120" w:line="360" w:lineRule="auto"/>
        <w:ind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Площа землі складає 178,8 га</w:t>
      </w:r>
      <w:r>
        <w:rPr>
          <w:sz w:val="26"/>
          <w:szCs w:val="26"/>
          <w:lang w:val="uk-UA"/>
        </w:rPr>
        <w:t>.</w:t>
      </w:r>
    </w:p>
    <w:p w:rsidR="00CD1E6B" w:rsidRPr="001560D9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Площа складських територій:</w:t>
      </w:r>
    </w:p>
    <w:p w:rsidR="00CD1E6B" w:rsidRPr="001560D9" w:rsidRDefault="00CD1E6B" w:rsidP="00CD1E6B">
      <w:pPr>
        <w:pStyle w:val="a7"/>
        <w:numPr>
          <w:ilvl w:val="0"/>
          <w:numId w:val="4"/>
        </w:numPr>
        <w:tabs>
          <w:tab w:val="clear" w:pos="192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відкритих  - 222,5 тис. </w:t>
      </w:r>
      <w:proofErr w:type="spellStart"/>
      <w:r w:rsidRPr="001560D9"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>;</w:t>
      </w:r>
    </w:p>
    <w:p w:rsidR="00CD1E6B" w:rsidRDefault="00CD1E6B" w:rsidP="00CD1E6B">
      <w:pPr>
        <w:pStyle w:val="a7"/>
        <w:numPr>
          <w:ilvl w:val="0"/>
          <w:numId w:val="4"/>
        </w:numPr>
        <w:tabs>
          <w:tab w:val="clear" w:pos="192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закритих   -   39,8  тис. </w:t>
      </w:r>
      <w:proofErr w:type="spellStart"/>
      <w:r w:rsidRPr="001560D9"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>.</w:t>
      </w:r>
    </w:p>
    <w:p w:rsidR="00CD1E6B" w:rsidRDefault="00CD1E6B" w:rsidP="00CD1E6B">
      <w:pPr>
        <w:pStyle w:val="a7"/>
        <w:spacing w:before="120"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Основною метою діяльності </w:t>
      </w:r>
      <w:r>
        <w:rPr>
          <w:sz w:val="26"/>
          <w:szCs w:val="26"/>
          <w:lang w:val="uk-UA"/>
        </w:rPr>
        <w:t>підприємства</w:t>
      </w:r>
      <w:r w:rsidRPr="001560D9">
        <w:rPr>
          <w:sz w:val="26"/>
          <w:szCs w:val="26"/>
          <w:lang w:val="uk-UA"/>
        </w:rPr>
        <w:t xml:space="preserve"> є задовольняння державних і суспільних потреб у завантаженні, розвантаженні і обслуговуванні суден, які заходять в порт зі спеціальними, експортно-імпортними, транзитними і каботажними вантажами, у транспортно-експедиційних і складських операціях з вантажами, у перевалці вантажів на морський транспорт з інших видів транспорту і зворотно, а також у перевезенні вантажів і пасажирів, пошти, багажу на суднах порту.</w:t>
      </w:r>
    </w:p>
    <w:p w:rsidR="00CD1E6B" w:rsidRDefault="00CD1E6B" w:rsidP="00CD1E6B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ДП СК </w:t>
      </w:r>
      <w:r w:rsidRPr="00924E92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Ольвія</w:t>
      </w:r>
      <w:r w:rsidRPr="00924E92">
        <w:rPr>
          <w:sz w:val="26"/>
          <w:szCs w:val="26"/>
        </w:rPr>
        <w:t>”</w:t>
      </w:r>
      <w:r w:rsidRPr="001560D9">
        <w:rPr>
          <w:sz w:val="26"/>
          <w:szCs w:val="26"/>
          <w:lang w:val="uk-UA"/>
        </w:rPr>
        <w:t xml:space="preserve"> не має заборгованості із заробітної плати, своєчасно розраховується з бюджетом, пенсійним фондом, за енергоносії.</w:t>
      </w:r>
    </w:p>
    <w:p w:rsidR="00CD1E6B" w:rsidRPr="00D43E75" w:rsidRDefault="00CD1E6B" w:rsidP="00CD1E6B">
      <w:pPr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lastRenderedPageBreak/>
        <w:t xml:space="preserve">Відповідно до Закону України № 996 "Про бухгалтерський облік та фінансову звітність" (зі змінами) (далі Закон) застосування міжнародних стандартів фінансової звітності (далі - МСФЗ) поширено на великі підприємства (підприємства, які відповідають критеріям, встановленим підпунктом 2 пункту 2 розділу </w:t>
      </w:r>
      <w:r w:rsidRPr="00D43E75">
        <w:rPr>
          <w:sz w:val="26"/>
          <w:szCs w:val="26"/>
        </w:rPr>
        <w:t>I</w:t>
      </w:r>
      <w:r w:rsidRPr="00D43E75">
        <w:rPr>
          <w:sz w:val="26"/>
          <w:szCs w:val="26"/>
          <w:lang w:val="uk-UA"/>
        </w:rPr>
        <w:t xml:space="preserve"> Закону).</w:t>
      </w:r>
    </w:p>
    <w:p w:rsidR="00CD1E6B" w:rsidRPr="00D43E75" w:rsidRDefault="00CD1E6B" w:rsidP="00CD1E6B">
      <w:pPr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t xml:space="preserve">Великими  є  підприємства,  які відповідають щонайменше двом із таких критеріїв: </w:t>
      </w:r>
    </w:p>
    <w:p w:rsidR="00CD1E6B" w:rsidRPr="00D43E75" w:rsidRDefault="00CD1E6B" w:rsidP="00CD1E6B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t xml:space="preserve">балансова вартість активів – понад 20 мільйонів євро; </w:t>
      </w:r>
    </w:p>
    <w:p w:rsidR="00CD1E6B" w:rsidRPr="00D43E75" w:rsidRDefault="00CD1E6B" w:rsidP="00CD1E6B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t xml:space="preserve">чистий дохід  від  реалізації  продукції  (товарів,  робіт, послуг) – понад 40 мільйонів євро; </w:t>
      </w:r>
    </w:p>
    <w:p w:rsidR="00CD1E6B" w:rsidRPr="00D43E75" w:rsidRDefault="00CD1E6B" w:rsidP="00CD1E6B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t>середня кількість працівників – понад 250 осіб.</w:t>
      </w:r>
    </w:p>
    <w:p w:rsidR="00CD1E6B" w:rsidRDefault="00CD1E6B" w:rsidP="00CD1E6B">
      <w:pPr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D43E75">
        <w:rPr>
          <w:sz w:val="26"/>
          <w:szCs w:val="26"/>
          <w:lang w:val="uk-UA"/>
        </w:rPr>
        <w:t>ДП "СК "Ольвія" відповідає одному критерію – середня кількість працівників понад 250 осіб. Тому фінансова звітність Підприємства складена відповідно до норм Національних положень (стандартів) бухгалтерського обліку України, Облікової політики Підприємства, затвердженою наказом директора від 09.12.2014 р. за № 235, а також інших нормативних актів з фінансової звітності.</w:t>
      </w:r>
    </w:p>
    <w:p w:rsidR="00465270" w:rsidRPr="001866B8" w:rsidRDefault="00465270" w:rsidP="00393436">
      <w:pPr>
        <w:pStyle w:val="a7"/>
        <w:ind w:left="1134" w:firstLine="0"/>
        <w:jc w:val="left"/>
        <w:rPr>
          <w:b/>
          <w:szCs w:val="26"/>
          <w:lang w:val="uk-UA"/>
        </w:rPr>
      </w:pPr>
    </w:p>
    <w:p w:rsidR="00900CF3" w:rsidRDefault="00900CF3" w:rsidP="00D45D0D">
      <w:pPr>
        <w:pStyle w:val="a7"/>
        <w:numPr>
          <w:ilvl w:val="1"/>
          <w:numId w:val="12"/>
        </w:numPr>
        <w:spacing w:line="360" w:lineRule="exact"/>
        <w:ind w:right="284" w:hanging="644"/>
        <w:jc w:val="both"/>
        <w:rPr>
          <w:b/>
          <w:sz w:val="26"/>
          <w:szCs w:val="26"/>
          <w:lang w:val="uk-UA"/>
        </w:rPr>
      </w:pPr>
      <w:r w:rsidRPr="001560D9">
        <w:rPr>
          <w:b/>
          <w:sz w:val="26"/>
          <w:szCs w:val="26"/>
          <w:lang w:val="uk-UA"/>
        </w:rPr>
        <w:t>Структура та динаміка обсягів переробки вантажів</w:t>
      </w:r>
    </w:p>
    <w:p w:rsidR="00A935A0" w:rsidRPr="00B27163" w:rsidRDefault="00A935A0" w:rsidP="0045004E">
      <w:pPr>
        <w:pStyle w:val="a7"/>
        <w:spacing w:line="220" w:lineRule="exact"/>
        <w:ind w:left="567" w:right="284" w:firstLine="0"/>
        <w:jc w:val="both"/>
        <w:rPr>
          <w:sz w:val="12"/>
          <w:szCs w:val="26"/>
          <w:lang w:val="uk-UA"/>
        </w:rPr>
      </w:pPr>
    </w:p>
    <w:p w:rsidR="002771FB" w:rsidRPr="001866B8" w:rsidRDefault="002771FB" w:rsidP="00BA5774">
      <w:pPr>
        <w:spacing w:after="60" w:line="400" w:lineRule="exact"/>
        <w:ind w:left="284" w:right="760"/>
        <w:jc w:val="right"/>
        <w:rPr>
          <w:bCs/>
          <w:sz w:val="26"/>
          <w:szCs w:val="26"/>
          <w:lang w:val="uk-UA" w:eastAsia="uk-UA"/>
        </w:rPr>
      </w:pPr>
      <w:r w:rsidRPr="001866B8">
        <w:rPr>
          <w:bCs/>
          <w:sz w:val="26"/>
          <w:szCs w:val="26"/>
          <w:lang w:val="uk-UA" w:eastAsia="uk-UA"/>
        </w:rPr>
        <w:t xml:space="preserve">Аналіз структури та динаміки обсягів переробки вантажів    (тис. </w:t>
      </w:r>
      <w:proofErr w:type="spellStart"/>
      <w:r w:rsidRPr="001866B8">
        <w:rPr>
          <w:bCs/>
          <w:sz w:val="26"/>
          <w:szCs w:val="26"/>
          <w:lang w:val="uk-UA" w:eastAsia="uk-UA"/>
        </w:rPr>
        <w:t>тонн</w:t>
      </w:r>
      <w:proofErr w:type="spellEnd"/>
      <w:r w:rsidRPr="001866B8">
        <w:rPr>
          <w:bCs/>
          <w:sz w:val="26"/>
          <w:szCs w:val="26"/>
          <w:lang w:val="uk-UA" w:eastAsia="uk-UA"/>
        </w:rPr>
        <w:t>)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248"/>
        <w:gridCol w:w="1276"/>
        <w:gridCol w:w="1274"/>
        <w:gridCol w:w="1419"/>
        <w:gridCol w:w="1418"/>
      </w:tblGrid>
      <w:tr w:rsidR="00AC664E" w:rsidRPr="001866B8" w:rsidTr="0045004E">
        <w:trPr>
          <w:trHeight w:val="830"/>
          <w:jc w:val="center"/>
        </w:trPr>
        <w:tc>
          <w:tcPr>
            <w:tcW w:w="3669" w:type="dxa"/>
            <w:vAlign w:val="center"/>
            <w:hideMark/>
          </w:tcPr>
          <w:p w:rsidR="00AC664E" w:rsidRPr="001866B8" w:rsidRDefault="00AC664E" w:rsidP="00AC664E">
            <w:pPr>
              <w:ind w:left="-108" w:firstLine="108"/>
              <w:rPr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  <w:hideMark/>
          </w:tcPr>
          <w:p w:rsidR="00AC664E" w:rsidRPr="001866B8" w:rsidRDefault="00A95C88" w:rsidP="003B5032">
            <w:pPr>
              <w:jc w:val="center"/>
              <w:rPr>
                <w:sz w:val="24"/>
                <w:lang w:val="uk-UA"/>
              </w:rPr>
            </w:pPr>
            <w:r w:rsidRPr="00A95C88">
              <w:rPr>
                <w:sz w:val="24"/>
                <w:lang w:val="uk-UA"/>
              </w:rPr>
              <w:t>Звіт  за            201</w:t>
            </w:r>
            <w:r w:rsidRPr="00A95C88">
              <w:rPr>
                <w:sz w:val="24"/>
                <w:lang w:val="en-US"/>
              </w:rPr>
              <w:t>8</w:t>
            </w:r>
            <w:r w:rsidRPr="00A95C88">
              <w:rPr>
                <w:sz w:val="24"/>
                <w:lang w:val="uk-UA"/>
              </w:rPr>
              <w:t> р.</w:t>
            </w:r>
          </w:p>
        </w:tc>
        <w:tc>
          <w:tcPr>
            <w:tcW w:w="1276" w:type="dxa"/>
            <w:vAlign w:val="center"/>
            <w:hideMark/>
          </w:tcPr>
          <w:p w:rsidR="00AC664E" w:rsidRPr="001866B8" w:rsidRDefault="00AC664E" w:rsidP="00A95C88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План  на 201</w:t>
            </w:r>
            <w:r w:rsidR="00A95C88">
              <w:rPr>
                <w:sz w:val="24"/>
                <w:lang w:val="uk-UA"/>
              </w:rPr>
              <w:t>9</w:t>
            </w:r>
            <w:r w:rsidR="001866B8"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C664E" w:rsidRPr="001866B8" w:rsidRDefault="00AC664E" w:rsidP="00A95C88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Звіт  за            201</w:t>
            </w:r>
            <w:r w:rsidR="00A95C88">
              <w:rPr>
                <w:sz w:val="24"/>
                <w:lang w:val="uk-UA"/>
              </w:rPr>
              <w:t>9</w:t>
            </w:r>
            <w:r w:rsidR="001866B8" w:rsidRPr="001866B8"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419" w:type="dxa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18" w:type="dxa"/>
            <w:vAlign w:val="center"/>
            <w:hideMark/>
          </w:tcPr>
          <w:p w:rsidR="00AC664E" w:rsidRPr="001866B8" w:rsidRDefault="00AC664E" w:rsidP="005E0004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201</w:t>
            </w:r>
            <w:r w:rsidR="005E0004">
              <w:rPr>
                <w:sz w:val="24"/>
                <w:lang w:val="uk-UA"/>
              </w:rPr>
              <w:t>9</w:t>
            </w:r>
            <w:r w:rsidR="007E069A">
              <w:rPr>
                <w:sz w:val="24"/>
                <w:lang w:val="uk-UA"/>
              </w:rPr>
              <w:t>р.  в %% до</w:t>
            </w:r>
            <w:r w:rsidRPr="001866B8">
              <w:rPr>
                <w:sz w:val="24"/>
                <w:lang w:val="uk-UA"/>
              </w:rPr>
              <w:t xml:space="preserve"> 201</w:t>
            </w:r>
            <w:r w:rsidR="005E0004">
              <w:rPr>
                <w:sz w:val="24"/>
                <w:lang w:val="uk-UA"/>
              </w:rPr>
              <w:t>8</w:t>
            </w:r>
            <w:r w:rsidRPr="001866B8">
              <w:rPr>
                <w:sz w:val="24"/>
                <w:lang w:val="uk-UA"/>
              </w:rPr>
              <w:t xml:space="preserve"> р.</w:t>
            </w:r>
          </w:p>
        </w:tc>
      </w:tr>
      <w:tr w:rsidR="00AC664E" w:rsidRPr="001866B8" w:rsidTr="00914A5D">
        <w:trPr>
          <w:trHeight w:val="104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A95C88" w:rsidRPr="001866B8" w:rsidTr="0045004E">
        <w:trPr>
          <w:trHeight w:val="815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95C88" w:rsidRPr="001866B8" w:rsidRDefault="00A95C88" w:rsidP="00A95C88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Переробка вантажів за номенклатурою вантажу (</w:t>
            </w:r>
            <w:proofErr w:type="spellStart"/>
            <w:r w:rsidRPr="001866B8">
              <w:rPr>
                <w:color w:val="000000"/>
                <w:sz w:val="24"/>
                <w:szCs w:val="24"/>
                <w:lang w:val="uk-UA" w:eastAsia="uk-UA"/>
              </w:rPr>
              <w:t>тис.т</w:t>
            </w:r>
            <w:proofErr w:type="spellEnd"/>
            <w:r w:rsidRPr="001866B8">
              <w:rPr>
                <w:color w:val="000000"/>
                <w:sz w:val="24"/>
                <w:szCs w:val="24"/>
                <w:lang w:val="uk-UA" w:eastAsia="uk-UA"/>
              </w:rPr>
              <w:t>.), усього</w:t>
            </w: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95C88" w:rsidRPr="001866B8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2170,9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5C88" w:rsidRPr="00384E1C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2520,0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A95C88" w:rsidRPr="001866B8" w:rsidRDefault="005E0004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1606,3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63,7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74,0</w:t>
            </w:r>
          </w:p>
        </w:tc>
      </w:tr>
      <w:tr w:rsidR="00A95C88" w:rsidRPr="001866B8" w:rsidTr="0045004E">
        <w:trPr>
          <w:trHeight w:val="271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зовнішньоторговельні вантажі 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95C88" w:rsidRPr="001866B8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2123,5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5C88" w:rsidRPr="001866B8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2518,0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A95C88" w:rsidRPr="001866B8" w:rsidRDefault="005E0004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1577,3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74,3</w:t>
            </w:r>
          </w:p>
        </w:tc>
      </w:tr>
      <w:tr w:rsidR="00EA1B4B" w:rsidRPr="001866B8" w:rsidTr="00A4030D">
        <w:trPr>
          <w:trHeight w:val="110"/>
          <w:jc w:val="center"/>
        </w:trPr>
        <w:tc>
          <w:tcPr>
            <w:tcW w:w="10304" w:type="dxa"/>
            <w:gridSpan w:val="6"/>
            <w:shd w:val="clear" w:color="auto" w:fill="auto"/>
            <w:noWrap/>
            <w:vAlign w:val="center"/>
          </w:tcPr>
          <w:p w:rsidR="00EA1B4B" w:rsidRPr="001866B8" w:rsidRDefault="00EA1B4B" w:rsidP="00A95C88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    в тому числі: 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 </w:t>
            </w:r>
            <w:proofErr w:type="spellStart"/>
            <w:r w:rsidRPr="001866B8">
              <w:rPr>
                <w:color w:val="000000"/>
                <w:sz w:val="24"/>
                <w:szCs w:val="24"/>
                <w:lang w:val="uk-UA" w:eastAsia="uk-UA"/>
              </w:rPr>
              <w:t>автотехніка</w:t>
            </w:r>
            <w:proofErr w:type="spellEnd"/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та сільгосптехніка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чорні метали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485,0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397,6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77,4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інша продукція лісової та деревообробної промисловості (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тріска технологічна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32,6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15,4</w:t>
            </w:r>
          </w:p>
        </w:tc>
      </w:tr>
      <w:tr w:rsidR="00063AF5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063AF5" w:rsidRPr="001866B8" w:rsidRDefault="00063AF5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вугілля, сланці, шихта, торф навалом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63AF5" w:rsidRDefault="00063AF5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AF5" w:rsidRDefault="00063AF5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63AF5" w:rsidRDefault="00063AF5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90,3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3AF5" w:rsidRDefault="00063AF5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AF5" w:rsidRDefault="00063AF5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контейнери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180,0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інші МБМ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DF7A9B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928,0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729,0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89,1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інші </w:t>
            </w:r>
            <w:proofErr w:type="spellStart"/>
            <w:r w:rsidRPr="001866B8">
              <w:rPr>
                <w:color w:val="000000"/>
                <w:sz w:val="24"/>
                <w:szCs w:val="24"/>
                <w:lang w:val="uk-UA" w:eastAsia="uk-UA"/>
              </w:rPr>
              <w:t>тарно</w:t>
            </w:r>
            <w:proofErr w:type="spellEnd"/>
            <w:r w:rsidRPr="001866B8">
              <w:rPr>
                <w:color w:val="000000"/>
                <w:sz w:val="24"/>
                <w:szCs w:val="24"/>
                <w:lang w:val="uk-UA" w:eastAsia="uk-UA"/>
              </w:rPr>
              <w:t>-штучні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48,4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168,1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- харчові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73,7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102,8</w:t>
            </w:r>
          </w:p>
        </w:tc>
      </w:tr>
      <w:tr w:rsidR="00A95C88" w:rsidRPr="001866B8" w:rsidTr="0022107E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- зернові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660,0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146,3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30,9</w:t>
            </w:r>
          </w:p>
        </w:tc>
      </w:tr>
      <w:tr w:rsidR="00A95C88" w:rsidRPr="001866B8" w:rsidTr="0022107E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Default="00A95C88" w:rsidP="00A95C88">
            <w:pPr>
              <w:ind w:right="1173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E584C">
              <w:rPr>
                <w:color w:val="000000"/>
                <w:sz w:val="24"/>
                <w:szCs w:val="24"/>
                <w:lang w:val="uk-UA" w:eastAsia="uk-UA"/>
              </w:rPr>
              <w:t>- продукція хімічної промисловості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57,6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1371,4</w:t>
            </w:r>
          </w:p>
        </w:tc>
      </w:tr>
      <w:tr w:rsidR="00A95C88" w:rsidRPr="001866B8" w:rsidTr="0045004E">
        <w:trPr>
          <w:trHeight w:val="264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транзит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CD1E6B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355,0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107,6</w:t>
            </w:r>
          </w:p>
        </w:tc>
      </w:tr>
      <w:tr w:rsidR="00EA1B4B" w:rsidRPr="001866B8" w:rsidTr="00A4030D">
        <w:trPr>
          <w:trHeight w:val="242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EA1B4B" w:rsidRPr="001866B8" w:rsidRDefault="00EA1B4B" w:rsidP="00EA1B4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- інші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тарно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-штучні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202,9</w:t>
            </w:r>
          </w:p>
        </w:tc>
      </w:tr>
      <w:tr w:rsidR="00A95C88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Pr="00A162DD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A162D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A162DD">
              <w:rPr>
                <w:color w:val="000000"/>
                <w:sz w:val="24"/>
                <w:szCs w:val="24"/>
                <w:lang w:val="uk-UA" w:eastAsia="uk-UA"/>
              </w:rPr>
              <w:t>ін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ші МБМ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CD1E6B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135,0</w:t>
            </w:r>
          </w:p>
        </w:tc>
      </w:tr>
      <w:tr w:rsidR="00A95C88" w:rsidRPr="001866B8" w:rsidTr="000A08CE">
        <w:trPr>
          <w:trHeight w:val="364"/>
          <w:jc w:val="center"/>
        </w:trPr>
        <w:tc>
          <w:tcPr>
            <w:tcW w:w="3669" w:type="dxa"/>
            <w:shd w:val="clear" w:color="auto" w:fill="auto"/>
            <w:noWrap/>
            <w:vAlign w:val="center"/>
          </w:tcPr>
          <w:p w:rsidR="00A95C88" w:rsidRPr="009E584C" w:rsidRDefault="00A95C88" w:rsidP="00A95C88">
            <w:pPr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E584C">
              <w:rPr>
                <w:bCs/>
                <w:color w:val="000000"/>
                <w:sz w:val="24"/>
                <w:szCs w:val="24"/>
                <w:lang w:val="uk-UA" w:eastAsia="uk-UA"/>
              </w:rPr>
              <w:t>- контейнери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9E584C" w:rsidRDefault="00A95C88" w:rsidP="00A95C88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9E584C">
              <w:rPr>
                <w:bCs/>
                <w:color w:val="000000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9E584C" w:rsidRDefault="005E0004" w:rsidP="00A95C88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9E584C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9E584C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45004E">
        <w:trPr>
          <w:trHeight w:val="174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каботаж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BA5774" w:rsidRDefault="00A95C88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BA5774" w:rsidRDefault="005E0004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BA5774" w:rsidRDefault="005E0004" w:rsidP="00A95C8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10,8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Pr="00BA5774" w:rsidRDefault="000522B6" w:rsidP="00A95C88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BA5774" w:rsidRDefault="000522B6" w:rsidP="00A95C88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135,0</w:t>
            </w:r>
          </w:p>
        </w:tc>
      </w:tr>
      <w:tr w:rsidR="003A77A5" w:rsidRPr="001866B8" w:rsidTr="000A08CE">
        <w:trPr>
          <w:trHeight w:val="330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3A77A5" w:rsidRPr="001866B8" w:rsidRDefault="003A77A5" w:rsidP="000A08CE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3B5032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3B5032" w:rsidRDefault="003B5032" w:rsidP="003B5032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чорні метали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B5032" w:rsidRPr="001866B8" w:rsidRDefault="00A95C88" w:rsidP="003B503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032" w:rsidRDefault="003B5032" w:rsidP="003B503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B5032" w:rsidRPr="001866B8" w:rsidRDefault="005E0004" w:rsidP="003B503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10,8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5032" w:rsidRDefault="000522B6" w:rsidP="003B503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032" w:rsidRDefault="000522B6" w:rsidP="003B503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135,0</w:t>
            </w:r>
          </w:p>
        </w:tc>
      </w:tr>
      <w:tr w:rsidR="007B38BB" w:rsidRPr="001866B8" w:rsidTr="0045004E">
        <w:trPr>
          <w:trHeight w:val="482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7B38BB" w:rsidRPr="001866B8" w:rsidRDefault="007B38BB" w:rsidP="007B38BB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пов'язані з морським вантажообігом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B38BB" w:rsidRPr="001866B8" w:rsidRDefault="00A95C88" w:rsidP="007B38B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BB" w:rsidRPr="001866B8" w:rsidRDefault="007B38BB" w:rsidP="007B38B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B38BB" w:rsidRPr="001866B8" w:rsidRDefault="005E0004" w:rsidP="007B38B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11,1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38BB" w:rsidRPr="001866B8" w:rsidRDefault="000522B6" w:rsidP="007B38B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BB" w:rsidRPr="003F1B31" w:rsidRDefault="000522B6" w:rsidP="007B38BB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33,8</w:t>
            </w:r>
          </w:p>
        </w:tc>
      </w:tr>
      <w:tr w:rsidR="007B38BB" w:rsidRPr="001866B8" w:rsidTr="00A4030D">
        <w:trPr>
          <w:trHeight w:val="173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7B38BB" w:rsidRPr="001866B8" w:rsidRDefault="007B38BB" w:rsidP="007B38B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A95C88" w:rsidRPr="001866B8" w:rsidTr="002B3C51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- чорні метали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2,8</w:t>
            </w:r>
          </w:p>
        </w:tc>
      </w:tr>
      <w:tr w:rsidR="00A95C88" w:rsidRPr="001866B8" w:rsidTr="002B3C51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харчові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Pr="001866B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2B3C51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Pr="001125E4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зернові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092E40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інші МБМ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Pr="001866B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Pr="001866B8" w:rsidRDefault="005E0004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092E40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Default="00A95C88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тріска технологічна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69,1</w:t>
            </w:r>
          </w:p>
        </w:tc>
      </w:tr>
      <w:tr w:rsidR="000522B6" w:rsidRPr="001866B8" w:rsidTr="00092E40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0522B6" w:rsidRDefault="000522B6" w:rsidP="00A95C8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інші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тарно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-штучні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522B6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2B6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22B6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22B6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2B6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95C88" w:rsidRPr="001866B8" w:rsidTr="00092E40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</w:tcPr>
          <w:p w:rsidR="00A95C88" w:rsidRDefault="00A95C88" w:rsidP="000522B6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 w:rsidR="000522B6">
              <w:rPr>
                <w:color w:val="000000"/>
                <w:sz w:val="24"/>
                <w:szCs w:val="24"/>
                <w:lang w:val="uk-UA" w:eastAsia="uk-UA"/>
              </w:rPr>
              <w:t>лісні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95C88" w:rsidRDefault="00A95C88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C88" w:rsidRDefault="000522B6" w:rsidP="00A95C8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250,0</w:t>
            </w:r>
          </w:p>
        </w:tc>
      </w:tr>
    </w:tbl>
    <w:p w:rsidR="00FF4B6A" w:rsidRPr="00B223EF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У</w:t>
      </w:r>
      <w:r w:rsidRPr="00D34683">
        <w:rPr>
          <w:sz w:val="26"/>
          <w:szCs w:val="26"/>
          <w:lang w:val="uk-UA" w:eastAsia="uk-UA"/>
        </w:rPr>
        <w:t xml:space="preserve"> 201</w:t>
      </w:r>
      <w:r>
        <w:rPr>
          <w:sz w:val="26"/>
          <w:szCs w:val="26"/>
          <w:lang w:val="uk-UA" w:eastAsia="uk-UA"/>
        </w:rPr>
        <w:t>9</w:t>
      </w:r>
      <w:r w:rsidRPr="00D34683">
        <w:rPr>
          <w:sz w:val="26"/>
          <w:szCs w:val="26"/>
          <w:lang w:val="uk-UA" w:eastAsia="uk-UA"/>
        </w:rPr>
        <w:t xml:space="preserve"> року</w:t>
      </w:r>
      <w:r>
        <w:rPr>
          <w:sz w:val="26"/>
          <w:szCs w:val="26"/>
          <w:lang w:val="uk-UA" w:eastAsia="uk-UA"/>
        </w:rPr>
        <w:t xml:space="preserve"> </w:t>
      </w:r>
      <w:r w:rsidRPr="00B223EF">
        <w:rPr>
          <w:sz w:val="26"/>
          <w:szCs w:val="26"/>
          <w:lang w:val="uk-UA" w:eastAsia="uk-UA"/>
        </w:rPr>
        <w:t>вантажопереробка зменшилась проти плану та проти звіту за минул</w:t>
      </w:r>
      <w:r w:rsidR="006E731E">
        <w:rPr>
          <w:sz w:val="26"/>
          <w:szCs w:val="26"/>
          <w:lang w:val="uk-UA" w:eastAsia="uk-UA"/>
        </w:rPr>
        <w:t>ий</w:t>
      </w:r>
      <w:r w:rsidRPr="00B223EF">
        <w:rPr>
          <w:sz w:val="26"/>
          <w:szCs w:val="26"/>
          <w:lang w:val="uk-UA" w:eastAsia="uk-UA"/>
        </w:rPr>
        <w:t xml:space="preserve"> р</w:t>
      </w:r>
      <w:r w:rsidR="006E731E">
        <w:rPr>
          <w:sz w:val="26"/>
          <w:szCs w:val="26"/>
          <w:lang w:val="uk-UA" w:eastAsia="uk-UA"/>
        </w:rPr>
        <w:t>і</w:t>
      </w:r>
      <w:r w:rsidRPr="00B223EF">
        <w:rPr>
          <w:sz w:val="26"/>
          <w:szCs w:val="26"/>
          <w:lang w:val="uk-UA" w:eastAsia="uk-UA"/>
        </w:rPr>
        <w:t xml:space="preserve">к на </w:t>
      </w:r>
      <w:r w:rsidR="006E731E">
        <w:rPr>
          <w:sz w:val="26"/>
          <w:szCs w:val="26"/>
          <w:lang w:val="uk-UA" w:eastAsia="uk-UA"/>
        </w:rPr>
        <w:t>36,3</w:t>
      </w:r>
      <w:r w:rsidRPr="00FF4B6A">
        <w:rPr>
          <w:sz w:val="26"/>
          <w:szCs w:val="26"/>
          <w:lang w:val="uk-UA" w:eastAsia="uk-UA"/>
        </w:rPr>
        <w:t xml:space="preserve"> </w:t>
      </w:r>
      <w:r w:rsidRPr="00B223EF">
        <w:rPr>
          <w:sz w:val="26"/>
          <w:szCs w:val="26"/>
          <w:lang w:val="uk-UA" w:eastAsia="uk-UA"/>
        </w:rPr>
        <w:t xml:space="preserve">% та </w:t>
      </w:r>
      <w:r w:rsidR="006E731E">
        <w:rPr>
          <w:sz w:val="26"/>
          <w:szCs w:val="26"/>
          <w:lang w:val="uk-UA" w:eastAsia="uk-UA"/>
        </w:rPr>
        <w:t>26,0</w:t>
      </w:r>
      <w:r w:rsidRPr="00B223EF">
        <w:rPr>
          <w:sz w:val="26"/>
          <w:szCs w:val="26"/>
          <w:lang w:val="uk-UA" w:eastAsia="uk-UA"/>
        </w:rPr>
        <w:t xml:space="preserve"> % внаслідок зменшення перевалки сипучих вантажів на </w:t>
      </w:r>
      <w:r w:rsidR="006E731E">
        <w:rPr>
          <w:sz w:val="26"/>
          <w:szCs w:val="26"/>
          <w:lang w:val="uk-UA" w:eastAsia="uk-UA"/>
        </w:rPr>
        <w:t>43,4</w:t>
      </w:r>
      <w:r w:rsidRPr="00B223EF">
        <w:rPr>
          <w:sz w:val="26"/>
          <w:szCs w:val="26"/>
          <w:lang w:val="uk-UA" w:eastAsia="uk-UA"/>
        </w:rPr>
        <w:t xml:space="preserve"> % та </w:t>
      </w:r>
      <w:r w:rsidR="006E731E">
        <w:rPr>
          <w:sz w:val="26"/>
          <w:szCs w:val="26"/>
          <w:lang w:val="uk-UA" w:eastAsia="uk-UA"/>
        </w:rPr>
        <w:t>28,7</w:t>
      </w:r>
      <w:r w:rsidRPr="00B223EF">
        <w:rPr>
          <w:sz w:val="26"/>
          <w:szCs w:val="26"/>
          <w:lang w:val="uk-UA" w:eastAsia="uk-UA"/>
        </w:rPr>
        <w:t xml:space="preserve"> % відповідно</w:t>
      </w:r>
      <w:r>
        <w:rPr>
          <w:sz w:val="26"/>
          <w:szCs w:val="26"/>
          <w:lang w:val="uk-UA" w:eastAsia="uk-UA"/>
        </w:rPr>
        <w:t xml:space="preserve">. </w:t>
      </w:r>
      <w:r w:rsidRPr="00B223EF">
        <w:rPr>
          <w:sz w:val="26"/>
          <w:szCs w:val="26"/>
          <w:lang w:val="uk-UA" w:eastAsia="uk-UA"/>
        </w:rPr>
        <w:t xml:space="preserve">Зменшення вантажообігу сипучих вантажів відбулось внаслідок: </w:t>
      </w:r>
      <w:r w:rsidR="006E731E">
        <w:rPr>
          <w:sz w:val="26"/>
          <w:szCs w:val="26"/>
          <w:lang w:val="uk-UA" w:eastAsia="uk-UA"/>
        </w:rPr>
        <w:t>зниження</w:t>
      </w:r>
      <w:r w:rsidRPr="00B223EF">
        <w:rPr>
          <w:sz w:val="26"/>
          <w:szCs w:val="26"/>
          <w:lang w:val="uk-UA" w:eastAsia="uk-UA"/>
        </w:rPr>
        <w:t xml:space="preserve"> переробки тріски технологічної через зменшення попиту </w:t>
      </w:r>
      <w:r>
        <w:rPr>
          <w:sz w:val="26"/>
          <w:szCs w:val="26"/>
          <w:lang w:val="uk-UA" w:eastAsia="uk-UA"/>
        </w:rPr>
        <w:t xml:space="preserve">та суттєві зміни </w:t>
      </w:r>
      <w:r w:rsidRPr="00B223EF">
        <w:rPr>
          <w:sz w:val="26"/>
          <w:szCs w:val="26"/>
          <w:lang w:val="uk-UA" w:eastAsia="uk-UA"/>
        </w:rPr>
        <w:t>на основному ринку збуту - Туреччині;</w:t>
      </w:r>
      <w:r>
        <w:rPr>
          <w:sz w:val="26"/>
          <w:szCs w:val="26"/>
          <w:lang w:val="uk-UA" w:eastAsia="uk-UA"/>
        </w:rPr>
        <w:t xml:space="preserve"> зниження переробки інших МБМ через </w:t>
      </w:r>
      <w:r w:rsidRPr="001A79AB">
        <w:rPr>
          <w:sz w:val="26"/>
          <w:szCs w:val="26"/>
          <w:lang w:val="uk-UA" w:eastAsia="uk-UA"/>
        </w:rPr>
        <w:t>надмірне насичення продукцією на ринках збуту (Іспанія, Італія) та відсутність замовлень у нових поставках до моменту реалізаці</w:t>
      </w:r>
      <w:r w:rsidR="006E731E">
        <w:rPr>
          <w:sz w:val="26"/>
          <w:szCs w:val="26"/>
          <w:lang w:val="uk-UA" w:eastAsia="uk-UA"/>
        </w:rPr>
        <w:t>ї</w:t>
      </w:r>
      <w:r w:rsidRPr="001A79AB">
        <w:rPr>
          <w:sz w:val="26"/>
          <w:szCs w:val="26"/>
          <w:lang w:val="uk-UA" w:eastAsia="uk-UA"/>
        </w:rPr>
        <w:t xml:space="preserve"> продукції на виробництво</w:t>
      </w:r>
      <w:r>
        <w:rPr>
          <w:sz w:val="26"/>
          <w:szCs w:val="26"/>
          <w:lang w:val="uk-UA" w:eastAsia="uk-UA"/>
        </w:rPr>
        <w:t>;</w:t>
      </w:r>
      <w:r w:rsidRPr="00B223EF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зниження</w:t>
      </w:r>
      <w:r w:rsidRPr="00B223EF">
        <w:rPr>
          <w:sz w:val="26"/>
          <w:szCs w:val="26"/>
          <w:lang w:val="uk-UA" w:eastAsia="uk-UA"/>
        </w:rPr>
        <w:t xml:space="preserve"> переробки зернових і харчових вантажів у зв’язку з переорієнтацією їх на приватні зернові термінали, які оснащені сучасними технологічними засобами для приймання, складування та швидкісного відвантаження зернових вантажів на морські судна.</w:t>
      </w:r>
    </w:p>
    <w:p w:rsidR="00FF4B6A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b/>
          <w:sz w:val="26"/>
          <w:szCs w:val="26"/>
          <w:lang w:val="uk-UA"/>
        </w:rPr>
      </w:pPr>
      <w:r w:rsidRPr="000B42C2">
        <w:rPr>
          <w:b/>
          <w:sz w:val="26"/>
          <w:szCs w:val="26"/>
          <w:lang w:val="uk-UA"/>
        </w:rPr>
        <w:t>1.3. Аналіз ринку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ind w:left="0" w:firstLine="567"/>
        <w:jc w:val="both"/>
        <w:rPr>
          <w:sz w:val="4"/>
          <w:szCs w:val="26"/>
          <w:lang w:val="uk-UA"/>
        </w:rPr>
      </w:pP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З огляду на географічне розташування ДП "Стивідорна компанія "Ольвія" визначається, значною мірою, місцем і рівнем його участі на ринку транспортних послуг.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ДП "СК "Ольвія" на ринку обробки вантажів морськими торгівельними портами займає долю</w:t>
      </w:r>
      <w:r w:rsidR="007D1156">
        <w:rPr>
          <w:sz w:val="26"/>
          <w:szCs w:val="26"/>
          <w:lang w:val="uk-UA"/>
        </w:rPr>
        <w:t>1 %</w:t>
      </w:r>
      <w:r w:rsidRPr="000B42C2">
        <w:rPr>
          <w:sz w:val="26"/>
          <w:szCs w:val="26"/>
          <w:lang w:val="uk-UA"/>
        </w:rPr>
        <w:t xml:space="preserve">: - </w:t>
      </w:r>
      <w:r w:rsidR="007D1156">
        <w:rPr>
          <w:sz w:val="26"/>
          <w:szCs w:val="26"/>
          <w:lang w:val="uk-UA"/>
        </w:rPr>
        <w:t xml:space="preserve">3 </w:t>
      </w:r>
      <w:r w:rsidRPr="007D1156">
        <w:rPr>
          <w:sz w:val="26"/>
          <w:szCs w:val="26"/>
          <w:lang w:val="uk-UA"/>
        </w:rPr>
        <w:t>%</w:t>
      </w:r>
      <w:r w:rsidRPr="000B42C2">
        <w:rPr>
          <w:sz w:val="26"/>
          <w:szCs w:val="26"/>
          <w:lang w:val="uk-UA"/>
        </w:rPr>
        <w:t xml:space="preserve"> з перевантаження прокату чорних металів; </w:t>
      </w:r>
      <w:r w:rsidRPr="007D1156">
        <w:rPr>
          <w:sz w:val="26"/>
          <w:szCs w:val="26"/>
          <w:lang w:val="uk-UA"/>
        </w:rPr>
        <w:t xml:space="preserve">- </w:t>
      </w:r>
      <w:r w:rsidR="007D1156" w:rsidRPr="007D1156">
        <w:rPr>
          <w:sz w:val="26"/>
          <w:szCs w:val="26"/>
          <w:lang w:val="uk-UA"/>
        </w:rPr>
        <w:t>21</w:t>
      </w:r>
      <w:r w:rsidRPr="007D1156">
        <w:rPr>
          <w:sz w:val="26"/>
          <w:szCs w:val="26"/>
          <w:lang w:val="uk-UA"/>
        </w:rPr>
        <w:t xml:space="preserve"> %</w:t>
      </w:r>
      <w:r w:rsidRPr="000B42C2">
        <w:rPr>
          <w:sz w:val="26"/>
          <w:szCs w:val="26"/>
          <w:lang w:val="uk-UA"/>
        </w:rPr>
        <w:t xml:space="preserve"> з перевантаження будівельних навалювальних вантажів; </w:t>
      </w:r>
      <w:r w:rsidRPr="007D1156">
        <w:rPr>
          <w:sz w:val="26"/>
          <w:szCs w:val="26"/>
          <w:lang w:val="uk-UA"/>
        </w:rPr>
        <w:t xml:space="preserve">- </w:t>
      </w:r>
      <w:r w:rsidR="007D1156" w:rsidRPr="007D1156">
        <w:rPr>
          <w:sz w:val="26"/>
          <w:szCs w:val="26"/>
          <w:lang w:val="uk-UA"/>
        </w:rPr>
        <w:t>0,4</w:t>
      </w:r>
      <w:r w:rsidRPr="007D1156">
        <w:rPr>
          <w:sz w:val="26"/>
          <w:szCs w:val="26"/>
          <w:lang w:val="uk-UA"/>
        </w:rPr>
        <w:t xml:space="preserve"> %</w:t>
      </w:r>
      <w:r w:rsidRPr="000B42C2">
        <w:rPr>
          <w:sz w:val="26"/>
          <w:szCs w:val="26"/>
          <w:lang w:val="uk-UA"/>
        </w:rPr>
        <w:t xml:space="preserve"> з перевантаження хлібних вантажів.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Доля вантажопереробки ДП “СК “Ольвія” в загальній вантажопереробці портів Дніпро-Бузького басейну складає – </w:t>
      </w:r>
      <w:r w:rsidR="007D1156">
        <w:rPr>
          <w:sz w:val="26"/>
          <w:szCs w:val="26"/>
          <w:lang w:val="uk-UA"/>
        </w:rPr>
        <w:t>5</w:t>
      </w:r>
      <w:r w:rsidRPr="000B42C2">
        <w:rPr>
          <w:sz w:val="26"/>
          <w:szCs w:val="26"/>
          <w:lang w:val="uk-UA"/>
        </w:rPr>
        <w:t xml:space="preserve"> </w:t>
      </w:r>
      <w:r w:rsidRPr="007D1156">
        <w:rPr>
          <w:sz w:val="26"/>
          <w:szCs w:val="26"/>
          <w:lang w:val="uk-UA"/>
        </w:rPr>
        <w:t>%</w:t>
      </w:r>
      <w:r w:rsidRPr="000B42C2">
        <w:rPr>
          <w:sz w:val="26"/>
          <w:szCs w:val="26"/>
          <w:lang w:val="uk-UA"/>
        </w:rPr>
        <w:t>.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До 2013 року основну номенклатуру переробки вантажів складали чорні метали, рівень виробництва яких підприємствами України постійно коливається і залежить від світового ринку. До 2017 року обсяг їх перевантаження знижувався, проте з кінця минулого року ДП « СК « Ольвія» вдалося налагодити вантажопотік з Дніпровського металургійного комбінату.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Впродовж останніх 5 років ведеться постійне залучення нової номенклатури вантажів: хлібні (зернові та продукти помелу), навалювальні (мінерально-будівельні, </w:t>
      </w:r>
      <w:r w:rsidRPr="000B42C2">
        <w:rPr>
          <w:sz w:val="26"/>
          <w:szCs w:val="26"/>
          <w:lang w:val="uk-UA"/>
        </w:rPr>
        <w:lastRenderedPageBreak/>
        <w:t xml:space="preserve">паливно-енергетичні, тріска), </w:t>
      </w:r>
      <w:proofErr w:type="spellStart"/>
      <w:r w:rsidRPr="000B42C2">
        <w:rPr>
          <w:sz w:val="26"/>
          <w:szCs w:val="26"/>
          <w:lang w:val="uk-UA"/>
        </w:rPr>
        <w:t>тарно</w:t>
      </w:r>
      <w:proofErr w:type="spellEnd"/>
      <w:r w:rsidRPr="000B42C2">
        <w:rPr>
          <w:sz w:val="26"/>
          <w:szCs w:val="26"/>
          <w:lang w:val="uk-UA"/>
        </w:rPr>
        <w:t>-штучні (габаритні вантажі, обладнання). Починаючи з 2019 року освоюється перевалка хімічних (мінеральних) добрив</w:t>
      </w:r>
      <w:r w:rsidR="00D32D00">
        <w:rPr>
          <w:sz w:val="26"/>
          <w:szCs w:val="26"/>
          <w:lang w:val="uk-UA"/>
        </w:rPr>
        <w:t xml:space="preserve"> та вугілля</w:t>
      </w:r>
      <w:r w:rsidRPr="000B42C2">
        <w:rPr>
          <w:sz w:val="26"/>
          <w:szCs w:val="26"/>
          <w:lang w:val="uk-UA"/>
        </w:rPr>
        <w:t>.</w:t>
      </w:r>
    </w:p>
    <w:p w:rsidR="00B27DB4" w:rsidRDefault="00FF4B6A" w:rsidP="00FF4B6A">
      <w:pPr>
        <w:tabs>
          <w:tab w:val="left" w:pos="9639"/>
          <w:tab w:val="left" w:pos="9781"/>
        </w:tabs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У 2019 ро</w:t>
      </w:r>
      <w:r w:rsidR="00D32D00">
        <w:rPr>
          <w:sz w:val="26"/>
          <w:szCs w:val="26"/>
          <w:lang w:val="uk-UA"/>
        </w:rPr>
        <w:t>ці</w:t>
      </w:r>
      <w:r w:rsidRPr="000B42C2">
        <w:rPr>
          <w:sz w:val="26"/>
          <w:szCs w:val="26"/>
          <w:lang w:val="uk-UA"/>
        </w:rPr>
        <w:t xml:space="preserve"> частки сипучих та </w:t>
      </w:r>
      <w:proofErr w:type="spellStart"/>
      <w:r w:rsidRPr="000B42C2">
        <w:rPr>
          <w:sz w:val="26"/>
          <w:szCs w:val="26"/>
          <w:lang w:val="uk-UA"/>
        </w:rPr>
        <w:t>тарно</w:t>
      </w:r>
      <w:proofErr w:type="spellEnd"/>
      <w:r w:rsidRPr="000B42C2">
        <w:rPr>
          <w:sz w:val="26"/>
          <w:szCs w:val="26"/>
          <w:lang w:val="uk-UA"/>
        </w:rPr>
        <w:t xml:space="preserve">-штучних вантажів в загальній вантажопереробці залишись на рівні минулого року. Проте відбулося зниження переробки вантажів в кількісному значенні. Обсяг переробки металопродукції зменшився на </w:t>
      </w:r>
      <w:r w:rsidR="00D32D00">
        <w:rPr>
          <w:sz w:val="26"/>
          <w:szCs w:val="26"/>
          <w:lang w:val="uk-UA"/>
        </w:rPr>
        <w:t>22,7</w:t>
      </w:r>
      <w:r w:rsidRPr="000B42C2">
        <w:rPr>
          <w:sz w:val="26"/>
          <w:szCs w:val="26"/>
          <w:lang w:val="uk-UA"/>
        </w:rPr>
        <w:t xml:space="preserve"> % або на </w:t>
      </w:r>
      <w:r w:rsidR="00D32D00">
        <w:rPr>
          <w:sz w:val="26"/>
          <w:szCs w:val="26"/>
          <w:lang w:val="uk-UA"/>
        </w:rPr>
        <w:t>120,1</w:t>
      </w:r>
      <w:r w:rsidRPr="000B42C2">
        <w:rPr>
          <w:sz w:val="26"/>
          <w:szCs w:val="26"/>
          <w:lang w:val="uk-UA"/>
        </w:rPr>
        <w:t xml:space="preserve"> тис. </w:t>
      </w:r>
      <w:proofErr w:type="spellStart"/>
      <w:r w:rsidRPr="000B42C2">
        <w:rPr>
          <w:sz w:val="26"/>
          <w:szCs w:val="26"/>
          <w:lang w:val="uk-UA"/>
        </w:rPr>
        <w:t>тонн</w:t>
      </w:r>
      <w:proofErr w:type="spellEnd"/>
      <w:r w:rsidRPr="000B42C2">
        <w:rPr>
          <w:sz w:val="26"/>
          <w:szCs w:val="26"/>
          <w:lang w:val="uk-UA"/>
        </w:rPr>
        <w:t xml:space="preserve"> внаслідок зменшення кількості збуту в рамках </w:t>
      </w:r>
      <w:r w:rsidR="00D32D00">
        <w:rPr>
          <w:sz w:val="26"/>
          <w:szCs w:val="26"/>
          <w:lang w:val="uk-UA"/>
        </w:rPr>
        <w:t>зовнішньоекономічних контрактів;</w:t>
      </w:r>
      <w:r w:rsidRPr="000B42C2">
        <w:rPr>
          <w:sz w:val="26"/>
          <w:szCs w:val="26"/>
          <w:lang w:val="uk-UA"/>
        </w:rPr>
        <w:t xml:space="preserve"> обсяг переробки мінерально-будівельних матеріалів зменшився на </w:t>
      </w:r>
      <w:r w:rsidR="00D32D00">
        <w:rPr>
          <w:sz w:val="26"/>
          <w:szCs w:val="26"/>
          <w:lang w:val="uk-UA"/>
        </w:rPr>
        <w:t>10,4</w:t>
      </w:r>
      <w:r w:rsidRPr="000B42C2">
        <w:rPr>
          <w:sz w:val="26"/>
          <w:szCs w:val="26"/>
          <w:lang w:val="uk-UA"/>
        </w:rPr>
        <w:t xml:space="preserve"> % або на 8</w:t>
      </w:r>
      <w:r w:rsidR="00D32D00">
        <w:rPr>
          <w:sz w:val="26"/>
          <w:szCs w:val="26"/>
          <w:lang w:val="uk-UA"/>
        </w:rPr>
        <w:t>5</w:t>
      </w:r>
      <w:r w:rsidRPr="000B42C2">
        <w:rPr>
          <w:sz w:val="26"/>
          <w:szCs w:val="26"/>
          <w:lang w:val="uk-UA"/>
        </w:rPr>
        <w:t xml:space="preserve">,7 тис. </w:t>
      </w:r>
      <w:proofErr w:type="spellStart"/>
      <w:r w:rsidRPr="000B42C2">
        <w:rPr>
          <w:sz w:val="26"/>
          <w:szCs w:val="26"/>
          <w:lang w:val="uk-UA"/>
        </w:rPr>
        <w:t>тонн</w:t>
      </w:r>
      <w:proofErr w:type="spellEnd"/>
      <w:r w:rsidRPr="000B42C2">
        <w:rPr>
          <w:sz w:val="26"/>
          <w:szCs w:val="26"/>
          <w:lang w:val="uk-UA"/>
        </w:rPr>
        <w:t xml:space="preserve"> внаслідок надмірного накопичення продукції на складах Італії, Іспанії та відсутності збуту у виробництво через скорочення попиту на готову продукцію; </w:t>
      </w:r>
      <w:r w:rsidR="00D32D00">
        <w:rPr>
          <w:sz w:val="26"/>
          <w:szCs w:val="26"/>
          <w:lang w:val="uk-UA"/>
        </w:rPr>
        <w:t>обсяг переробки</w:t>
      </w:r>
      <w:r w:rsidR="0095446B">
        <w:rPr>
          <w:sz w:val="26"/>
          <w:szCs w:val="26"/>
          <w:lang w:val="uk-UA"/>
        </w:rPr>
        <w:t xml:space="preserve"> </w:t>
      </w:r>
      <w:r w:rsidRPr="000B42C2">
        <w:rPr>
          <w:sz w:val="26"/>
          <w:szCs w:val="26"/>
          <w:lang w:val="uk-UA"/>
        </w:rPr>
        <w:t>тріск</w:t>
      </w:r>
      <w:r w:rsidR="0095446B">
        <w:rPr>
          <w:sz w:val="26"/>
          <w:szCs w:val="26"/>
          <w:lang w:val="uk-UA"/>
        </w:rPr>
        <w:t>и</w:t>
      </w:r>
      <w:r w:rsidRPr="000B42C2">
        <w:rPr>
          <w:sz w:val="26"/>
          <w:szCs w:val="26"/>
          <w:lang w:val="uk-UA"/>
        </w:rPr>
        <w:t xml:space="preserve"> технологічн</w:t>
      </w:r>
      <w:r w:rsidR="0095446B">
        <w:rPr>
          <w:sz w:val="26"/>
          <w:szCs w:val="26"/>
          <w:lang w:val="uk-UA"/>
        </w:rPr>
        <w:t>ої</w:t>
      </w:r>
      <w:r w:rsidRPr="000B42C2">
        <w:rPr>
          <w:sz w:val="26"/>
          <w:szCs w:val="26"/>
          <w:lang w:val="uk-UA"/>
        </w:rPr>
        <w:t xml:space="preserve"> </w:t>
      </w:r>
      <w:r w:rsidR="0095446B">
        <w:rPr>
          <w:sz w:val="26"/>
          <w:szCs w:val="26"/>
          <w:lang w:val="uk-UA"/>
        </w:rPr>
        <w:t xml:space="preserve">зменшився на 84,6 % або на 178,9 тис. </w:t>
      </w:r>
      <w:proofErr w:type="spellStart"/>
      <w:r w:rsidR="0095446B">
        <w:rPr>
          <w:sz w:val="26"/>
          <w:szCs w:val="26"/>
          <w:lang w:val="uk-UA"/>
        </w:rPr>
        <w:t>тонн</w:t>
      </w:r>
      <w:proofErr w:type="spellEnd"/>
      <w:r w:rsidR="0095446B">
        <w:rPr>
          <w:sz w:val="26"/>
          <w:szCs w:val="26"/>
          <w:lang w:val="uk-UA"/>
        </w:rPr>
        <w:t xml:space="preserve"> </w:t>
      </w:r>
      <w:r w:rsidRPr="000B42C2">
        <w:rPr>
          <w:sz w:val="26"/>
          <w:szCs w:val="26"/>
          <w:lang w:val="uk-UA"/>
        </w:rPr>
        <w:t>внаслідок суттєвих змін в економічному стані Туреччини та неможливості конкуренції з постачальниками на інших ринках Середземномор’я</w:t>
      </w:r>
      <w:r w:rsidR="0095446B">
        <w:rPr>
          <w:sz w:val="26"/>
          <w:szCs w:val="26"/>
          <w:lang w:val="uk-UA"/>
        </w:rPr>
        <w:t xml:space="preserve">; обсяг переробки зернових вантажів зменшився на 69,1 % або на 327,1 тис </w:t>
      </w:r>
      <w:proofErr w:type="spellStart"/>
      <w:r w:rsidR="0095446B">
        <w:rPr>
          <w:sz w:val="26"/>
          <w:szCs w:val="26"/>
          <w:lang w:val="uk-UA"/>
        </w:rPr>
        <w:t>тонн</w:t>
      </w:r>
      <w:proofErr w:type="spellEnd"/>
      <w:r w:rsidR="0095446B">
        <w:rPr>
          <w:sz w:val="26"/>
          <w:szCs w:val="26"/>
          <w:lang w:val="uk-UA"/>
        </w:rPr>
        <w:t xml:space="preserve">, </w:t>
      </w:r>
      <w:r w:rsidR="0095446B" w:rsidRPr="0095446B">
        <w:rPr>
          <w:sz w:val="26"/>
          <w:szCs w:val="26"/>
          <w:lang w:val="uk-UA"/>
        </w:rPr>
        <w:t>що викликано переорієнтацією їх на приватні зернові термінали (ТО</w:t>
      </w:r>
      <w:r w:rsidR="0095446B">
        <w:rPr>
          <w:sz w:val="26"/>
          <w:szCs w:val="26"/>
          <w:lang w:val="uk-UA"/>
        </w:rPr>
        <w:t>В "</w:t>
      </w:r>
      <w:proofErr w:type="spellStart"/>
      <w:r w:rsidR="0095446B">
        <w:rPr>
          <w:sz w:val="26"/>
          <w:szCs w:val="26"/>
          <w:lang w:val="uk-UA"/>
        </w:rPr>
        <w:t>Євровнєшторг</w:t>
      </w:r>
      <w:proofErr w:type="spellEnd"/>
      <w:r w:rsidR="0095446B">
        <w:rPr>
          <w:sz w:val="26"/>
          <w:szCs w:val="26"/>
          <w:lang w:val="uk-UA"/>
        </w:rPr>
        <w:t>", ТОВ Зерновий т</w:t>
      </w:r>
      <w:r w:rsidR="0095446B" w:rsidRPr="0095446B">
        <w:rPr>
          <w:sz w:val="26"/>
          <w:szCs w:val="26"/>
          <w:lang w:val="uk-UA"/>
        </w:rPr>
        <w:t>ермінал "Ніка-</w:t>
      </w:r>
      <w:proofErr w:type="spellStart"/>
      <w:r w:rsidR="0095446B" w:rsidRPr="0095446B">
        <w:rPr>
          <w:sz w:val="26"/>
          <w:szCs w:val="26"/>
          <w:lang w:val="uk-UA"/>
        </w:rPr>
        <w:t>Тера</w:t>
      </w:r>
      <w:proofErr w:type="spellEnd"/>
      <w:r w:rsidR="0095446B" w:rsidRPr="0095446B">
        <w:rPr>
          <w:sz w:val="26"/>
          <w:szCs w:val="26"/>
          <w:lang w:val="uk-UA"/>
        </w:rPr>
        <w:t>")</w:t>
      </w:r>
      <w:r w:rsidRPr="000B42C2">
        <w:rPr>
          <w:sz w:val="26"/>
          <w:szCs w:val="26"/>
          <w:lang w:val="uk-UA"/>
        </w:rPr>
        <w:t xml:space="preserve">. В свою чергу, в звітному </w:t>
      </w:r>
      <w:r w:rsidR="0095446B">
        <w:rPr>
          <w:sz w:val="26"/>
          <w:szCs w:val="26"/>
          <w:lang w:val="uk-UA"/>
        </w:rPr>
        <w:t xml:space="preserve">році </w:t>
      </w:r>
      <w:r w:rsidR="00133784">
        <w:rPr>
          <w:sz w:val="26"/>
          <w:szCs w:val="26"/>
          <w:lang w:val="uk-UA"/>
        </w:rPr>
        <w:t>освоюється перевантаження вугілля навалом</w:t>
      </w:r>
      <w:r w:rsidR="00B27DB4">
        <w:rPr>
          <w:sz w:val="26"/>
          <w:szCs w:val="26"/>
          <w:lang w:val="uk-UA"/>
        </w:rPr>
        <w:t xml:space="preserve"> в кількості 90,3 тис </w:t>
      </w:r>
      <w:proofErr w:type="spellStart"/>
      <w:r w:rsidR="00B27DB4">
        <w:rPr>
          <w:sz w:val="26"/>
          <w:szCs w:val="26"/>
          <w:lang w:val="uk-UA"/>
        </w:rPr>
        <w:t>тонн</w:t>
      </w:r>
      <w:proofErr w:type="spellEnd"/>
      <w:r w:rsidR="00B27DB4">
        <w:rPr>
          <w:sz w:val="26"/>
          <w:szCs w:val="26"/>
          <w:lang w:val="uk-UA"/>
        </w:rPr>
        <w:t xml:space="preserve"> та </w:t>
      </w:r>
      <w:r w:rsidR="00B27DB4" w:rsidRPr="00B27DB4">
        <w:rPr>
          <w:sz w:val="26"/>
          <w:szCs w:val="26"/>
          <w:lang w:val="uk-UA"/>
        </w:rPr>
        <w:t xml:space="preserve">хімічних (мінеральних) добрив </w:t>
      </w:r>
      <w:r w:rsidR="00B27DB4">
        <w:rPr>
          <w:sz w:val="26"/>
          <w:szCs w:val="26"/>
          <w:lang w:val="uk-UA"/>
        </w:rPr>
        <w:t xml:space="preserve">в обсязі 57,6 тис. </w:t>
      </w:r>
      <w:proofErr w:type="spellStart"/>
      <w:r w:rsidR="00B27DB4">
        <w:rPr>
          <w:sz w:val="26"/>
          <w:szCs w:val="26"/>
          <w:lang w:val="uk-UA"/>
        </w:rPr>
        <w:t>тонн</w:t>
      </w:r>
      <w:proofErr w:type="spellEnd"/>
      <w:r w:rsidR="00B27DB4">
        <w:rPr>
          <w:sz w:val="26"/>
          <w:szCs w:val="26"/>
          <w:lang w:val="uk-UA"/>
        </w:rPr>
        <w:t>.</w:t>
      </w:r>
    </w:p>
    <w:p w:rsidR="00FF4B6A" w:rsidRPr="000B42C2" w:rsidRDefault="00FF4B6A" w:rsidP="00FF4B6A">
      <w:pPr>
        <w:tabs>
          <w:tab w:val="left" w:pos="9639"/>
          <w:tab w:val="left" w:pos="9781"/>
        </w:tabs>
        <w:spacing w:line="360" w:lineRule="exact"/>
        <w:ind w:firstLine="567"/>
        <w:jc w:val="both"/>
        <w:rPr>
          <w:sz w:val="26"/>
          <w:szCs w:val="26"/>
        </w:rPr>
      </w:pPr>
      <w:r w:rsidRPr="000B42C2">
        <w:rPr>
          <w:sz w:val="26"/>
          <w:szCs w:val="26"/>
        </w:rPr>
        <w:t xml:space="preserve">В рамках </w:t>
      </w:r>
      <w:proofErr w:type="spellStart"/>
      <w:r w:rsidRPr="000B42C2">
        <w:rPr>
          <w:sz w:val="26"/>
          <w:szCs w:val="26"/>
        </w:rPr>
        <w:t>стратегії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розвитку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морських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портів</w:t>
      </w:r>
      <w:proofErr w:type="spellEnd"/>
      <w:r w:rsidRPr="000B42C2">
        <w:rPr>
          <w:sz w:val="26"/>
          <w:szCs w:val="26"/>
        </w:rPr>
        <w:t xml:space="preserve"> до 2038 року та </w:t>
      </w:r>
      <w:proofErr w:type="spellStart"/>
      <w:r w:rsidRPr="000B42C2">
        <w:rPr>
          <w:sz w:val="26"/>
          <w:szCs w:val="26"/>
        </w:rPr>
        <w:t>безпосередньо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стратегічного</w:t>
      </w:r>
      <w:proofErr w:type="spellEnd"/>
      <w:r w:rsidRPr="000B42C2">
        <w:rPr>
          <w:sz w:val="26"/>
          <w:szCs w:val="26"/>
        </w:rPr>
        <w:t xml:space="preserve"> плану </w:t>
      </w:r>
      <w:proofErr w:type="spellStart"/>
      <w:r w:rsidRPr="000B42C2">
        <w:rPr>
          <w:sz w:val="26"/>
          <w:szCs w:val="26"/>
        </w:rPr>
        <w:t>розвитку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підприємства</w:t>
      </w:r>
      <w:proofErr w:type="spellEnd"/>
      <w:r w:rsidRPr="000B42C2">
        <w:rPr>
          <w:sz w:val="26"/>
          <w:szCs w:val="26"/>
        </w:rPr>
        <w:t xml:space="preserve">, </w:t>
      </w:r>
      <w:proofErr w:type="spellStart"/>
      <w:r w:rsidRPr="000B42C2">
        <w:rPr>
          <w:sz w:val="26"/>
          <w:szCs w:val="26"/>
        </w:rPr>
        <w:t>перспективними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лишаються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зернові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вантажі</w:t>
      </w:r>
      <w:proofErr w:type="spellEnd"/>
      <w:r w:rsidRPr="000B42C2">
        <w:rPr>
          <w:sz w:val="26"/>
          <w:szCs w:val="26"/>
        </w:rPr>
        <w:t xml:space="preserve">. </w:t>
      </w:r>
      <w:proofErr w:type="spellStart"/>
      <w:r w:rsidRPr="000B42C2">
        <w:rPr>
          <w:sz w:val="26"/>
          <w:szCs w:val="26"/>
        </w:rPr>
        <w:t>Відповідно</w:t>
      </w:r>
      <w:proofErr w:type="spellEnd"/>
      <w:r w:rsidRPr="000B42C2">
        <w:rPr>
          <w:sz w:val="26"/>
          <w:szCs w:val="26"/>
        </w:rPr>
        <w:t xml:space="preserve"> до </w:t>
      </w:r>
      <w:proofErr w:type="spellStart"/>
      <w:r w:rsidRPr="000B42C2">
        <w:rPr>
          <w:sz w:val="26"/>
          <w:szCs w:val="26"/>
        </w:rPr>
        <w:t>тенденцій</w:t>
      </w:r>
      <w:proofErr w:type="spellEnd"/>
      <w:r w:rsidRPr="000B42C2">
        <w:rPr>
          <w:sz w:val="26"/>
          <w:szCs w:val="26"/>
        </w:rPr>
        <w:t xml:space="preserve"> ринку з росту </w:t>
      </w:r>
      <w:proofErr w:type="spellStart"/>
      <w:r w:rsidRPr="000B42C2">
        <w:rPr>
          <w:sz w:val="26"/>
          <w:szCs w:val="26"/>
        </w:rPr>
        <w:t>показників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виробництва</w:t>
      </w:r>
      <w:proofErr w:type="spellEnd"/>
      <w:r w:rsidRPr="000B42C2">
        <w:rPr>
          <w:sz w:val="26"/>
          <w:szCs w:val="26"/>
        </w:rPr>
        <w:t xml:space="preserve"> та </w:t>
      </w:r>
      <w:proofErr w:type="spellStart"/>
      <w:r w:rsidRPr="000B42C2">
        <w:rPr>
          <w:sz w:val="26"/>
          <w:szCs w:val="26"/>
        </w:rPr>
        <w:t>експорту</w:t>
      </w:r>
      <w:proofErr w:type="spellEnd"/>
      <w:r w:rsidRPr="000B42C2">
        <w:rPr>
          <w:sz w:val="26"/>
          <w:szCs w:val="26"/>
        </w:rPr>
        <w:t xml:space="preserve"> зерна </w:t>
      </w:r>
      <w:proofErr w:type="spellStart"/>
      <w:r w:rsidRPr="000B42C2">
        <w:rPr>
          <w:sz w:val="26"/>
          <w:szCs w:val="26"/>
        </w:rPr>
        <w:t>України</w:t>
      </w:r>
      <w:proofErr w:type="spellEnd"/>
      <w:r w:rsidRPr="000B42C2">
        <w:rPr>
          <w:sz w:val="26"/>
          <w:szCs w:val="26"/>
        </w:rPr>
        <w:t xml:space="preserve">, </w:t>
      </w:r>
      <w:proofErr w:type="spellStart"/>
      <w:r w:rsidRPr="000B42C2">
        <w:rPr>
          <w:sz w:val="26"/>
          <w:szCs w:val="26"/>
        </w:rPr>
        <w:t>доцільно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зосередити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увагу</w:t>
      </w:r>
      <w:proofErr w:type="spellEnd"/>
      <w:r w:rsidRPr="000B42C2">
        <w:rPr>
          <w:sz w:val="26"/>
          <w:szCs w:val="26"/>
        </w:rPr>
        <w:t xml:space="preserve"> на </w:t>
      </w:r>
      <w:proofErr w:type="spellStart"/>
      <w:r w:rsidRPr="000B42C2">
        <w:rPr>
          <w:sz w:val="26"/>
          <w:szCs w:val="26"/>
        </w:rPr>
        <w:t>модернізації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наявних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потужностей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під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переробку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навалювальних</w:t>
      </w:r>
      <w:proofErr w:type="spellEnd"/>
      <w:r w:rsidRPr="000B42C2">
        <w:rPr>
          <w:sz w:val="26"/>
          <w:szCs w:val="26"/>
        </w:rPr>
        <w:t xml:space="preserve"> (в </w:t>
      </w:r>
      <w:proofErr w:type="spellStart"/>
      <w:r w:rsidRPr="000B42C2">
        <w:rPr>
          <w:sz w:val="26"/>
          <w:szCs w:val="26"/>
        </w:rPr>
        <w:t>т.ч</w:t>
      </w:r>
      <w:proofErr w:type="spellEnd"/>
      <w:r w:rsidRPr="000B42C2">
        <w:rPr>
          <w:sz w:val="26"/>
          <w:szCs w:val="26"/>
        </w:rPr>
        <w:t xml:space="preserve">. </w:t>
      </w:r>
      <w:proofErr w:type="spellStart"/>
      <w:r w:rsidRPr="000B42C2">
        <w:rPr>
          <w:sz w:val="26"/>
          <w:szCs w:val="26"/>
        </w:rPr>
        <w:t>хлібних</w:t>
      </w:r>
      <w:proofErr w:type="spellEnd"/>
      <w:r w:rsidRPr="000B42C2">
        <w:rPr>
          <w:sz w:val="26"/>
          <w:szCs w:val="26"/>
        </w:rPr>
        <w:t xml:space="preserve">) </w:t>
      </w:r>
      <w:proofErr w:type="spellStart"/>
      <w:r w:rsidRPr="000B42C2">
        <w:rPr>
          <w:sz w:val="26"/>
          <w:szCs w:val="26"/>
        </w:rPr>
        <w:t>вантажів</w:t>
      </w:r>
      <w:proofErr w:type="spellEnd"/>
      <w:r w:rsidRPr="000B42C2">
        <w:rPr>
          <w:sz w:val="26"/>
          <w:szCs w:val="26"/>
        </w:rPr>
        <w:t xml:space="preserve"> та </w:t>
      </w:r>
      <w:proofErr w:type="spellStart"/>
      <w:r w:rsidRPr="000B42C2">
        <w:rPr>
          <w:sz w:val="26"/>
          <w:szCs w:val="26"/>
        </w:rPr>
        <w:t>можливої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реалізації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інвестиційних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пропозицій</w:t>
      </w:r>
      <w:proofErr w:type="spellEnd"/>
      <w:r w:rsidRPr="000B42C2">
        <w:rPr>
          <w:sz w:val="26"/>
          <w:szCs w:val="26"/>
        </w:rPr>
        <w:t>.</w:t>
      </w:r>
    </w:p>
    <w:p w:rsidR="00FF4B6A" w:rsidRPr="000B42C2" w:rsidRDefault="00FF4B6A" w:rsidP="00FF4B6A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Диверсифікація номенклатури вантажів та постійне оновлення засобів обробки вантажів має стратегічно закріпити положення підприємства на внутрішньому ринку портових послуг України.  </w:t>
      </w:r>
    </w:p>
    <w:p w:rsidR="00C52BD3" w:rsidRDefault="00C52BD3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EF77E4" w:rsidRPr="001560D9" w:rsidRDefault="00EF77E4" w:rsidP="00EF77E4">
      <w:pPr>
        <w:pStyle w:val="a7"/>
        <w:numPr>
          <w:ilvl w:val="0"/>
          <w:numId w:val="12"/>
        </w:numPr>
        <w:tabs>
          <w:tab w:val="left" w:pos="284"/>
        </w:tabs>
        <w:spacing w:line="360" w:lineRule="exact"/>
        <w:ind w:left="0" w:right="284" w:firstLine="0"/>
        <w:rPr>
          <w:b/>
          <w:sz w:val="28"/>
          <w:szCs w:val="28"/>
          <w:lang w:val="uk-UA"/>
        </w:rPr>
      </w:pPr>
      <w:r w:rsidRPr="001560D9">
        <w:rPr>
          <w:b/>
          <w:sz w:val="28"/>
          <w:szCs w:val="28"/>
          <w:lang w:val="uk-UA"/>
        </w:rPr>
        <w:t>Формування доходної частини звіту про виконання фінансового плану</w:t>
      </w:r>
    </w:p>
    <w:p w:rsidR="00EF77E4" w:rsidRPr="001560D9" w:rsidRDefault="00EF77E4" w:rsidP="00EF77E4">
      <w:pPr>
        <w:pStyle w:val="a7"/>
        <w:spacing w:line="360" w:lineRule="exact"/>
        <w:ind w:left="0" w:firstLine="567"/>
        <w:jc w:val="right"/>
        <w:rPr>
          <w:sz w:val="26"/>
          <w:szCs w:val="26"/>
          <w:lang w:val="uk-UA"/>
        </w:rPr>
      </w:pPr>
      <w:r w:rsidRPr="001560D9">
        <w:rPr>
          <w:bCs/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(тис. грн)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11"/>
        <w:gridCol w:w="1079"/>
        <w:gridCol w:w="1005"/>
        <w:gridCol w:w="1313"/>
      </w:tblGrid>
      <w:tr w:rsidR="00EF77E4" w:rsidRPr="00246292" w:rsidTr="00EF77E4">
        <w:trPr>
          <w:trHeight w:val="946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Види діяльності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7E4" w:rsidRPr="001866B8" w:rsidRDefault="00EF77E4" w:rsidP="00EF77E4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Звіт за 201</w:t>
            </w:r>
            <w:r>
              <w:rPr>
                <w:sz w:val="24"/>
                <w:lang w:val="uk-UA"/>
              </w:rPr>
              <w:t>8 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7E4" w:rsidRPr="001866B8" w:rsidRDefault="00EF77E4" w:rsidP="00EF77E4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План  на </w:t>
            </w:r>
            <w:r>
              <w:rPr>
                <w:sz w:val="24"/>
                <w:lang w:val="uk-UA"/>
              </w:rPr>
              <w:t>2019 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7E4" w:rsidRPr="001866B8" w:rsidRDefault="00EF77E4" w:rsidP="00335BC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9</w:t>
            </w:r>
            <w:r w:rsidRPr="001866B8">
              <w:rPr>
                <w:sz w:val="24"/>
                <w:lang w:val="uk-UA"/>
              </w:rPr>
              <w:t> р.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7E4" w:rsidRPr="001866B8" w:rsidRDefault="00EF77E4" w:rsidP="00EF77E4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7E4" w:rsidRPr="001866B8" w:rsidRDefault="00EF77E4" w:rsidP="00335BC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866B8">
              <w:rPr>
                <w:sz w:val="24"/>
                <w:lang w:val="uk-UA"/>
              </w:rPr>
              <w:t>р.  в %% до 201</w:t>
            </w:r>
            <w:r>
              <w:rPr>
                <w:sz w:val="24"/>
                <w:lang w:val="uk-UA"/>
              </w:rPr>
              <w:t>8</w:t>
            </w:r>
            <w:r w:rsidRPr="001866B8">
              <w:rPr>
                <w:sz w:val="24"/>
                <w:lang w:val="uk-UA"/>
              </w:rPr>
              <w:t xml:space="preserve"> р.</w:t>
            </w:r>
          </w:p>
        </w:tc>
      </w:tr>
      <w:tr w:rsidR="00EF77E4" w:rsidRPr="001560D9" w:rsidTr="00EF77E4">
        <w:trPr>
          <w:trHeight w:val="820"/>
          <w:jc w:val="center"/>
        </w:trPr>
        <w:tc>
          <w:tcPr>
            <w:tcW w:w="481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Чистий дохід (виручка) від реалізації продукції, товарів, робіт, послуг тощо, усього</w:t>
            </w:r>
            <w:r>
              <w:rPr>
                <w:sz w:val="24"/>
                <w:szCs w:val="24"/>
                <w:lang w:val="uk-UA" w:eastAsia="uk-UA"/>
              </w:rPr>
              <w:t xml:space="preserve">, </w:t>
            </w:r>
            <w:r w:rsidRPr="00177A6B">
              <w:rPr>
                <w:sz w:val="24"/>
                <w:szCs w:val="24"/>
                <w:lang w:val="uk-UA" w:eastAsia="uk-UA"/>
              </w:rPr>
              <w:t>в тому числі: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331666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400750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77E4" w:rsidRPr="00D50F73" w:rsidRDefault="00E0741D" w:rsidP="00AB4414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50F73">
              <w:rPr>
                <w:b/>
                <w:sz w:val="24"/>
                <w:szCs w:val="24"/>
                <w:lang w:val="uk-UA" w:eastAsia="uk-UA"/>
              </w:rPr>
              <w:t>2778</w:t>
            </w:r>
            <w:r w:rsidR="00AB4414" w:rsidRPr="00D50F73">
              <w:rPr>
                <w:b/>
                <w:sz w:val="24"/>
                <w:szCs w:val="24"/>
                <w:lang w:val="uk-UA" w:eastAsia="uk-UA"/>
              </w:rPr>
              <w:t>0</w:t>
            </w:r>
            <w:r w:rsidRPr="00D50F73">
              <w:rPr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77E4" w:rsidRPr="00D50F73" w:rsidRDefault="00E0741D" w:rsidP="00EF77E4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D50F73">
              <w:rPr>
                <w:b/>
                <w:sz w:val="24"/>
                <w:szCs w:val="22"/>
                <w:lang w:val="uk-UA"/>
              </w:rPr>
              <w:t>69,3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77E4" w:rsidRPr="00D50F73" w:rsidRDefault="00E0741D" w:rsidP="00EF77E4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D50F73">
              <w:rPr>
                <w:b/>
                <w:sz w:val="24"/>
                <w:szCs w:val="22"/>
                <w:lang w:val="uk-UA"/>
              </w:rPr>
              <w:t>83,8</w:t>
            </w:r>
          </w:p>
        </w:tc>
      </w:tr>
      <w:tr w:rsidR="00EF77E4" w:rsidRPr="001560D9" w:rsidTr="00EF77E4">
        <w:trPr>
          <w:trHeight w:val="179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Н</w:t>
            </w:r>
            <w:r w:rsidRPr="001560D9">
              <w:rPr>
                <w:sz w:val="24"/>
                <w:szCs w:val="24"/>
                <w:lang w:val="uk-UA" w:eastAsia="uk-UA"/>
              </w:rPr>
              <w:t>авантажувально</w:t>
            </w:r>
            <w:proofErr w:type="spellEnd"/>
            <w:r w:rsidRPr="001560D9">
              <w:rPr>
                <w:sz w:val="24"/>
                <w:szCs w:val="24"/>
                <w:lang w:val="uk-UA" w:eastAsia="uk-UA"/>
              </w:rPr>
              <w:t>-розвантажувальні роботи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270630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342743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D50F73" w:rsidRDefault="00E0741D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 w:rsidRPr="00D50F73">
              <w:rPr>
                <w:sz w:val="24"/>
                <w:szCs w:val="24"/>
                <w:lang w:val="uk-UA" w:eastAsia="uk-UA"/>
              </w:rPr>
              <w:t>224991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D50F73" w:rsidRDefault="00E0741D" w:rsidP="00EF77E4">
            <w:pPr>
              <w:jc w:val="center"/>
              <w:rPr>
                <w:sz w:val="24"/>
                <w:lang w:val="uk-UA"/>
              </w:rPr>
            </w:pPr>
            <w:r w:rsidRPr="00D50F73">
              <w:rPr>
                <w:sz w:val="24"/>
                <w:lang w:val="uk-UA"/>
              </w:rPr>
              <w:t>65,6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D50F73" w:rsidRDefault="00E0741D" w:rsidP="00EF77E4">
            <w:pPr>
              <w:jc w:val="center"/>
              <w:rPr>
                <w:sz w:val="24"/>
                <w:lang w:val="uk-UA"/>
              </w:rPr>
            </w:pPr>
            <w:r w:rsidRPr="00D50F73">
              <w:rPr>
                <w:sz w:val="24"/>
                <w:lang w:val="uk-UA"/>
              </w:rPr>
              <w:t>83,1</w:t>
            </w:r>
          </w:p>
        </w:tc>
      </w:tr>
      <w:tr w:rsidR="00EF77E4" w:rsidRPr="001560D9" w:rsidTr="00EF77E4">
        <w:trPr>
          <w:trHeight w:val="271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Зберігання вантажів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18394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8997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D50F73" w:rsidRDefault="00E0741D" w:rsidP="00AB441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 w:rsidRPr="00D50F73">
              <w:rPr>
                <w:sz w:val="24"/>
                <w:szCs w:val="24"/>
                <w:lang w:val="uk-UA" w:eastAsia="uk-UA"/>
              </w:rPr>
              <w:t>210</w:t>
            </w:r>
            <w:r w:rsidR="00AB4414" w:rsidRPr="00D50F73">
              <w:rPr>
                <w:sz w:val="24"/>
                <w:szCs w:val="24"/>
                <w:lang w:val="uk-UA" w:eastAsia="uk-UA"/>
              </w:rPr>
              <w:t>3</w:t>
            </w:r>
            <w:r w:rsidRPr="00D50F73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D50F73" w:rsidRDefault="00E0741D" w:rsidP="00AB4414">
            <w:pPr>
              <w:jc w:val="center"/>
              <w:rPr>
                <w:sz w:val="24"/>
                <w:lang w:val="uk-UA"/>
              </w:rPr>
            </w:pPr>
            <w:r w:rsidRPr="00D50F73">
              <w:rPr>
                <w:sz w:val="24"/>
                <w:lang w:val="uk-UA"/>
              </w:rPr>
              <w:t>23</w:t>
            </w:r>
            <w:r w:rsidR="00AB4414" w:rsidRPr="00D50F73">
              <w:rPr>
                <w:sz w:val="24"/>
                <w:lang w:val="uk-UA"/>
              </w:rPr>
              <w:t>3</w:t>
            </w:r>
            <w:r w:rsidR="00764B5A" w:rsidRPr="00D50F73">
              <w:rPr>
                <w:sz w:val="24"/>
                <w:lang w:val="uk-UA"/>
              </w:rPr>
              <w:t>,</w:t>
            </w:r>
            <w:r w:rsidR="00AB4414" w:rsidRPr="00D50F73">
              <w:rPr>
                <w:sz w:val="24"/>
                <w:lang w:val="uk-UA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D50F73" w:rsidRDefault="00E0741D" w:rsidP="00AB4414">
            <w:pPr>
              <w:jc w:val="center"/>
              <w:rPr>
                <w:sz w:val="24"/>
                <w:lang w:val="uk-UA"/>
              </w:rPr>
            </w:pPr>
            <w:r w:rsidRPr="00D50F73">
              <w:rPr>
                <w:sz w:val="24"/>
                <w:lang w:val="uk-UA"/>
              </w:rPr>
              <w:t>114,</w:t>
            </w:r>
            <w:r w:rsidR="00AB4414" w:rsidRPr="00D50F73">
              <w:rPr>
                <w:sz w:val="24"/>
                <w:lang w:val="uk-UA"/>
              </w:rPr>
              <w:t>4</w:t>
            </w:r>
          </w:p>
        </w:tc>
      </w:tr>
      <w:tr w:rsidR="00EF77E4" w:rsidRPr="001560D9" w:rsidTr="00EF77E4">
        <w:trPr>
          <w:trHeight w:val="319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Додаткові послуги з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навантажувально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-розвантажувальних робіт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12070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13196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174BAA" w:rsidRDefault="00E0741D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8805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6A56E9" w:rsidRDefault="00E0741D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66,7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7C0074" w:rsidRDefault="00E0741D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72,9</w:t>
            </w:r>
          </w:p>
        </w:tc>
      </w:tr>
      <w:tr w:rsidR="00EF77E4" w:rsidRPr="001560D9" w:rsidTr="00EF77E4">
        <w:trPr>
          <w:trHeight w:val="85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Послуги портового флоту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24061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30364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C82565" w:rsidRDefault="00E0741D" w:rsidP="00C82565">
            <w:pPr>
              <w:ind w:right="34" w:firstLine="49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180</w:t>
            </w:r>
            <w:r w:rsidR="00764B5A">
              <w:rPr>
                <w:sz w:val="24"/>
                <w:szCs w:val="24"/>
                <w:lang w:val="uk-UA" w:eastAsia="uk-UA"/>
              </w:rPr>
              <w:t>1</w:t>
            </w:r>
            <w:r w:rsidR="00C82565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7C0074" w:rsidRDefault="00E0741D" w:rsidP="00764B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59,</w:t>
            </w:r>
            <w:r w:rsidR="00764B5A">
              <w:rPr>
                <w:sz w:val="24"/>
                <w:lang w:val="uk-UA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7C0074" w:rsidRDefault="00E0741D" w:rsidP="00764B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764B5A">
              <w:rPr>
                <w:sz w:val="24"/>
                <w:lang w:val="uk-UA"/>
              </w:rPr>
              <w:t>4,9</w:t>
            </w:r>
          </w:p>
        </w:tc>
      </w:tr>
      <w:tr w:rsidR="00EF77E4" w:rsidRPr="001560D9" w:rsidTr="00EF77E4">
        <w:trPr>
          <w:trHeight w:val="85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Інші збори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2359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2946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174BAA" w:rsidRDefault="00E0741D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1597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7C0074" w:rsidRDefault="00E0741D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54,2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7C0074" w:rsidRDefault="00E0741D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67,7</w:t>
            </w:r>
          </w:p>
        </w:tc>
      </w:tr>
      <w:tr w:rsidR="00EF77E4" w:rsidRPr="001560D9" w:rsidTr="00EF77E4">
        <w:trPr>
          <w:trHeight w:val="85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EF77E4" w:rsidRPr="001560D9" w:rsidRDefault="00EF77E4" w:rsidP="00EF77E4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174BAA" w:rsidRDefault="00EF77E4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4152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F77E4" w:rsidRPr="00CA6BC8" w:rsidRDefault="00335BCE" w:rsidP="00EF77E4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2504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F77E4" w:rsidRPr="00174BAA" w:rsidRDefault="00764B5A" w:rsidP="00764B5A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335</w:t>
            </w:r>
            <w:r w:rsidR="00C82565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F77E4" w:rsidRPr="007C0074" w:rsidRDefault="00E0741D" w:rsidP="00764B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764B5A">
              <w:rPr>
                <w:sz w:val="24"/>
                <w:lang w:val="uk-UA"/>
              </w:rPr>
              <w:t>4,1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F77E4" w:rsidRPr="007C0074" w:rsidRDefault="00E0741D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80,</w:t>
            </w:r>
            <w:r w:rsidR="00764B5A">
              <w:rPr>
                <w:sz w:val="24"/>
                <w:lang w:val="uk-UA"/>
              </w:rPr>
              <w:t>9</w:t>
            </w:r>
          </w:p>
        </w:tc>
      </w:tr>
    </w:tbl>
    <w:p w:rsidR="00EF77E4" w:rsidRPr="00E10947" w:rsidRDefault="00EF77E4" w:rsidP="00731A65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 w:eastAsia="uk-UA"/>
        </w:rPr>
      </w:pPr>
      <w:r w:rsidRPr="008B2150">
        <w:rPr>
          <w:sz w:val="26"/>
          <w:szCs w:val="26"/>
          <w:lang w:val="uk-UA" w:eastAsia="uk-UA"/>
        </w:rPr>
        <w:t>Чистий дохід</w:t>
      </w:r>
      <w:r w:rsidRPr="001560D9">
        <w:rPr>
          <w:sz w:val="26"/>
          <w:szCs w:val="26"/>
          <w:lang w:val="uk-UA" w:eastAsia="uk-UA"/>
        </w:rPr>
        <w:t xml:space="preserve"> від реалізації продукції за </w:t>
      </w:r>
      <w:r>
        <w:rPr>
          <w:sz w:val="26"/>
          <w:szCs w:val="26"/>
          <w:lang w:val="uk-UA" w:eastAsia="uk-UA"/>
        </w:rPr>
        <w:t>звітний період</w:t>
      </w:r>
      <w:r w:rsidRPr="001560D9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 xml:space="preserve">зменшився проти плану та проти звіту за відповідний період минулого року на </w:t>
      </w:r>
      <w:r w:rsidR="00E57D14">
        <w:rPr>
          <w:sz w:val="26"/>
          <w:szCs w:val="26"/>
          <w:lang w:val="uk-UA" w:eastAsia="uk-UA"/>
        </w:rPr>
        <w:t>30,7</w:t>
      </w:r>
      <w:r>
        <w:rPr>
          <w:sz w:val="26"/>
          <w:szCs w:val="26"/>
          <w:lang w:val="uk-UA" w:eastAsia="uk-UA"/>
        </w:rPr>
        <w:t xml:space="preserve"> % та </w:t>
      </w:r>
      <w:r w:rsidR="00E57D14">
        <w:rPr>
          <w:sz w:val="26"/>
          <w:szCs w:val="26"/>
          <w:lang w:val="uk-UA" w:eastAsia="uk-UA"/>
        </w:rPr>
        <w:t>16,2</w:t>
      </w:r>
      <w:r>
        <w:rPr>
          <w:sz w:val="26"/>
          <w:szCs w:val="26"/>
          <w:lang w:val="uk-UA" w:eastAsia="uk-UA"/>
        </w:rPr>
        <w:t xml:space="preserve"> % внаслідок зниження </w:t>
      </w:r>
      <w:r>
        <w:rPr>
          <w:sz w:val="26"/>
          <w:szCs w:val="26"/>
          <w:lang w:val="uk-UA" w:eastAsia="uk-UA"/>
        </w:rPr>
        <w:lastRenderedPageBreak/>
        <w:t xml:space="preserve">обсягів вантажопереробки на </w:t>
      </w:r>
      <w:r w:rsidR="00E57D14" w:rsidRPr="00E57D14">
        <w:rPr>
          <w:sz w:val="26"/>
          <w:szCs w:val="26"/>
          <w:lang w:val="uk-UA" w:eastAsia="uk-UA"/>
        </w:rPr>
        <w:t xml:space="preserve">36,3 % та 26,0 % </w:t>
      </w:r>
      <w:r w:rsidR="00E57D14">
        <w:rPr>
          <w:sz w:val="26"/>
          <w:szCs w:val="26"/>
          <w:lang w:val="uk-UA" w:eastAsia="uk-UA"/>
        </w:rPr>
        <w:t>в</w:t>
      </w:r>
      <w:r>
        <w:rPr>
          <w:sz w:val="26"/>
          <w:szCs w:val="26"/>
          <w:lang w:val="uk-UA" w:eastAsia="uk-UA"/>
        </w:rPr>
        <w:t>ідповідно. Н</w:t>
      </w:r>
      <w:r w:rsidRPr="00E10947">
        <w:rPr>
          <w:sz w:val="26"/>
          <w:szCs w:val="26"/>
          <w:lang w:val="uk-UA" w:eastAsia="uk-UA"/>
        </w:rPr>
        <w:t>а зменшення чистого доходу</w:t>
      </w:r>
      <w:r>
        <w:rPr>
          <w:sz w:val="26"/>
          <w:szCs w:val="26"/>
          <w:lang w:val="uk-UA" w:eastAsia="uk-UA"/>
        </w:rPr>
        <w:t xml:space="preserve"> також</w:t>
      </w:r>
      <w:r w:rsidRPr="00E10947">
        <w:rPr>
          <w:sz w:val="26"/>
          <w:szCs w:val="26"/>
          <w:lang w:val="uk-UA" w:eastAsia="uk-UA"/>
        </w:rPr>
        <w:t xml:space="preserve"> вплинуло зменшення курсу долара США проти запланованого</w:t>
      </w:r>
      <w:r>
        <w:rPr>
          <w:sz w:val="26"/>
          <w:szCs w:val="26"/>
          <w:lang w:val="uk-UA" w:eastAsia="uk-UA"/>
        </w:rPr>
        <w:t xml:space="preserve"> </w:t>
      </w:r>
      <w:r w:rsidRPr="003A05C5">
        <w:rPr>
          <w:sz w:val="26"/>
          <w:szCs w:val="26"/>
          <w:lang w:val="uk-UA" w:eastAsia="uk-UA"/>
        </w:rPr>
        <w:t xml:space="preserve">(план – 30,5 грн/долар США, факт – </w:t>
      </w:r>
      <w:r w:rsidRPr="000B42C2">
        <w:rPr>
          <w:sz w:val="26"/>
          <w:szCs w:val="26"/>
          <w:lang w:val="uk-UA" w:eastAsia="uk-UA"/>
        </w:rPr>
        <w:t>25,</w:t>
      </w:r>
      <w:r w:rsidR="000B42C2" w:rsidRPr="000B42C2">
        <w:rPr>
          <w:sz w:val="26"/>
          <w:szCs w:val="26"/>
          <w:lang w:val="uk-UA" w:eastAsia="uk-UA"/>
        </w:rPr>
        <w:t>85</w:t>
      </w:r>
      <w:r w:rsidRPr="000B42C2">
        <w:rPr>
          <w:sz w:val="26"/>
          <w:szCs w:val="26"/>
          <w:lang w:val="uk-UA" w:eastAsia="uk-UA"/>
        </w:rPr>
        <w:t xml:space="preserve"> грн</w:t>
      </w:r>
      <w:r w:rsidRPr="003A05C5">
        <w:rPr>
          <w:sz w:val="26"/>
          <w:szCs w:val="26"/>
          <w:lang w:val="uk-UA" w:eastAsia="uk-UA"/>
        </w:rPr>
        <w:t>/долар США)</w:t>
      </w:r>
      <w:r w:rsidR="00731A65">
        <w:rPr>
          <w:sz w:val="26"/>
          <w:szCs w:val="26"/>
          <w:lang w:val="uk-UA" w:eastAsia="uk-UA"/>
        </w:rPr>
        <w:t xml:space="preserve">. </w:t>
      </w:r>
      <w:r>
        <w:rPr>
          <w:sz w:val="26"/>
          <w:szCs w:val="26"/>
          <w:lang w:val="uk-UA" w:eastAsia="uk-UA"/>
        </w:rPr>
        <w:t xml:space="preserve">На зменшення переробки сипучих вантажів і, відповідно, на чистий дохід </w:t>
      </w:r>
      <w:r w:rsidRPr="003A05C5">
        <w:rPr>
          <w:sz w:val="26"/>
          <w:szCs w:val="26"/>
          <w:lang w:val="uk-UA" w:eastAsia="uk-UA"/>
        </w:rPr>
        <w:t>від реалізації продукції</w:t>
      </w:r>
      <w:r>
        <w:rPr>
          <w:sz w:val="26"/>
          <w:szCs w:val="26"/>
          <w:lang w:val="uk-UA" w:eastAsia="uk-UA"/>
        </w:rPr>
        <w:t xml:space="preserve"> також вплинуло зменшення площі </w:t>
      </w:r>
      <w:r w:rsidRPr="003A05C5">
        <w:rPr>
          <w:sz w:val="26"/>
          <w:szCs w:val="26"/>
          <w:lang w:val="uk-UA" w:eastAsia="uk-UA"/>
        </w:rPr>
        <w:t>нерухомого майна, а саме критих складів</w:t>
      </w:r>
      <w:r>
        <w:rPr>
          <w:sz w:val="26"/>
          <w:szCs w:val="26"/>
          <w:lang w:val="uk-UA" w:eastAsia="uk-UA"/>
        </w:rPr>
        <w:t>, в яких зберігались зернові та харчові вантажі, внаслідок</w:t>
      </w:r>
      <w:r w:rsidRPr="009364B3">
        <w:rPr>
          <w:sz w:val="26"/>
          <w:szCs w:val="26"/>
          <w:lang w:val="uk-UA" w:eastAsia="uk-UA"/>
        </w:rPr>
        <w:t xml:space="preserve"> безоплатної передачі нерухомого майна на баланс ДП "</w:t>
      </w:r>
      <w:proofErr w:type="spellStart"/>
      <w:r w:rsidRPr="009364B3">
        <w:rPr>
          <w:sz w:val="26"/>
          <w:szCs w:val="26"/>
          <w:lang w:val="uk-UA" w:eastAsia="uk-UA"/>
        </w:rPr>
        <w:t>Укроборонсервіс</w:t>
      </w:r>
      <w:proofErr w:type="spellEnd"/>
      <w:r w:rsidRPr="009364B3">
        <w:rPr>
          <w:sz w:val="26"/>
          <w:szCs w:val="26"/>
          <w:lang w:val="uk-UA" w:eastAsia="uk-UA"/>
        </w:rPr>
        <w:t>" відповідно до розпорядження КМУ від 20.02.2019 № 87-р.</w:t>
      </w:r>
    </w:p>
    <w:p w:rsidR="00EF77E4" w:rsidRPr="00AA49D9" w:rsidRDefault="00EF77E4" w:rsidP="00EF77E4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У структурі доходів основну питому </w:t>
      </w:r>
      <w:r w:rsidRPr="00B41059">
        <w:rPr>
          <w:sz w:val="26"/>
          <w:szCs w:val="26"/>
          <w:lang w:val="uk-UA"/>
        </w:rPr>
        <w:t xml:space="preserve">вагу займають доходи з робіт, пов’язаних з обробленням вантажів </w:t>
      </w:r>
      <w:r>
        <w:rPr>
          <w:sz w:val="26"/>
          <w:szCs w:val="26"/>
          <w:lang w:val="uk-UA"/>
        </w:rPr>
        <w:t xml:space="preserve">– </w:t>
      </w:r>
      <w:r w:rsidR="00731A65">
        <w:rPr>
          <w:sz w:val="26"/>
          <w:szCs w:val="26"/>
          <w:lang w:val="uk-UA"/>
        </w:rPr>
        <w:t>91,7</w:t>
      </w:r>
      <w:r w:rsidRPr="0074613C">
        <w:rPr>
          <w:sz w:val="26"/>
          <w:szCs w:val="26"/>
          <w:lang w:val="uk-UA"/>
        </w:rPr>
        <w:t xml:space="preserve"> %,</w:t>
      </w:r>
      <w:r w:rsidRPr="003733C8">
        <w:rPr>
          <w:color w:val="FF0000"/>
          <w:sz w:val="26"/>
          <w:szCs w:val="26"/>
          <w:lang w:val="uk-UA"/>
        </w:rPr>
        <w:t xml:space="preserve"> </w:t>
      </w:r>
      <w:r w:rsidRPr="00B41059">
        <w:rPr>
          <w:sz w:val="26"/>
          <w:szCs w:val="26"/>
          <w:lang w:val="uk-UA"/>
        </w:rPr>
        <w:t xml:space="preserve">доходи від роботи портового флоту – </w:t>
      </w:r>
      <w:r w:rsidR="00731A65">
        <w:rPr>
          <w:sz w:val="26"/>
          <w:szCs w:val="26"/>
          <w:lang w:val="uk-UA"/>
        </w:rPr>
        <w:t>6,5</w:t>
      </w:r>
      <w:r>
        <w:rPr>
          <w:sz w:val="26"/>
          <w:szCs w:val="26"/>
          <w:lang w:val="uk-UA"/>
        </w:rPr>
        <w:t xml:space="preserve"> </w:t>
      </w:r>
      <w:r w:rsidRPr="0074613C">
        <w:rPr>
          <w:sz w:val="26"/>
          <w:szCs w:val="26"/>
          <w:lang w:val="uk-UA"/>
        </w:rPr>
        <w:t>%.</w:t>
      </w:r>
    </w:p>
    <w:p w:rsidR="00EF77E4" w:rsidRPr="000B42C2" w:rsidRDefault="00EF77E4" w:rsidP="00EF77E4">
      <w:pPr>
        <w:pStyle w:val="ae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43143">
        <w:rPr>
          <w:sz w:val="26"/>
          <w:szCs w:val="26"/>
          <w:lang w:val="uk-UA"/>
        </w:rPr>
        <w:t xml:space="preserve">Інші операційні доходи за звітний період зросли проти плану на </w:t>
      </w:r>
      <w:r w:rsidR="00B52FBD" w:rsidRPr="00043143">
        <w:rPr>
          <w:sz w:val="26"/>
          <w:szCs w:val="26"/>
          <w:lang w:val="uk-UA"/>
        </w:rPr>
        <w:t>60,2</w:t>
      </w:r>
      <w:r w:rsidRPr="00043143">
        <w:rPr>
          <w:sz w:val="26"/>
          <w:szCs w:val="26"/>
          <w:lang w:val="uk-UA"/>
        </w:rPr>
        <w:t xml:space="preserve"> % і склали </w:t>
      </w:r>
      <w:r w:rsidR="00B52FBD" w:rsidRPr="00043143">
        <w:rPr>
          <w:sz w:val="26"/>
          <w:szCs w:val="26"/>
          <w:lang w:val="uk-UA"/>
        </w:rPr>
        <w:t>5 840</w:t>
      </w:r>
      <w:r w:rsidRPr="00043143">
        <w:rPr>
          <w:sz w:val="26"/>
          <w:szCs w:val="26"/>
          <w:lang w:val="uk-UA"/>
        </w:rPr>
        <w:t> тис. грн за рахунок відшкодування витрат по сплаті земельного податку</w:t>
      </w:r>
      <w:r w:rsidR="00043143" w:rsidRPr="00043143">
        <w:rPr>
          <w:sz w:val="26"/>
          <w:szCs w:val="26"/>
          <w:lang w:val="uk-UA"/>
        </w:rPr>
        <w:t>,</w:t>
      </w:r>
      <w:r w:rsidRPr="00043143">
        <w:rPr>
          <w:sz w:val="26"/>
          <w:szCs w:val="26"/>
          <w:lang w:val="uk-UA"/>
        </w:rPr>
        <w:t xml:space="preserve"> податку на нерухоме майно, відмінне від земельної ділянки </w:t>
      </w:r>
      <w:r w:rsidR="00043143" w:rsidRPr="00043143">
        <w:rPr>
          <w:sz w:val="26"/>
          <w:szCs w:val="26"/>
          <w:lang w:val="uk-UA"/>
        </w:rPr>
        <w:t xml:space="preserve">та витрат на електроенергію </w:t>
      </w:r>
      <w:r w:rsidRPr="00043143">
        <w:rPr>
          <w:sz w:val="26"/>
          <w:szCs w:val="26"/>
          <w:lang w:val="uk-UA"/>
        </w:rPr>
        <w:t>ДП "</w:t>
      </w:r>
      <w:proofErr w:type="spellStart"/>
      <w:r w:rsidRPr="00043143">
        <w:rPr>
          <w:sz w:val="26"/>
          <w:szCs w:val="26"/>
          <w:lang w:val="uk-UA"/>
        </w:rPr>
        <w:t>Укроборонсервіс</w:t>
      </w:r>
      <w:proofErr w:type="spellEnd"/>
      <w:r w:rsidRPr="00043143">
        <w:rPr>
          <w:sz w:val="26"/>
          <w:szCs w:val="26"/>
          <w:lang w:val="uk-UA"/>
        </w:rPr>
        <w:t>".</w:t>
      </w:r>
      <w:r w:rsidR="00043143">
        <w:rPr>
          <w:sz w:val="26"/>
          <w:szCs w:val="26"/>
          <w:lang w:val="uk-UA"/>
        </w:rPr>
        <w:t xml:space="preserve"> Також </w:t>
      </w:r>
      <w:r w:rsidR="00D50F73">
        <w:rPr>
          <w:sz w:val="26"/>
          <w:szCs w:val="26"/>
          <w:lang w:val="uk-UA"/>
        </w:rPr>
        <w:t xml:space="preserve">в 3 рази </w:t>
      </w:r>
      <w:r w:rsidR="00043143">
        <w:rPr>
          <w:sz w:val="26"/>
          <w:szCs w:val="26"/>
          <w:lang w:val="uk-UA"/>
        </w:rPr>
        <w:t>зросли доходи від реалізації оборотних активів оскільки в 1 кварталі 2019 року був реалізований металобрухт за планом списання 2018 року.</w:t>
      </w:r>
    </w:p>
    <w:p w:rsidR="00EF77E4" w:rsidRPr="004B1951" w:rsidRDefault="00EF77E4" w:rsidP="00EF77E4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Інші доходи за звітній період склали </w:t>
      </w:r>
      <w:r w:rsidR="00B52FBD">
        <w:rPr>
          <w:sz w:val="26"/>
          <w:szCs w:val="26"/>
          <w:lang w:val="uk-UA"/>
        </w:rPr>
        <w:t>3 694</w:t>
      </w:r>
      <w:r w:rsidRPr="000B42C2">
        <w:rPr>
          <w:sz w:val="26"/>
          <w:szCs w:val="26"/>
          <w:lang w:val="uk-UA"/>
        </w:rPr>
        <w:t xml:space="preserve"> тис. грн</w:t>
      </w:r>
      <w:r>
        <w:rPr>
          <w:sz w:val="26"/>
          <w:szCs w:val="26"/>
          <w:lang w:val="uk-UA"/>
        </w:rPr>
        <w:t xml:space="preserve">, а саме: дохід від безоплатно отриманих активів </w:t>
      </w:r>
      <w:r w:rsidRPr="004B1951">
        <w:rPr>
          <w:sz w:val="26"/>
          <w:szCs w:val="26"/>
          <w:lang w:val="uk-UA"/>
        </w:rPr>
        <w:t>(нарахована амортизація)</w:t>
      </w:r>
      <w:r>
        <w:rPr>
          <w:sz w:val="26"/>
          <w:szCs w:val="26"/>
          <w:lang w:val="uk-UA"/>
        </w:rPr>
        <w:t xml:space="preserve"> – </w:t>
      </w:r>
      <w:r w:rsidR="00B52FBD">
        <w:rPr>
          <w:sz w:val="26"/>
          <w:szCs w:val="26"/>
          <w:lang w:val="uk-UA"/>
        </w:rPr>
        <w:t>3 334</w:t>
      </w:r>
      <w:r>
        <w:rPr>
          <w:sz w:val="26"/>
          <w:szCs w:val="26"/>
          <w:lang w:val="uk-UA"/>
        </w:rPr>
        <w:t xml:space="preserve"> </w:t>
      </w:r>
      <w:r w:rsidRPr="004B1951">
        <w:rPr>
          <w:sz w:val="26"/>
          <w:szCs w:val="26"/>
          <w:lang w:val="uk-UA"/>
        </w:rPr>
        <w:t>тис.</w:t>
      </w:r>
      <w:r>
        <w:rPr>
          <w:sz w:val="26"/>
          <w:szCs w:val="26"/>
          <w:lang w:val="uk-UA"/>
        </w:rPr>
        <w:t xml:space="preserve"> грн</w:t>
      </w:r>
      <w:r w:rsidRPr="004B1951">
        <w:rPr>
          <w:sz w:val="26"/>
          <w:szCs w:val="26"/>
          <w:lang w:val="uk-UA"/>
        </w:rPr>
        <w:t xml:space="preserve">; дохід від оприбуткування металобрухту </w:t>
      </w:r>
      <w:r>
        <w:rPr>
          <w:sz w:val="26"/>
          <w:szCs w:val="26"/>
          <w:lang w:val="uk-UA"/>
        </w:rPr>
        <w:t>–</w:t>
      </w:r>
      <w:r w:rsidRPr="004B1951">
        <w:rPr>
          <w:sz w:val="26"/>
          <w:szCs w:val="26"/>
          <w:lang w:val="uk-UA"/>
        </w:rPr>
        <w:t xml:space="preserve"> </w:t>
      </w:r>
      <w:r w:rsidR="00B52FBD">
        <w:rPr>
          <w:sz w:val="26"/>
          <w:szCs w:val="26"/>
          <w:lang w:val="uk-UA"/>
        </w:rPr>
        <w:t>360</w:t>
      </w:r>
      <w:r>
        <w:rPr>
          <w:sz w:val="26"/>
          <w:szCs w:val="26"/>
          <w:lang w:val="uk-UA"/>
        </w:rPr>
        <w:t xml:space="preserve"> </w:t>
      </w:r>
      <w:r w:rsidRPr="004B1951">
        <w:rPr>
          <w:sz w:val="26"/>
          <w:szCs w:val="26"/>
          <w:lang w:val="uk-UA"/>
        </w:rPr>
        <w:t>тис. грн.</w:t>
      </w:r>
    </w:p>
    <w:p w:rsidR="00EF77E4" w:rsidRPr="001560D9" w:rsidRDefault="00EF77E4" w:rsidP="00EF77E4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823D43">
        <w:rPr>
          <w:sz w:val="26"/>
          <w:szCs w:val="26"/>
          <w:lang w:val="uk-UA"/>
        </w:rPr>
        <w:t>Цінова політика</w:t>
      </w:r>
      <w:r w:rsidRPr="001560D9">
        <w:rPr>
          <w:sz w:val="26"/>
          <w:szCs w:val="26"/>
          <w:lang w:val="uk-UA"/>
        </w:rPr>
        <w:t xml:space="preserve"> підприємства ґрунтується на</w:t>
      </w:r>
      <w:r>
        <w:rPr>
          <w:sz w:val="26"/>
          <w:szCs w:val="26"/>
          <w:lang w:val="uk-UA"/>
        </w:rPr>
        <w:t xml:space="preserve"> основі </w:t>
      </w:r>
      <w:r w:rsidRPr="001560D9">
        <w:rPr>
          <w:sz w:val="26"/>
          <w:szCs w:val="26"/>
          <w:lang w:val="uk-UA"/>
        </w:rPr>
        <w:t xml:space="preserve">ст. 21 Закону України 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Про морські порти України</w:t>
      </w:r>
      <w:r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, згідно якої, послуги, що надаються у морському порту, крім спеціалізованих, є вільними та визначаються договором між суб’єктом господарювання, який надає відповідні послуги, та їх замовником.</w:t>
      </w:r>
    </w:p>
    <w:p w:rsidR="00EF77E4" w:rsidRDefault="00EF77E4" w:rsidP="00EF77E4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З 15.07.2014 р. за вільними тарифами стягується плата за комплекс робіт</w:t>
      </w:r>
      <w:r>
        <w:rPr>
          <w:sz w:val="26"/>
          <w:szCs w:val="26"/>
          <w:lang w:val="uk-UA"/>
        </w:rPr>
        <w:t>,</w:t>
      </w:r>
      <w:r w:rsidRPr="001560D9">
        <w:rPr>
          <w:sz w:val="26"/>
          <w:szCs w:val="26"/>
          <w:lang w:val="uk-UA"/>
        </w:rPr>
        <w:t xml:space="preserve"> пов’язаних з обробленням зовнішньоторг</w:t>
      </w:r>
      <w:r>
        <w:rPr>
          <w:sz w:val="26"/>
          <w:szCs w:val="26"/>
          <w:lang w:val="uk-UA"/>
        </w:rPr>
        <w:t>о</w:t>
      </w:r>
      <w:r w:rsidRPr="001560D9">
        <w:rPr>
          <w:sz w:val="26"/>
          <w:szCs w:val="26"/>
          <w:lang w:val="uk-UA"/>
        </w:rPr>
        <w:t>вельних, транзитних, каботажних вантажів, зберіганням вантажів, збори і плата за послуги, що надаються суднам. Фінансовий план</w:t>
      </w:r>
      <w:r>
        <w:rPr>
          <w:sz w:val="26"/>
          <w:szCs w:val="26"/>
          <w:lang w:val="uk-UA"/>
        </w:rPr>
        <w:t xml:space="preserve"> на 2019 р.</w:t>
      </w:r>
      <w:r w:rsidRPr="001560D9">
        <w:rPr>
          <w:sz w:val="26"/>
          <w:szCs w:val="26"/>
          <w:lang w:val="uk-UA"/>
        </w:rPr>
        <w:t xml:space="preserve"> був складений за курсом долара США – </w:t>
      </w:r>
      <w:r>
        <w:rPr>
          <w:sz w:val="26"/>
          <w:szCs w:val="26"/>
          <w:lang w:val="uk-UA"/>
        </w:rPr>
        <w:t>30,5</w:t>
      </w:r>
      <w:r w:rsidRPr="001560D9">
        <w:rPr>
          <w:sz w:val="26"/>
          <w:szCs w:val="26"/>
          <w:lang w:val="uk-UA"/>
        </w:rPr>
        <w:t xml:space="preserve"> грн.</w:t>
      </w:r>
    </w:p>
    <w:p w:rsidR="005070DD" w:rsidRDefault="005070DD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C52BD3" w:rsidRPr="001560D9" w:rsidRDefault="00D3287A" w:rsidP="00D45D0D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spacing w:line="360" w:lineRule="exact"/>
        <w:ind w:left="0" w:firstLine="0"/>
        <w:rPr>
          <w:b/>
          <w:sz w:val="28"/>
          <w:szCs w:val="26"/>
          <w:lang w:val="uk-UA"/>
        </w:rPr>
      </w:pPr>
      <w:r w:rsidRPr="001560D9">
        <w:rPr>
          <w:b/>
          <w:sz w:val="28"/>
          <w:szCs w:val="26"/>
          <w:lang w:val="uk-UA"/>
        </w:rPr>
        <w:t xml:space="preserve">Формування </w:t>
      </w:r>
      <w:r w:rsidR="005E42B2" w:rsidRPr="001560D9">
        <w:rPr>
          <w:b/>
          <w:sz w:val="28"/>
          <w:szCs w:val="26"/>
          <w:lang w:val="uk-UA"/>
        </w:rPr>
        <w:t>витратної</w:t>
      </w:r>
      <w:r w:rsidRPr="001560D9">
        <w:rPr>
          <w:b/>
          <w:sz w:val="28"/>
          <w:szCs w:val="26"/>
          <w:lang w:val="uk-UA"/>
        </w:rPr>
        <w:t xml:space="preserve"> частини звіту про виконання фінансового плану</w:t>
      </w:r>
    </w:p>
    <w:p w:rsidR="007D46AD" w:rsidRPr="000D4680" w:rsidRDefault="007D46AD" w:rsidP="005B5EAA">
      <w:pPr>
        <w:pStyle w:val="a7"/>
        <w:tabs>
          <w:tab w:val="left" w:pos="284"/>
        </w:tabs>
        <w:ind w:left="357" w:right="284" w:firstLine="567"/>
        <w:jc w:val="both"/>
        <w:rPr>
          <w:sz w:val="28"/>
          <w:szCs w:val="26"/>
          <w:lang w:val="uk-UA"/>
        </w:rPr>
      </w:pPr>
    </w:p>
    <w:p w:rsidR="002B4F40" w:rsidRDefault="00740059" w:rsidP="002B4F40">
      <w:pPr>
        <w:pStyle w:val="a7"/>
        <w:tabs>
          <w:tab w:val="left" w:pos="9781"/>
        </w:tabs>
        <w:spacing w:line="360" w:lineRule="exact"/>
        <w:ind w:left="0" w:firstLine="567"/>
        <w:rPr>
          <w:sz w:val="26"/>
          <w:szCs w:val="26"/>
          <w:lang w:val="uk-UA" w:eastAsia="uk-UA"/>
        </w:rPr>
      </w:pPr>
      <w:r w:rsidRPr="001560D9">
        <w:rPr>
          <w:sz w:val="26"/>
          <w:szCs w:val="26"/>
          <w:lang w:val="uk-UA" w:eastAsia="uk-UA"/>
        </w:rPr>
        <w:t>Операційні витрати</w:t>
      </w:r>
    </w:p>
    <w:p w:rsidR="00615F2F" w:rsidRPr="001560D9" w:rsidRDefault="002D2CF0" w:rsidP="00D45D0D">
      <w:pPr>
        <w:pStyle w:val="a7"/>
        <w:tabs>
          <w:tab w:val="left" w:pos="9781"/>
        </w:tabs>
        <w:spacing w:line="360" w:lineRule="exact"/>
        <w:ind w:left="0" w:firstLine="567"/>
        <w:jc w:val="right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 w:eastAsia="uk-UA"/>
        </w:rPr>
        <w:t xml:space="preserve">     </w:t>
      </w:r>
      <w:r w:rsidR="00E65C55">
        <w:rPr>
          <w:sz w:val="26"/>
          <w:szCs w:val="26"/>
          <w:lang w:val="uk-UA" w:eastAsia="uk-UA"/>
        </w:rPr>
        <w:t xml:space="preserve">      </w:t>
      </w:r>
      <w:r w:rsidRPr="001560D9">
        <w:rPr>
          <w:sz w:val="26"/>
          <w:szCs w:val="26"/>
          <w:lang w:val="uk-UA" w:eastAsia="uk-UA"/>
        </w:rPr>
        <w:t xml:space="preserve">                </w:t>
      </w:r>
      <w:r w:rsidRPr="001560D9">
        <w:rPr>
          <w:b/>
          <w:bCs/>
          <w:sz w:val="26"/>
          <w:szCs w:val="26"/>
          <w:lang w:val="uk-UA" w:eastAsia="uk-UA"/>
        </w:rPr>
        <w:t xml:space="preserve"> </w:t>
      </w:r>
      <w:r w:rsidR="00615F2F" w:rsidRPr="001560D9">
        <w:rPr>
          <w:bCs/>
          <w:sz w:val="26"/>
          <w:szCs w:val="26"/>
          <w:lang w:val="uk-UA" w:eastAsia="uk-UA"/>
        </w:rPr>
        <w:t>(тис. грн)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1113"/>
        <w:gridCol w:w="1155"/>
        <w:gridCol w:w="1418"/>
      </w:tblGrid>
      <w:tr w:rsidR="00FF4B6A" w:rsidRPr="00465838" w:rsidTr="00EB565B">
        <w:trPr>
          <w:trHeight w:val="8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jc w:val="center"/>
              <w:rPr>
                <w:sz w:val="22"/>
                <w:szCs w:val="22"/>
                <w:lang w:val="uk-UA"/>
              </w:rPr>
            </w:pPr>
            <w:r w:rsidRPr="00465838">
              <w:rPr>
                <w:sz w:val="22"/>
                <w:szCs w:val="22"/>
                <w:lang w:val="uk-UA"/>
              </w:rPr>
              <w:t>Статті витрат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B6A" w:rsidRPr="00465838" w:rsidRDefault="00FF4B6A" w:rsidP="00FF4B6A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4B6A" w:rsidRPr="00465838" w:rsidRDefault="00FF4B6A" w:rsidP="00FF4B6A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>
              <w:rPr>
                <w:sz w:val="24"/>
                <w:lang w:val="uk-UA"/>
              </w:rPr>
              <w:t>2019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B6A" w:rsidRPr="00465838" w:rsidRDefault="00FF4B6A" w:rsidP="00FF4B6A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B6A" w:rsidRPr="00465838" w:rsidRDefault="00FF4B6A" w:rsidP="00FF4B6A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B6A" w:rsidRPr="00465838" w:rsidRDefault="00FF4B6A" w:rsidP="00FF4B6A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р.  в %% до 201</w:t>
            </w:r>
            <w:r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 xml:space="preserve"> р.</w:t>
            </w:r>
          </w:p>
        </w:tc>
      </w:tr>
      <w:tr w:rsidR="00FF4B6A" w:rsidRPr="00465838" w:rsidTr="009407AD">
        <w:trPr>
          <w:trHeight w:val="195"/>
        </w:trPr>
        <w:tc>
          <w:tcPr>
            <w:tcW w:w="42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Матеріальні витрати, усього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FF4B6A" w:rsidRPr="00465838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29157</w:t>
            </w:r>
          </w:p>
        </w:tc>
        <w:tc>
          <w:tcPr>
            <w:tcW w:w="1134" w:type="dxa"/>
            <w:vMerge w:val="restart"/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37451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</w:tcPr>
          <w:p w:rsidR="00FF4B6A" w:rsidRPr="00465838" w:rsidRDefault="00D50F73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31702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</w:tcPr>
          <w:p w:rsidR="00FF4B6A" w:rsidRPr="00465838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FF4B6A" w:rsidRPr="00465838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108,7</w:t>
            </w:r>
          </w:p>
        </w:tc>
      </w:tr>
      <w:tr w:rsidR="00FF4B6A" w:rsidRPr="00465838" w:rsidTr="009407AD">
        <w:trPr>
          <w:trHeight w:val="129"/>
        </w:trPr>
        <w:tc>
          <w:tcPr>
            <w:tcW w:w="42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FF4B6A" w:rsidRPr="00465838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F4B6A" w:rsidRPr="00465838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  <w:shd w:val="clear" w:color="auto" w:fill="auto"/>
            <w:noWrap/>
            <w:vAlign w:val="center"/>
          </w:tcPr>
          <w:p w:rsidR="00FF4B6A" w:rsidRPr="00B31447" w:rsidRDefault="00FF4B6A" w:rsidP="00FF4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</w:tcPr>
          <w:p w:rsidR="00FF4B6A" w:rsidRPr="00343D24" w:rsidRDefault="00FF4B6A" w:rsidP="00FF4B6A">
            <w:pPr>
              <w:jc w:val="center"/>
              <w:rPr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FF4B6A" w:rsidRPr="00343D24" w:rsidRDefault="00FF4B6A" w:rsidP="00FF4B6A">
            <w:pPr>
              <w:jc w:val="center"/>
              <w:rPr>
                <w:color w:val="000000"/>
                <w:sz w:val="24"/>
                <w:szCs w:val="22"/>
                <w:lang w:val="en-US"/>
              </w:rPr>
            </w:pPr>
          </w:p>
        </w:tc>
      </w:tr>
      <w:tr w:rsidR="00FF4B6A" w:rsidRPr="00465838" w:rsidTr="009407AD">
        <w:trPr>
          <w:trHeight w:val="503"/>
        </w:trPr>
        <w:tc>
          <w:tcPr>
            <w:tcW w:w="4219" w:type="dxa"/>
            <w:shd w:val="clear" w:color="auto" w:fill="auto"/>
            <w:noWrap/>
            <w:vAlign w:val="center"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- витрати на сировину і основні матеріали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11847</w:t>
            </w:r>
          </w:p>
        </w:tc>
        <w:tc>
          <w:tcPr>
            <w:tcW w:w="1134" w:type="dxa"/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13442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12013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101,4</w:t>
            </w:r>
          </w:p>
        </w:tc>
      </w:tr>
      <w:tr w:rsidR="00FF4B6A" w:rsidRPr="00465838" w:rsidTr="009407AD">
        <w:trPr>
          <w:trHeight w:val="327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- витрати на паливо та електроенергію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17310</w:t>
            </w:r>
          </w:p>
        </w:tc>
        <w:tc>
          <w:tcPr>
            <w:tcW w:w="1134" w:type="dxa"/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24009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19689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113,7</w:t>
            </w:r>
          </w:p>
        </w:tc>
      </w:tr>
      <w:tr w:rsidR="00FF4B6A" w:rsidRPr="00465838" w:rsidTr="000D4680">
        <w:trPr>
          <w:trHeight w:val="337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122879</w:t>
            </w:r>
          </w:p>
        </w:tc>
        <w:tc>
          <w:tcPr>
            <w:tcW w:w="1134" w:type="dxa"/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146609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119379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97,2</w:t>
            </w:r>
          </w:p>
        </w:tc>
      </w:tr>
      <w:tr w:rsidR="00FF4B6A" w:rsidRPr="00465838" w:rsidTr="000D4680">
        <w:trPr>
          <w:trHeight w:val="329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32130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24916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77,5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94,0</w:t>
            </w:r>
          </w:p>
        </w:tc>
      </w:tr>
      <w:tr w:rsidR="00FF4B6A" w:rsidRPr="00465838" w:rsidTr="000D4680">
        <w:trPr>
          <w:trHeight w:val="335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38840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40998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102,9</w:t>
            </w:r>
          </w:p>
        </w:tc>
      </w:tr>
      <w:tr w:rsidR="00FF4B6A" w:rsidRPr="00465838" w:rsidTr="000D4680">
        <w:trPr>
          <w:trHeight w:val="295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66131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77016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4680" w:rsidRPr="0052011D" w:rsidRDefault="000D4680" w:rsidP="000D46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59064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76,7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89,3</w:t>
            </w:r>
          </w:p>
        </w:tc>
      </w:tr>
      <w:tr w:rsidR="00FF4B6A" w:rsidRPr="00465838" w:rsidTr="0045004E">
        <w:trPr>
          <w:trHeight w:val="413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FF4B6A" w:rsidRPr="00465838" w:rsidRDefault="00FF4B6A" w:rsidP="00FF4B6A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Операційні витрати, усього: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4B6A" w:rsidRPr="0052011D" w:rsidRDefault="00FF4B6A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284534</w:t>
            </w:r>
          </w:p>
        </w:tc>
        <w:tc>
          <w:tcPr>
            <w:tcW w:w="1134" w:type="dxa"/>
            <w:vAlign w:val="center"/>
          </w:tcPr>
          <w:p w:rsidR="00FF4B6A" w:rsidRPr="00127277" w:rsidRDefault="00335BCE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332046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276059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F4B6A" w:rsidRPr="0052011D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83,1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4B6A" w:rsidRPr="00285681" w:rsidRDefault="000D4680" w:rsidP="00FF4B6A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97,0</w:t>
            </w:r>
          </w:p>
        </w:tc>
      </w:tr>
    </w:tbl>
    <w:p w:rsidR="00EF77E4" w:rsidRPr="00EF77E4" w:rsidRDefault="00EF77E4" w:rsidP="00EF77E4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EF77E4">
        <w:rPr>
          <w:sz w:val="26"/>
          <w:szCs w:val="26"/>
          <w:lang w:val="uk-UA"/>
        </w:rPr>
        <w:lastRenderedPageBreak/>
        <w:t xml:space="preserve">Операційні витрати у звітному періоді менше запланованих на </w:t>
      </w:r>
      <w:r w:rsidR="000D4680">
        <w:rPr>
          <w:sz w:val="26"/>
          <w:szCs w:val="26"/>
          <w:lang w:val="uk-UA"/>
        </w:rPr>
        <w:t xml:space="preserve">16,9 </w:t>
      </w:r>
      <w:r w:rsidRPr="00EF77E4">
        <w:rPr>
          <w:sz w:val="26"/>
          <w:szCs w:val="26"/>
          <w:lang w:val="uk-UA"/>
        </w:rPr>
        <w:t xml:space="preserve">% внаслідок зниження вантажопереробки на </w:t>
      </w:r>
      <w:r w:rsidR="000D4680">
        <w:rPr>
          <w:sz w:val="26"/>
          <w:szCs w:val="26"/>
          <w:lang w:val="uk-UA"/>
        </w:rPr>
        <w:t>36,3</w:t>
      </w:r>
      <w:r w:rsidRPr="00EF77E4">
        <w:rPr>
          <w:sz w:val="26"/>
          <w:szCs w:val="26"/>
          <w:lang w:val="uk-UA"/>
        </w:rPr>
        <w:t xml:space="preserve"> %, що, в свою чергу, призвело до зменшення витрат</w:t>
      </w:r>
      <w:r w:rsidR="000D4680">
        <w:rPr>
          <w:sz w:val="26"/>
          <w:szCs w:val="26"/>
          <w:lang w:val="uk-UA"/>
        </w:rPr>
        <w:t xml:space="preserve"> на матеріали, запчастини та енергоносії</w:t>
      </w:r>
      <w:r w:rsidRPr="00EF77E4">
        <w:rPr>
          <w:sz w:val="26"/>
          <w:szCs w:val="26"/>
          <w:lang w:val="uk-UA"/>
        </w:rPr>
        <w:t>, витрат на оплату праці</w:t>
      </w:r>
      <w:r w:rsidR="000D4680">
        <w:rPr>
          <w:sz w:val="26"/>
          <w:szCs w:val="26"/>
          <w:lang w:val="uk-UA"/>
        </w:rPr>
        <w:t xml:space="preserve"> і, відповідно</w:t>
      </w:r>
      <w:r w:rsidRPr="00EF77E4">
        <w:rPr>
          <w:sz w:val="26"/>
          <w:szCs w:val="26"/>
          <w:lang w:val="uk-UA"/>
        </w:rPr>
        <w:t>, відрахувань на соціальні заходи та інших операційних витрат</w:t>
      </w:r>
      <w:r w:rsidR="000D4680">
        <w:rPr>
          <w:sz w:val="26"/>
          <w:szCs w:val="26"/>
          <w:lang w:val="uk-UA"/>
        </w:rPr>
        <w:t xml:space="preserve">. Проти </w:t>
      </w:r>
      <w:r w:rsidRPr="00EF77E4">
        <w:rPr>
          <w:sz w:val="26"/>
          <w:szCs w:val="26"/>
          <w:lang w:val="uk-UA"/>
        </w:rPr>
        <w:t>звіту за 2018 р</w:t>
      </w:r>
      <w:r>
        <w:rPr>
          <w:sz w:val="26"/>
          <w:szCs w:val="26"/>
          <w:lang w:val="uk-UA"/>
        </w:rPr>
        <w:t>ік</w:t>
      </w:r>
      <w:r w:rsidRPr="00EF77E4">
        <w:rPr>
          <w:sz w:val="26"/>
          <w:szCs w:val="26"/>
          <w:lang w:val="uk-UA"/>
        </w:rPr>
        <w:t xml:space="preserve"> операційні витрати </w:t>
      </w:r>
      <w:r w:rsidR="000D4680">
        <w:rPr>
          <w:sz w:val="26"/>
          <w:szCs w:val="26"/>
          <w:lang w:val="uk-UA"/>
        </w:rPr>
        <w:t xml:space="preserve">зменшились на 3,0 </w:t>
      </w:r>
      <w:r w:rsidRPr="000B42C2">
        <w:rPr>
          <w:sz w:val="26"/>
          <w:szCs w:val="26"/>
          <w:lang w:val="uk-UA"/>
        </w:rPr>
        <w:t>%.</w:t>
      </w:r>
    </w:p>
    <w:p w:rsidR="008A345B" w:rsidRDefault="008A345B" w:rsidP="009407AD">
      <w:pPr>
        <w:pStyle w:val="a7"/>
        <w:spacing w:line="280" w:lineRule="exact"/>
        <w:ind w:left="0" w:firstLine="567"/>
        <w:jc w:val="both"/>
        <w:rPr>
          <w:sz w:val="26"/>
          <w:szCs w:val="26"/>
          <w:lang w:val="uk-UA"/>
        </w:rPr>
      </w:pPr>
    </w:p>
    <w:p w:rsidR="005E42B2" w:rsidRPr="001560D9" w:rsidRDefault="007D46AD" w:rsidP="009516ED">
      <w:pPr>
        <w:pStyle w:val="a7"/>
        <w:spacing w:before="120" w:line="276" w:lineRule="auto"/>
        <w:ind w:left="0" w:right="284" w:firstLine="0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Матеріальні  </w:t>
      </w:r>
      <w:r w:rsidR="00AB15A1" w:rsidRPr="001560D9">
        <w:rPr>
          <w:sz w:val="26"/>
          <w:szCs w:val="26"/>
          <w:lang w:val="uk-UA"/>
        </w:rPr>
        <w:t>витрат</w:t>
      </w:r>
      <w:r w:rsidRPr="001560D9">
        <w:rPr>
          <w:sz w:val="26"/>
          <w:szCs w:val="26"/>
          <w:lang w:val="uk-UA"/>
        </w:rPr>
        <w:t>и</w:t>
      </w:r>
    </w:p>
    <w:tbl>
      <w:tblPr>
        <w:tblW w:w="10444" w:type="dxa"/>
        <w:jc w:val="center"/>
        <w:tblLook w:val="04A0" w:firstRow="1" w:lastRow="0" w:firstColumn="1" w:lastColumn="0" w:noHBand="0" w:noVBand="1"/>
      </w:tblPr>
      <w:tblGrid>
        <w:gridCol w:w="4326"/>
        <w:gridCol w:w="1189"/>
        <w:gridCol w:w="1131"/>
        <w:gridCol w:w="1102"/>
        <w:gridCol w:w="1297"/>
        <w:gridCol w:w="1399"/>
      </w:tblGrid>
      <w:tr w:rsidR="00B81B2E" w:rsidRPr="00B81B2E" w:rsidTr="00D57E55">
        <w:trPr>
          <w:trHeight w:val="85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2E" w:rsidRPr="00B81B2E" w:rsidRDefault="00B81B2E" w:rsidP="00DB1CF1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за 201</w:t>
            </w:r>
            <w:r w:rsidR="00EF77E4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План  на 201</w:t>
            </w:r>
            <w:r w:rsidR="00EF77E4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201</w:t>
            </w:r>
            <w:r w:rsidR="00EF77E4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201</w:t>
            </w:r>
            <w:r w:rsidR="00EF77E4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 xml:space="preserve">р.  в %% до </w:t>
            </w:r>
            <w:r w:rsidR="008B57B5">
              <w:rPr>
                <w:sz w:val="24"/>
                <w:lang w:val="uk-UA"/>
              </w:rPr>
              <w:t>201</w:t>
            </w:r>
            <w:r w:rsidR="00EF77E4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 xml:space="preserve"> р.</w:t>
            </w:r>
          </w:p>
        </w:tc>
      </w:tr>
      <w:tr w:rsidR="00D57E55" w:rsidRPr="00B81B2E" w:rsidTr="0045004E">
        <w:trPr>
          <w:trHeight w:val="39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B81B2E" w:rsidRDefault="00D57E55" w:rsidP="00D57E55">
            <w:pPr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Матері</w:t>
            </w:r>
            <w:r>
              <w:rPr>
                <w:sz w:val="24"/>
                <w:szCs w:val="24"/>
                <w:lang w:val="uk-UA" w:eastAsia="uk-UA"/>
              </w:rPr>
              <w:t>альні витрати, усього (тис. грн</w:t>
            </w:r>
            <w:r w:rsidRPr="00B81B2E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55" w:rsidRPr="00B81B2E" w:rsidRDefault="00EF77E4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29157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55" w:rsidRPr="00127277" w:rsidRDefault="00335BCE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55" w:rsidRPr="00384547" w:rsidRDefault="00ED585A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31702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55" w:rsidRPr="00465838" w:rsidRDefault="00A02800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55" w:rsidRPr="00465838" w:rsidRDefault="00A02800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108,7</w:t>
            </w:r>
          </w:p>
        </w:tc>
      </w:tr>
      <w:tr w:rsidR="00EA1B4B" w:rsidRPr="00B81B2E" w:rsidTr="00A4030D">
        <w:trPr>
          <w:trHeight w:val="115"/>
          <w:jc w:val="center"/>
        </w:trPr>
        <w:tc>
          <w:tcPr>
            <w:tcW w:w="10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4B" w:rsidRPr="00B81B2E" w:rsidRDefault="00EA1B4B" w:rsidP="00EA1B4B">
            <w:pPr>
              <w:rPr>
                <w:sz w:val="24"/>
                <w:szCs w:val="24"/>
                <w:lang w:val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 xml:space="preserve">     в тому числі:</w:t>
            </w:r>
          </w:p>
        </w:tc>
      </w:tr>
      <w:tr w:rsidR="00EF77E4" w:rsidRPr="00B81B2E" w:rsidTr="00D57E55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сировина і матеріали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9675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5139CC" w:rsidRDefault="00335BCE" w:rsidP="00335B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85A" w:rsidRPr="00B81B2E" w:rsidRDefault="00ED585A" w:rsidP="00ED58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5139CC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92,4</w:t>
            </w:r>
          </w:p>
        </w:tc>
      </w:tr>
      <w:tr w:rsidR="00EF77E4" w:rsidRPr="00B81B2E" w:rsidTr="00D57E55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паливо і електроенергія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127277" w:rsidRDefault="00335BCE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D585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19689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285681" w:rsidRDefault="00A02800" w:rsidP="00EF77E4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285681" w:rsidRDefault="00A02800" w:rsidP="00EF77E4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113,7</w:t>
            </w:r>
          </w:p>
        </w:tc>
      </w:tr>
      <w:tr w:rsidR="00EF77E4" w:rsidRPr="00B81B2E" w:rsidTr="00D57E55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запасні частини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5139CC" w:rsidRDefault="00335BCE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D585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141,6</w:t>
            </w:r>
          </w:p>
        </w:tc>
      </w:tr>
      <w:tr w:rsidR="00EF77E4" w:rsidRPr="00B81B2E" w:rsidTr="001B164A">
        <w:trPr>
          <w:trHeight w:val="36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</w:t>
            </w:r>
            <w:r>
              <w:rPr>
                <w:sz w:val="24"/>
                <w:szCs w:val="24"/>
                <w:lang w:val="uk-UA" w:eastAsia="uk-UA"/>
              </w:rPr>
              <w:t>іна 1 кг дизельного палива (грн</w:t>
            </w:r>
            <w:r w:rsidRPr="00B81B2E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D585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108,5</w:t>
            </w:r>
          </w:p>
        </w:tc>
      </w:tr>
      <w:tr w:rsidR="00EF77E4" w:rsidRPr="00B81B2E" w:rsidTr="003B5032">
        <w:trPr>
          <w:trHeight w:val="27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цін</w:t>
            </w:r>
            <w:r>
              <w:rPr>
                <w:sz w:val="24"/>
                <w:szCs w:val="24"/>
                <w:lang w:val="uk-UA" w:eastAsia="uk-UA"/>
              </w:rPr>
              <w:t>а 1 кВт/год електроенергії (грн</w:t>
            </w:r>
            <w:r w:rsidRPr="00B81B2E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2,358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D585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107,4</w:t>
            </w:r>
          </w:p>
        </w:tc>
      </w:tr>
      <w:tr w:rsidR="00EF77E4" w:rsidRPr="00B81B2E" w:rsidTr="003B5032">
        <w:trPr>
          <w:trHeight w:val="36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E4" w:rsidRPr="00B81B2E" w:rsidRDefault="00EF77E4" w:rsidP="00EF77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ці</w:t>
            </w:r>
            <w:r>
              <w:rPr>
                <w:sz w:val="24"/>
                <w:szCs w:val="24"/>
                <w:lang w:val="uk-UA" w:eastAsia="uk-UA"/>
              </w:rPr>
              <w:t>на твердого палива за 1 кг (грн</w:t>
            </w:r>
            <w:r w:rsidRPr="00B81B2E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ED585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4" w:rsidRPr="00B81B2E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108,0</w:t>
            </w:r>
          </w:p>
        </w:tc>
      </w:tr>
    </w:tbl>
    <w:p w:rsidR="00CD1CB1" w:rsidRPr="00625FF2" w:rsidRDefault="00CD1CB1" w:rsidP="00CD1CB1">
      <w:pPr>
        <w:pStyle w:val="a7"/>
        <w:ind w:left="0" w:firstLine="567"/>
        <w:jc w:val="both"/>
        <w:rPr>
          <w:sz w:val="20"/>
          <w:szCs w:val="26"/>
          <w:lang w:val="uk-UA"/>
        </w:rPr>
      </w:pPr>
    </w:p>
    <w:p w:rsidR="00537370" w:rsidRDefault="00EF77E4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774C7F">
        <w:rPr>
          <w:sz w:val="26"/>
          <w:szCs w:val="26"/>
          <w:lang w:val="uk-UA"/>
        </w:rPr>
        <w:t>Зменшення матеріальних витрат проти плану на</w:t>
      </w:r>
      <w:r w:rsidR="00774C7F" w:rsidRPr="00774C7F">
        <w:rPr>
          <w:sz w:val="26"/>
          <w:szCs w:val="26"/>
          <w:lang w:val="uk-UA"/>
        </w:rPr>
        <w:t xml:space="preserve"> 15,4</w:t>
      </w:r>
      <w:r w:rsidRPr="00774C7F">
        <w:rPr>
          <w:sz w:val="26"/>
          <w:szCs w:val="26"/>
          <w:lang w:val="uk-UA"/>
        </w:rPr>
        <w:t xml:space="preserve"> % відбулось у зв’язку зі зменшенням переробки вантажів</w:t>
      </w:r>
      <w:r w:rsidR="00774C7F" w:rsidRPr="00774C7F">
        <w:rPr>
          <w:sz w:val="26"/>
          <w:szCs w:val="26"/>
          <w:lang w:val="uk-UA"/>
        </w:rPr>
        <w:t xml:space="preserve">, </w:t>
      </w:r>
      <w:r w:rsidR="00774C7F">
        <w:rPr>
          <w:sz w:val="26"/>
          <w:szCs w:val="26"/>
          <w:lang w:val="uk-UA"/>
        </w:rPr>
        <w:t>а також відносно теплим зимовим періодом, що дозволило скоротити витрати на тверде паливо</w:t>
      </w:r>
      <w:r w:rsidRPr="00393436">
        <w:rPr>
          <w:sz w:val="26"/>
          <w:szCs w:val="26"/>
          <w:lang w:val="uk-UA"/>
        </w:rPr>
        <w:t xml:space="preserve">. Проти звіту за 2018 рік </w:t>
      </w:r>
      <w:r w:rsidR="00774C7F" w:rsidRPr="00393436">
        <w:rPr>
          <w:sz w:val="26"/>
          <w:szCs w:val="26"/>
          <w:lang w:val="uk-UA"/>
        </w:rPr>
        <w:t>матеріальні витрати зро</w:t>
      </w:r>
      <w:r w:rsidRPr="00393436">
        <w:rPr>
          <w:sz w:val="26"/>
          <w:szCs w:val="26"/>
          <w:lang w:val="uk-UA"/>
        </w:rPr>
        <w:t xml:space="preserve">сли на </w:t>
      </w:r>
      <w:r w:rsidR="00774C7F" w:rsidRPr="00393436">
        <w:rPr>
          <w:sz w:val="26"/>
          <w:szCs w:val="26"/>
          <w:lang w:val="uk-UA"/>
        </w:rPr>
        <w:t>8,7</w:t>
      </w:r>
      <w:r w:rsidRPr="00393436">
        <w:rPr>
          <w:sz w:val="26"/>
          <w:szCs w:val="26"/>
          <w:lang w:val="uk-UA"/>
        </w:rPr>
        <w:t xml:space="preserve"> %</w:t>
      </w:r>
      <w:r w:rsidR="00774C7F" w:rsidRPr="00393436">
        <w:rPr>
          <w:sz w:val="26"/>
          <w:szCs w:val="26"/>
          <w:lang w:val="uk-UA"/>
        </w:rPr>
        <w:t xml:space="preserve"> в</w:t>
      </w:r>
      <w:r w:rsidRPr="00393436">
        <w:rPr>
          <w:sz w:val="26"/>
          <w:szCs w:val="26"/>
          <w:lang w:val="uk-UA"/>
        </w:rPr>
        <w:t>наслідок зростання цін виробників</w:t>
      </w:r>
      <w:r w:rsidR="00774C7F" w:rsidRPr="00393436">
        <w:rPr>
          <w:sz w:val="26"/>
          <w:szCs w:val="26"/>
          <w:lang w:val="uk-UA"/>
        </w:rPr>
        <w:t xml:space="preserve"> (паливно-енергетичні ресурси – на 13,7 %, запасні частини – на 41,6 %)</w:t>
      </w:r>
      <w:r w:rsidRPr="00393436">
        <w:rPr>
          <w:sz w:val="26"/>
          <w:szCs w:val="26"/>
          <w:lang w:val="uk-UA"/>
        </w:rPr>
        <w:t>.</w:t>
      </w:r>
    </w:p>
    <w:p w:rsidR="00A02800" w:rsidRPr="00C57DD2" w:rsidRDefault="00A02800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2B4F40" w:rsidRDefault="00422F48" w:rsidP="002B4F40">
      <w:pPr>
        <w:pStyle w:val="a7"/>
        <w:tabs>
          <w:tab w:val="center" w:pos="4819"/>
          <w:tab w:val="left" w:pos="8655"/>
        </w:tabs>
        <w:spacing w:line="340" w:lineRule="exact"/>
        <w:ind w:left="0" w:right="284" w:firstLine="0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Собівартість реалізованих послуг</w:t>
      </w:r>
    </w:p>
    <w:p w:rsidR="00422F48" w:rsidRPr="001560D9" w:rsidRDefault="00B12D1D" w:rsidP="001B164A">
      <w:pPr>
        <w:pStyle w:val="a7"/>
        <w:tabs>
          <w:tab w:val="center" w:pos="4819"/>
          <w:tab w:val="left" w:pos="8655"/>
        </w:tabs>
        <w:spacing w:line="340" w:lineRule="exact"/>
        <w:ind w:left="0" w:right="284" w:firstLine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тис. грн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374"/>
        <w:gridCol w:w="1134"/>
        <w:gridCol w:w="1380"/>
        <w:gridCol w:w="1193"/>
      </w:tblGrid>
      <w:tr w:rsidR="00EB565B" w:rsidRPr="001B164A" w:rsidTr="00360B31">
        <w:trPr>
          <w:trHeight w:val="91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565B" w:rsidRPr="00B81B2E" w:rsidRDefault="00EB565B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65B" w:rsidRPr="00465838" w:rsidRDefault="00EB565B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за 201</w:t>
            </w:r>
            <w:r w:rsidR="00EF77E4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374" w:type="dxa"/>
            <w:vAlign w:val="center"/>
          </w:tcPr>
          <w:p w:rsidR="00384E1C" w:rsidRDefault="00384E1C" w:rsidP="008C34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EB565B" w:rsidRPr="00465838" w:rsidRDefault="00EB565B" w:rsidP="00EF77E4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на </w:t>
            </w:r>
            <w:r w:rsidR="003B5032">
              <w:rPr>
                <w:sz w:val="24"/>
                <w:lang w:val="uk-UA"/>
              </w:rPr>
              <w:t>201</w:t>
            </w:r>
            <w:r w:rsidR="00EF77E4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565B" w:rsidRPr="00465838" w:rsidRDefault="00EB565B" w:rsidP="00A02800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 201</w:t>
            </w:r>
            <w:r w:rsidR="00EF77E4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B565B" w:rsidRPr="00465838" w:rsidRDefault="00EB565B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EB565B" w:rsidRPr="00465838" w:rsidRDefault="001235C9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F77E4">
              <w:rPr>
                <w:sz w:val="24"/>
                <w:lang w:val="uk-UA"/>
              </w:rPr>
              <w:t>9</w:t>
            </w:r>
            <w:r w:rsidR="00EB565B" w:rsidRPr="00465838">
              <w:rPr>
                <w:sz w:val="24"/>
                <w:lang w:val="uk-UA"/>
              </w:rPr>
              <w:t xml:space="preserve">р.  в %% до </w:t>
            </w:r>
            <w:r>
              <w:rPr>
                <w:sz w:val="24"/>
                <w:lang w:val="uk-UA"/>
              </w:rPr>
              <w:t>201</w:t>
            </w:r>
            <w:r w:rsidR="00EF77E4">
              <w:rPr>
                <w:sz w:val="24"/>
                <w:lang w:val="uk-UA"/>
              </w:rPr>
              <w:t>8</w:t>
            </w:r>
            <w:r w:rsidR="00EB565B" w:rsidRPr="00465838">
              <w:rPr>
                <w:sz w:val="24"/>
                <w:lang w:val="uk-UA"/>
              </w:rPr>
              <w:t xml:space="preserve"> р.</w:t>
            </w:r>
          </w:p>
        </w:tc>
      </w:tr>
      <w:tr w:rsidR="00D57E55" w:rsidRPr="001B164A" w:rsidTr="0045004E">
        <w:trPr>
          <w:trHeight w:val="32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57E55" w:rsidRPr="001B164A" w:rsidRDefault="00D57E55" w:rsidP="00D57E55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1. Витрати на оплату праці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7E55" w:rsidRPr="00B62223" w:rsidRDefault="00EF77E4" w:rsidP="00D57E55">
            <w:pPr>
              <w:jc w:val="center"/>
              <w:rPr>
                <w:sz w:val="24"/>
                <w:szCs w:val="24"/>
                <w:lang w:val="uk-UA"/>
              </w:rPr>
            </w:pPr>
            <w:r w:rsidRPr="00EF77E4">
              <w:rPr>
                <w:sz w:val="24"/>
                <w:szCs w:val="24"/>
                <w:lang w:val="uk-UA"/>
              </w:rPr>
              <w:t>110289</w:t>
            </w:r>
          </w:p>
        </w:tc>
        <w:tc>
          <w:tcPr>
            <w:tcW w:w="1374" w:type="dxa"/>
            <w:vAlign w:val="center"/>
          </w:tcPr>
          <w:p w:rsidR="00D57E55" w:rsidRPr="00127277" w:rsidRDefault="0088216A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7E55" w:rsidRPr="00B62223" w:rsidRDefault="00A02800" w:rsidP="00D57E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103527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57E55" w:rsidRPr="00A02800" w:rsidRDefault="00A02800" w:rsidP="00D57E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77,6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D57E55" w:rsidRPr="00A02800" w:rsidRDefault="00A02800" w:rsidP="00D57E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93,9</w:t>
            </w:r>
          </w:p>
        </w:tc>
      </w:tr>
      <w:tr w:rsidR="00EF77E4" w:rsidRPr="001B164A" w:rsidTr="00360B31">
        <w:trPr>
          <w:trHeight w:val="402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2. Відрахування на соціальні заходи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23829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21971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75,6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92,2</w:t>
            </w:r>
          </w:p>
        </w:tc>
      </w:tr>
      <w:tr w:rsidR="00EF77E4" w:rsidRPr="001B164A" w:rsidTr="00360B31">
        <w:trPr>
          <w:trHeight w:val="34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3. Витрати на паливо і електроенергію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16841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19056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113,2</w:t>
            </w:r>
          </w:p>
        </w:tc>
      </w:tr>
      <w:tr w:rsidR="00EF77E4" w:rsidRPr="001B164A" w:rsidTr="009407AD">
        <w:trPr>
          <w:trHeight w:val="29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4. Витрати на матеріали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11610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11897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88,7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102,5</w:t>
            </w:r>
          </w:p>
        </w:tc>
      </w:tr>
      <w:tr w:rsidR="00EF77E4" w:rsidRPr="001B164A" w:rsidTr="009407AD">
        <w:trPr>
          <w:trHeight w:val="271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5. Амортизація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39227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B62223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106,3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103,2</w:t>
            </w:r>
          </w:p>
        </w:tc>
      </w:tr>
      <w:tr w:rsidR="00EF77E4" w:rsidRPr="001B164A" w:rsidTr="00360B31">
        <w:trPr>
          <w:trHeight w:val="34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6. Інші витрати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A95C35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40976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A95C35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33225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57,4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81,1</w:t>
            </w:r>
          </w:p>
        </w:tc>
      </w:tr>
      <w:tr w:rsidR="00EF77E4" w:rsidRPr="001B164A" w:rsidTr="00F339D5">
        <w:trPr>
          <w:trHeight w:val="738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7E4" w:rsidRPr="001B164A" w:rsidRDefault="00EF77E4" w:rsidP="00EF77E4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Собівартість реалізованої продукції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A95C35" w:rsidRDefault="00EF77E4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242772</w:t>
            </w:r>
          </w:p>
        </w:tc>
        <w:tc>
          <w:tcPr>
            <w:tcW w:w="1374" w:type="dxa"/>
            <w:vAlign w:val="center"/>
          </w:tcPr>
          <w:p w:rsidR="00EF77E4" w:rsidRPr="00127277" w:rsidRDefault="0088216A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295264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7E4" w:rsidRPr="00A95C35" w:rsidRDefault="00A02800" w:rsidP="00EF77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230176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78,0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EF77E4" w:rsidRPr="00A02800" w:rsidRDefault="00A02800" w:rsidP="00EF77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94,8</w:t>
            </w:r>
          </w:p>
        </w:tc>
      </w:tr>
    </w:tbl>
    <w:p w:rsidR="00EF77E4" w:rsidRDefault="00EF77E4" w:rsidP="00EF77E4">
      <w:pPr>
        <w:spacing w:before="120" w:line="360" w:lineRule="exact"/>
        <w:ind w:firstLine="567"/>
        <w:jc w:val="both"/>
        <w:rPr>
          <w:sz w:val="26"/>
          <w:szCs w:val="26"/>
          <w:lang w:val="uk-UA"/>
        </w:rPr>
      </w:pPr>
      <w:r w:rsidRPr="00393436">
        <w:rPr>
          <w:sz w:val="26"/>
          <w:szCs w:val="26"/>
          <w:lang w:val="uk-UA"/>
        </w:rPr>
        <w:t xml:space="preserve">Собівартість реалізованих послуг у 2019 році зменшилася проти плану на </w:t>
      </w:r>
      <w:r w:rsidR="00393436" w:rsidRPr="00393436">
        <w:rPr>
          <w:sz w:val="26"/>
          <w:szCs w:val="26"/>
          <w:lang w:val="uk-UA"/>
        </w:rPr>
        <w:t xml:space="preserve">22,0 </w:t>
      </w:r>
      <w:r w:rsidRPr="00393436">
        <w:rPr>
          <w:sz w:val="26"/>
          <w:szCs w:val="26"/>
          <w:lang w:val="uk-UA"/>
        </w:rPr>
        <w:t xml:space="preserve">%. Витрати на матеріали, паливо та електроенергію, оплату праці і, відповідно, відрахування на соціальні заходи зменшились внаслідок зниження обсягів переробки вантажів. Інші </w:t>
      </w:r>
      <w:r w:rsidRPr="00393436">
        <w:rPr>
          <w:sz w:val="26"/>
          <w:szCs w:val="26"/>
          <w:lang w:val="uk-UA"/>
        </w:rPr>
        <w:lastRenderedPageBreak/>
        <w:t xml:space="preserve">витрати менше плану на </w:t>
      </w:r>
      <w:r w:rsidR="00393436" w:rsidRPr="00393436">
        <w:rPr>
          <w:sz w:val="26"/>
          <w:szCs w:val="26"/>
          <w:lang w:val="uk-UA"/>
        </w:rPr>
        <w:t xml:space="preserve">42,6 </w:t>
      </w:r>
      <w:r w:rsidRPr="00393436">
        <w:rPr>
          <w:sz w:val="26"/>
          <w:szCs w:val="26"/>
          <w:lang w:val="uk-UA"/>
        </w:rPr>
        <w:t>% за рахунок зменшення витрат на сплату послуг із забезпечення доступу портового оператора до причалу (внаслідок зменшення вантажопереробки</w:t>
      </w:r>
      <w:r w:rsidR="00393436" w:rsidRPr="00393436">
        <w:rPr>
          <w:sz w:val="26"/>
          <w:szCs w:val="26"/>
          <w:lang w:val="uk-UA"/>
        </w:rPr>
        <w:t xml:space="preserve"> та зміни в номенклатурі вантажів проти запланованої</w:t>
      </w:r>
      <w:r w:rsidRPr="00393436">
        <w:rPr>
          <w:sz w:val="26"/>
          <w:szCs w:val="26"/>
          <w:lang w:val="uk-UA"/>
        </w:rPr>
        <w:t>) та зменшення витрат на послуги з охорони та відеоспостереження (внаслідок зменшення кількості постів Управління поліції охорони в Миколаївській області у зв'язку з передачею на баланс ДП "</w:t>
      </w:r>
      <w:proofErr w:type="spellStart"/>
      <w:r w:rsidRPr="00393436">
        <w:rPr>
          <w:sz w:val="26"/>
          <w:szCs w:val="26"/>
          <w:lang w:val="uk-UA"/>
        </w:rPr>
        <w:t>Укроборонсервіс</w:t>
      </w:r>
      <w:proofErr w:type="spellEnd"/>
      <w:r w:rsidRPr="00393436">
        <w:rPr>
          <w:sz w:val="26"/>
          <w:szCs w:val="26"/>
          <w:lang w:val="uk-UA"/>
        </w:rPr>
        <w:t>" частини території та нерухомого майна, що охороняється Управлінням поліції охорони). Проти звіту за минул</w:t>
      </w:r>
      <w:r w:rsidR="00463001">
        <w:rPr>
          <w:sz w:val="26"/>
          <w:szCs w:val="26"/>
          <w:lang w:val="uk-UA"/>
        </w:rPr>
        <w:t>ий</w:t>
      </w:r>
      <w:r w:rsidRPr="00393436">
        <w:rPr>
          <w:sz w:val="26"/>
          <w:szCs w:val="26"/>
          <w:lang w:val="uk-UA"/>
        </w:rPr>
        <w:t xml:space="preserve"> р</w:t>
      </w:r>
      <w:r w:rsidR="00463001">
        <w:rPr>
          <w:sz w:val="26"/>
          <w:szCs w:val="26"/>
          <w:lang w:val="uk-UA"/>
        </w:rPr>
        <w:t>і</w:t>
      </w:r>
      <w:r w:rsidRPr="00393436">
        <w:rPr>
          <w:sz w:val="26"/>
          <w:szCs w:val="26"/>
          <w:lang w:val="uk-UA"/>
        </w:rPr>
        <w:t xml:space="preserve">к собівартість реалізованих послуг зменшилась на </w:t>
      </w:r>
      <w:r w:rsidR="00393436" w:rsidRPr="00393436">
        <w:rPr>
          <w:sz w:val="26"/>
          <w:szCs w:val="26"/>
          <w:lang w:val="uk-UA"/>
        </w:rPr>
        <w:t xml:space="preserve">5,2 </w:t>
      </w:r>
      <w:r w:rsidRPr="00393436">
        <w:rPr>
          <w:sz w:val="26"/>
          <w:szCs w:val="26"/>
          <w:lang w:val="uk-UA"/>
        </w:rPr>
        <w:t xml:space="preserve">% </w:t>
      </w:r>
      <w:r w:rsidR="00393436" w:rsidRPr="00393436">
        <w:rPr>
          <w:sz w:val="26"/>
          <w:szCs w:val="26"/>
          <w:lang w:val="uk-UA"/>
        </w:rPr>
        <w:t>внаслідок зменшення витрат на сплату послуг із забезпечення доступу портового оператора до причалу.</w:t>
      </w:r>
    </w:p>
    <w:p w:rsidR="00393436" w:rsidRPr="00EF77E4" w:rsidRDefault="00393436" w:rsidP="00EF77E4">
      <w:pPr>
        <w:spacing w:before="120" w:line="360" w:lineRule="exact"/>
        <w:ind w:firstLine="567"/>
        <w:jc w:val="both"/>
        <w:rPr>
          <w:sz w:val="26"/>
          <w:szCs w:val="26"/>
          <w:lang w:val="uk-UA"/>
        </w:rPr>
      </w:pPr>
    </w:p>
    <w:p w:rsidR="000B5580" w:rsidRPr="001560D9" w:rsidRDefault="00131768" w:rsidP="00131768">
      <w:pPr>
        <w:pStyle w:val="a7"/>
        <w:tabs>
          <w:tab w:val="center" w:pos="4819"/>
          <w:tab w:val="left" w:pos="8625"/>
        </w:tabs>
        <w:spacing w:line="340" w:lineRule="exact"/>
        <w:ind w:left="0" w:right="284" w:firstLine="0"/>
        <w:jc w:val="left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="000B5580" w:rsidRPr="00532C5B">
        <w:rPr>
          <w:sz w:val="26"/>
          <w:szCs w:val="26"/>
          <w:lang w:val="uk-UA" w:eastAsia="uk-UA"/>
        </w:rPr>
        <w:t>Адміністративні витрати</w:t>
      </w:r>
      <w:r w:rsidR="00B12D1D">
        <w:rPr>
          <w:sz w:val="26"/>
          <w:szCs w:val="26"/>
          <w:lang w:val="uk-UA" w:eastAsia="uk-UA"/>
        </w:rPr>
        <w:tab/>
        <w:t>тис. грн</w:t>
      </w:r>
    </w:p>
    <w:tbl>
      <w:tblPr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985"/>
        <w:gridCol w:w="1169"/>
        <w:gridCol w:w="957"/>
        <w:gridCol w:w="1134"/>
        <w:gridCol w:w="1235"/>
      </w:tblGrid>
      <w:tr w:rsidR="00EB565B" w:rsidRPr="001560D9" w:rsidTr="0045004E">
        <w:trPr>
          <w:trHeight w:val="938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B" w:rsidRPr="00B81B2E" w:rsidRDefault="00EB565B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за 201</w:t>
            </w:r>
            <w:r w:rsidR="009126A1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B" w:rsidRPr="00465838" w:rsidRDefault="00EB565B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План  на 201</w:t>
            </w:r>
            <w:r w:rsidR="009126A1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201</w:t>
            </w:r>
            <w:r w:rsidR="009126A1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201</w:t>
            </w:r>
            <w:r w:rsidR="009126A1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 xml:space="preserve">р.  в %% до </w:t>
            </w:r>
            <w:r w:rsidR="00B02294">
              <w:rPr>
                <w:sz w:val="24"/>
                <w:lang w:val="uk-UA"/>
              </w:rPr>
              <w:t>201</w:t>
            </w:r>
            <w:r w:rsidR="009126A1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р.</w:t>
            </w:r>
          </w:p>
        </w:tc>
      </w:tr>
      <w:tr w:rsidR="009126A1" w:rsidRPr="001560D9" w:rsidTr="00E629EA">
        <w:trPr>
          <w:trHeight w:val="524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утримання апарату управління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93,9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108,6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утримання основних засобів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38,6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41,4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зв'язок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A95C35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A95C35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131,9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Податки, збори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F020CC" w:rsidRDefault="009126A1" w:rsidP="009126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5711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102E34">
            <w:pPr>
              <w:jc w:val="center"/>
              <w:rPr>
                <w:sz w:val="24"/>
                <w:szCs w:val="24"/>
              </w:rPr>
            </w:pPr>
            <w:r w:rsidRPr="00102E34">
              <w:rPr>
                <w:sz w:val="24"/>
                <w:szCs w:val="24"/>
              </w:rPr>
              <w:t>58</w:t>
            </w:r>
            <w:r w:rsidR="00102E34" w:rsidRPr="00102E34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102E3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102E3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102,7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C859A6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</w:t>
            </w:r>
            <w:r w:rsidR="00C859A6">
              <w:rPr>
                <w:sz w:val="24"/>
                <w:szCs w:val="24"/>
                <w:lang w:val="uk-UA" w:eastAsia="uk-UA"/>
              </w:rPr>
              <w:t>трати на аудиторські та консалтингові</w:t>
            </w:r>
            <w:r w:rsidRPr="001560D9">
              <w:rPr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A95C35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24,3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114,9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Плата за послуги банків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A95C35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107,4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0B42C2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0B42C2">
              <w:rPr>
                <w:sz w:val="24"/>
                <w:szCs w:val="24"/>
                <w:lang w:val="uk-UA"/>
              </w:rPr>
              <w:t>276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0B42C2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0B42C2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177,5</w:t>
            </w:r>
          </w:p>
        </w:tc>
      </w:tr>
      <w:tr w:rsidR="009126A1" w:rsidRPr="001560D9" w:rsidTr="0045004E">
        <w:trPr>
          <w:trHeight w:val="400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1560D9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0B42C2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0B42C2">
              <w:rPr>
                <w:sz w:val="24"/>
                <w:szCs w:val="24"/>
                <w:lang w:val="uk-UA"/>
              </w:rPr>
              <w:t>388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0B42C2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0B42C2">
              <w:rPr>
                <w:sz w:val="24"/>
                <w:szCs w:val="24"/>
                <w:lang w:val="uk-UA"/>
              </w:rPr>
              <w:t>448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AB441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95,1</w:t>
            </w:r>
          </w:p>
        </w:tc>
      </w:tr>
      <w:tr w:rsidR="009126A1" w:rsidRPr="001560D9" w:rsidTr="00E629EA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1" w:rsidRPr="00625FF2" w:rsidRDefault="009126A1" w:rsidP="009126A1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625FF2">
              <w:rPr>
                <w:sz w:val="24"/>
                <w:szCs w:val="24"/>
                <w:lang w:val="uk-UA" w:eastAsia="uk-UA"/>
              </w:rPr>
              <w:t>Адміністративні витрати , усього: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F020CC" w:rsidRDefault="009126A1" w:rsidP="009126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20067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127277" w:rsidRDefault="0088216A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102E34" w:rsidP="009126A1">
            <w:pPr>
              <w:jc w:val="center"/>
              <w:rPr>
                <w:sz w:val="24"/>
                <w:szCs w:val="24"/>
              </w:rPr>
            </w:pPr>
            <w:r w:rsidRPr="00102E34">
              <w:rPr>
                <w:sz w:val="24"/>
                <w:szCs w:val="24"/>
              </w:rPr>
              <w:t>21371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102E3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6A77FA" w:rsidRDefault="00102E34" w:rsidP="009126A1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106,5</w:t>
            </w:r>
          </w:p>
        </w:tc>
      </w:tr>
    </w:tbl>
    <w:p w:rsidR="00A45537" w:rsidRDefault="00A45537" w:rsidP="009407AD">
      <w:pPr>
        <w:spacing w:line="220" w:lineRule="exact"/>
        <w:ind w:firstLine="567"/>
        <w:jc w:val="both"/>
        <w:rPr>
          <w:sz w:val="26"/>
          <w:szCs w:val="26"/>
          <w:lang w:val="uk-UA" w:eastAsia="uk-UA"/>
        </w:rPr>
      </w:pPr>
    </w:p>
    <w:p w:rsidR="009126A1" w:rsidRPr="000B42C2" w:rsidRDefault="009126A1" w:rsidP="009126A1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  <w:r w:rsidRPr="009126A1">
        <w:rPr>
          <w:sz w:val="26"/>
          <w:szCs w:val="26"/>
          <w:lang w:val="uk-UA" w:eastAsia="uk-UA"/>
        </w:rPr>
        <w:t xml:space="preserve">Адміністративні витрати </w:t>
      </w:r>
      <w:r w:rsidR="00AB4414">
        <w:rPr>
          <w:sz w:val="26"/>
          <w:szCs w:val="26"/>
          <w:lang w:val="uk-UA" w:eastAsia="uk-UA"/>
        </w:rPr>
        <w:t xml:space="preserve">менше </w:t>
      </w:r>
      <w:r w:rsidRPr="009126A1">
        <w:rPr>
          <w:sz w:val="26"/>
          <w:szCs w:val="26"/>
          <w:lang w:val="uk-UA" w:eastAsia="uk-UA"/>
        </w:rPr>
        <w:t>запланованих</w:t>
      </w:r>
      <w:r w:rsidR="00AB4414">
        <w:rPr>
          <w:sz w:val="26"/>
          <w:szCs w:val="26"/>
          <w:lang w:val="uk-UA" w:eastAsia="uk-UA"/>
        </w:rPr>
        <w:t xml:space="preserve"> на </w:t>
      </w:r>
      <w:r w:rsidR="00102E34">
        <w:rPr>
          <w:sz w:val="26"/>
          <w:szCs w:val="26"/>
          <w:lang w:val="uk-UA" w:eastAsia="uk-UA"/>
        </w:rPr>
        <w:t xml:space="preserve">10,8 </w:t>
      </w:r>
      <w:r w:rsidR="00AB4414">
        <w:rPr>
          <w:sz w:val="26"/>
          <w:szCs w:val="26"/>
          <w:lang w:val="uk-UA" w:eastAsia="uk-UA"/>
        </w:rPr>
        <w:t>%</w:t>
      </w:r>
      <w:r w:rsidRPr="009126A1">
        <w:rPr>
          <w:sz w:val="26"/>
          <w:szCs w:val="26"/>
          <w:lang w:val="uk-UA" w:eastAsia="uk-UA"/>
        </w:rPr>
        <w:t xml:space="preserve">. Водночас збільшились витрати на зв'язок </w:t>
      </w:r>
      <w:r w:rsidRPr="000B42C2">
        <w:rPr>
          <w:sz w:val="26"/>
          <w:szCs w:val="26"/>
          <w:lang w:val="uk-UA" w:eastAsia="uk-UA"/>
        </w:rPr>
        <w:t xml:space="preserve">на </w:t>
      </w:r>
      <w:r w:rsidR="00AB4414">
        <w:rPr>
          <w:sz w:val="26"/>
          <w:szCs w:val="26"/>
          <w:lang w:val="uk-UA" w:eastAsia="uk-UA"/>
        </w:rPr>
        <w:t xml:space="preserve">40,6 </w:t>
      </w:r>
      <w:r w:rsidRPr="000B42C2">
        <w:rPr>
          <w:sz w:val="26"/>
          <w:szCs w:val="26"/>
          <w:lang w:val="uk-UA" w:eastAsia="uk-UA"/>
        </w:rPr>
        <w:t xml:space="preserve">% внаслідок зростання тарифів на мобільний зв'язок, телекомунікаційні послуги телефонного зв'язку, а також вартості послуг з кур'єрської доставки. Також зросли витрати на сплату послуг банків на </w:t>
      </w:r>
      <w:r w:rsidR="00AB4414">
        <w:rPr>
          <w:sz w:val="26"/>
          <w:szCs w:val="26"/>
          <w:lang w:val="uk-UA" w:eastAsia="uk-UA"/>
        </w:rPr>
        <w:t xml:space="preserve">13,8 </w:t>
      </w:r>
      <w:r w:rsidRPr="000B42C2">
        <w:rPr>
          <w:sz w:val="26"/>
          <w:szCs w:val="26"/>
          <w:lang w:val="uk-UA" w:eastAsia="uk-UA"/>
        </w:rPr>
        <w:t>% через зростання кількості платіжних операцій в системі "Клієнт-банк".</w:t>
      </w:r>
    </w:p>
    <w:p w:rsidR="00D5636C" w:rsidRDefault="009126A1" w:rsidP="009126A1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 w:eastAsia="uk-UA"/>
        </w:rPr>
        <w:t>Проти звіту за 201</w:t>
      </w:r>
      <w:r w:rsidR="00AB4414">
        <w:rPr>
          <w:sz w:val="26"/>
          <w:szCs w:val="26"/>
          <w:lang w:val="uk-UA" w:eastAsia="uk-UA"/>
        </w:rPr>
        <w:t>8</w:t>
      </w:r>
      <w:r w:rsidRPr="000B42C2">
        <w:rPr>
          <w:sz w:val="26"/>
          <w:szCs w:val="26"/>
          <w:lang w:val="uk-UA" w:eastAsia="uk-UA"/>
        </w:rPr>
        <w:t xml:space="preserve"> року відбулось зростання адміністративних витрат на </w:t>
      </w:r>
      <w:r w:rsidR="00102E34">
        <w:rPr>
          <w:sz w:val="26"/>
          <w:szCs w:val="26"/>
          <w:lang w:val="uk-UA" w:eastAsia="uk-UA"/>
        </w:rPr>
        <w:t>6,5</w:t>
      </w:r>
      <w:r w:rsidRPr="000B42C2">
        <w:rPr>
          <w:sz w:val="26"/>
          <w:szCs w:val="26"/>
          <w:lang w:val="uk-UA" w:eastAsia="uk-UA"/>
        </w:rPr>
        <w:t xml:space="preserve"> % у зв'язку зі збільшенням витрат на оплату праці через підвищення посадових окладів у зв’язку зі змін</w:t>
      </w:r>
      <w:r w:rsidR="00102E34">
        <w:rPr>
          <w:sz w:val="26"/>
          <w:szCs w:val="26"/>
          <w:lang w:val="uk-UA" w:eastAsia="uk-UA"/>
        </w:rPr>
        <w:t xml:space="preserve">ою мінімальної заробітної плати та витрат на </w:t>
      </w:r>
      <w:r w:rsidR="00102E34" w:rsidRPr="00102E34">
        <w:rPr>
          <w:sz w:val="26"/>
          <w:szCs w:val="26"/>
          <w:lang w:val="uk-UA" w:eastAsia="uk-UA"/>
        </w:rPr>
        <w:t xml:space="preserve">зв'язок на </w:t>
      </w:r>
      <w:r w:rsidR="00102E34">
        <w:rPr>
          <w:sz w:val="26"/>
          <w:szCs w:val="26"/>
          <w:lang w:val="uk-UA" w:eastAsia="uk-UA"/>
        </w:rPr>
        <w:t>31,9</w:t>
      </w:r>
      <w:r w:rsidR="00102E34" w:rsidRPr="00102E34">
        <w:rPr>
          <w:sz w:val="26"/>
          <w:szCs w:val="26"/>
          <w:lang w:val="uk-UA" w:eastAsia="uk-UA"/>
        </w:rPr>
        <w:t xml:space="preserve"> % внаслідок зростання тарифів</w:t>
      </w:r>
      <w:r w:rsidR="00102E34">
        <w:rPr>
          <w:sz w:val="26"/>
          <w:szCs w:val="26"/>
          <w:lang w:val="uk-UA" w:eastAsia="uk-UA"/>
        </w:rPr>
        <w:t>.</w:t>
      </w:r>
    </w:p>
    <w:p w:rsidR="0045004E" w:rsidRDefault="0045004E" w:rsidP="00C04AF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</w:p>
    <w:p w:rsidR="00D43787" w:rsidRDefault="00D43787" w:rsidP="00D43787">
      <w:pPr>
        <w:spacing w:line="360" w:lineRule="exact"/>
        <w:ind w:left="3600" w:firstLine="720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Витрати на збут             </w:t>
      </w:r>
      <w:r w:rsidR="00B12D1D">
        <w:rPr>
          <w:sz w:val="26"/>
          <w:szCs w:val="26"/>
          <w:lang w:val="uk-UA"/>
        </w:rPr>
        <w:t xml:space="preserve">                       тис. грн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8"/>
        <w:gridCol w:w="1067"/>
        <w:gridCol w:w="1226"/>
        <w:gridCol w:w="1189"/>
        <w:gridCol w:w="1297"/>
        <w:gridCol w:w="1223"/>
      </w:tblGrid>
      <w:tr w:rsidR="00D43787" w:rsidRPr="00450F1F" w:rsidTr="006F78A2">
        <w:trPr>
          <w:trHeight w:val="900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D43787" w:rsidRPr="00B81B2E" w:rsidRDefault="00D43787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43787" w:rsidRPr="00465838" w:rsidRDefault="00D43787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за 201</w:t>
            </w:r>
            <w:r w:rsidR="009126A1">
              <w:rPr>
                <w:sz w:val="24"/>
                <w:lang w:val="uk-UA"/>
              </w:rPr>
              <w:t>8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226" w:type="dxa"/>
            <w:vAlign w:val="center"/>
          </w:tcPr>
          <w:p w:rsidR="00D43787" w:rsidRPr="00465838" w:rsidRDefault="00D43787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План  на 201</w:t>
            </w:r>
            <w:r w:rsidR="009126A1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D43787" w:rsidRPr="00465838" w:rsidRDefault="00D43787" w:rsidP="009126A1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Звіт  за            201</w:t>
            </w:r>
            <w:r w:rsidR="009126A1">
              <w:rPr>
                <w:sz w:val="24"/>
                <w:lang w:val="uk-UA"/>
              </w:rPr>
              <w:t>9</w:t>
            </w:r>
            <w:r w:rsidRPr="00465838">
              <w:rPr>
                <w:sz w:val="24"/>
                <w:lang w:val="uk-UA"/>
              </w:rPr>
              <w:t> р.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43787" w:rsidRPr="00465838" w:rsidRDefault="00D43787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43787" w:rsidRPr="00465838" w:rsidRDefault="003B5032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9126A1">
              <w:rPr>
                <w:sz w:val="24"/>
                <w:lang w:val="uk-UA"/>
              </w:rPr>
              <w:t>9</w:t>
            </w:r>
            <w:r w:rsidR="00D43787" w:rsidRPr="00465838">
              <w:rPr>
                <w:sz w:val="24"/>
                <w:lang w:val="uk-UA"/>
              </w:rPr>
              <w:t xml:space="preserve">р.  в %% до </w:t>
            </w:r>
            <w:r>
              <w:rPr>
                <w:sz w:val="24"/>
                <w:lang w:val="uk-UA"/>
              </w:rPr>
              <w:t>201</w:t>
            </w:r>
            <w:r w:rsidR="009126A1">
              <w:rPr>
                <w:sz w:val="24"/>
                <w:lang w:val="uk-UA"/>
              </w:rPr>
              <w:t>8</w:t>
            </w:r>
            <w:r w:rsidR="00D43787">
              <w:rPr>
                <w:sz w:val="24"/>
                <w:lang w:val="uk-UA"/>
              </w:rPr>
              <w:t> </w:t>
            </w:r>
            <w:r w:rsidR="00D43787" w:rsidRPr="00465838">
              <w:rPr>
                <w:sz w:val="24"/>
                <w:lang w:val="uk-UA"/>
              </w:rPr>
              <w:t>р</w:t>
            </w:r>
          </w:p>
        </w:tc>
      </w:tr>
      <w:tr w:rsidR="00D43787" w:rsidRPr="00450F1F" w:rsidTr="006F78A2">
        <w:trPr>
          <w:trHeight w:val="369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Витрати на збут, усього: 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43787" w:rsidRPr="00450F1F" w:rsidRDefault="009126A1" w:rsidP="0012727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807</w:t>
            </w:r>
          </w:p>
        </w:tc>
        <w:tc>
          <w:tcPr>
            <w:tcW w:w="1226" w:type="dxa"/>
            <w:vAlign w:val="center"/>
          </w:tcPr>
          <w:p w:rsidR="00D43787" w:rsidRPr="00904739" w:rsidRDefault="0088216A" w:rsidP="0090473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43787" w:rsidRPr="006A77FA" w:rsidRDefault="00CB04AC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666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43787" w:rsidRPr="00450F1F" w:rsidRDefault="00CB04AC" w:rsidP="00710E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93,8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43787" w:rsidRPr="00450F1F" w:rsidRDefault="00CB04AC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82,5</w:t>
            </w:r>
          </w:p>
        </w:tc>
      </w:tr>
      <w:tr w:rsidR="00D43787" w:rsidRPr="00450F1F" w:rsidTr="006F78A2">
        <w:trPr>
          <w:trHeight w:val="85"/>
          <w:jc w:val="center"/>
        </w:trPr>
        <w:tc>
          <w:tcPr>
            <w:tcW w:w="9810" w:type="dxa"/>
            <w:gridSpan w:val="6"/>
            <w:shd w:val="clear" w:color="auto" w:fill="auto"/>
            <w:noWrap/>
            <w:vAlign w:val="center"/>
            <w:hideMark/>
          </w:tcPr>
          <w:p w:rsidR="00D43787" w:rsidRPr="00450F1F" w:rsidRDefault="00D43787" w:rsidP="00D43787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9126A1" w:rsidRPr="00450F1F" w:rsidTr="006F78A2">
        <w:trPr>
          <w:trHeight w:val="325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р</w:t>
            </w:r>
            <w:r w:rsidRPr="00450F1F">
              <w:rPr>
                <w:color w:val="000000"/>
                <w:sz w:val="24"/>
                <w:szCs w:val="24"/>
                <w:lang w:val="uk-UA" w:eastAsia="uk-UA"/>
              </w:rPr>
              <w:t>еклама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1226" w:type="dxa"/>
            <w:vAlign w:val="center"/>
          </w:tcPr>
          <w:p w:rsidR="009126A1" w:rsidRPr="00E42213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43,0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58,1</w:t>
            </w:r>
          </w:p>
        </w:tc>
      </w:tr>
      <w:tr w:rsidR="009126A1" w:rsidRPr="00450F1F" w:rsidTr="006F78A2">
        <w:trPr>
          <w:trHeight w:val="273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інші витрати на збут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702</w:t>
            </w:r>
          </w:p>
        </w:tc>
        <w:tc>
          <w:tcPr>
            <w:tcW w:w="1226" w:type="dxa"/>
            <w:vAlign w:val="center"/>
          </w:tcPr>
          <w:p w:rsidR="009126A1" w:rsidRPr="00E42213" w:rsidRDefault="000E2D1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568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605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106,5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86,2</w:t>
            </w:r>
          </w:p>
        </w:tc>
      </w:tr>
      <w:tr w:rsidR="00402D34" w:rsidRPr="00450F1F" w:rsidTr="006F78A2">
        <w:trPr>
          <w:trHeight w:val="135"/>
          <w:jc w:val="center"/>
        </w:trPr>
        <w:tc>
          <w:tcPr>
            <w:tcW w:w="9810" w:type="dxa"/>
            <w:gridSpan w:val="6"/>
            <w:shd w:val="clear" w:color="auto" w:fill="auto"/>
            <w:noWrap/>
            <w:vAlign w:val="center"/>
            <w:hideMark/>
          </w:tcPr>
          <w:p w:rsidR="00402D34" w:rsidRPr="00450F1F" w:rsidRDefault="00402D34" w:rsidP="00402D34">
            <w:pPr>
              <w:rPr>
                <w:rFonts w:ascii="Calibri" w:hAnsi="Calibri"/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в тому числі:</w:t>
            </w:r>
          </w:p>
        </w:tc>
      </w:tr>
      <w:tr w:rsidR="009126A1" w:rsidRPr="00450F1F" w:rsidTr="006F78A2">
        <w:trPr>
          <w:trHeight w:val="253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450F1F">
              <w:rPr>
                <w:color w:val="000000"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1226" w:type="dxa"/>
            <w:vAlign w:val="center"/>
          </w:tcPr>
          <w:p w:rsidR="009126A1" w:rsidRPr="00E42213" w:rsidRDefault="000E2D1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381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464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121,8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92,8</w:t>
            </w:r>
          </w:p>
        </w:tc>
      </w:tr>
      <w:tr w:rsidR="009126A1" w:rsidRPr="00450F1F" w:rsidTr="006F78A2">
        <w:trPr>
          <w:trHeight w:val="115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відрахування на соціальні заходи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226" w:type="dxa"/>
          </w:tcPr>
          <w:p w:rsidR="009126A1" w:rsidRPr="00E42213" w:rsidRDefault="000E2D1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121,4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92,7</w:t>
            </w:r>
          </w:p>
        </w:tc>
      </w:tr>
      <w:tr w:rsidR="009126A1" w:rsidRPr="00450F1F" w:rsidTr="006F78A2">
        <w:trPr>
          <w:trHeight w:val="247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амортизація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26" w:type="dxa"/>
          </w:tcPr>
          <w:p w:rsidR="009126A1" w:rsidRPr="00E42213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67,9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73,1</w:t>
            </w:r>
          </w:p>
        </w:tc>
      </w:tr>
      <w:tr w:rsidR="009126A1" w:rsidRPr="00450F1F" w:rsidTr="006F78A2">
        <w:trPr>
          <w:trHeight w:val="109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відрядження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226" w:type="dxa"/>
          </w:tcPr>
          <w:p w:rsidR="000E2D11" w:rsidRPr="00E42213" w:rsidRDefault="000E2D11" w:rsidP="000E2D1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37,0</w:t>
            </w:r>
          </w:p>
        </w:tc>
      </w:tr>
      <w:tr w:rsidR="009126A1" w:rsidRPr="00450F1F" w:rsidTr="006F78A2">
        <w:trPr>
          <w:trHeight w:val="242"/>
          <w:jc w:val="center"/>
        </w:trPr>
        <w:tc>
          <w:tcPr>
            <w:tcW w:w="3808" w:type="dxa"/>
            <w:shd w:val="clear" w:color="auto" w:fill="auto"/>
            <w:noWrap/>
            <w:vAlign w:val="center"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підвищення кваліфікації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</w:tcPr>
          <w:p w:rsidR="009126A1" w:rsidRPr="00E42213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126A1" w:rsidRPr="00450F1F" w:rsidTr="006F78A2">
        <w:trPr>
          <w:trHeight w:val="242"/>
          <w:jc w:val="center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:rsidR="009126A1" w:rsidRPr="00450F1F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інші витрати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9126A1" w:rsidRPr="006A77FA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26" w:type="dxa"/>
          </w:tcPr>
          <w:p w:rsidR="009126A1" w:rsidRPr="00E42213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0E2D11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126A1" w:rsidRPr="006A77FA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126A1" w:rsidRPr="00450F1F" w:rsidRDefault="00CB04AC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25,6</w:t>
            </w:r>
          </w:p>
        </w:tc>
      </w:tr>
    </w:tbl>
    <w:p w:rsidR="00D5636C" w:rsidRPr="00D5636C" w:rsidRDefault="00D5636C" w:rsidP="00D5636C">
      <w:pPr>
        <w:spacing w:line="260" w:lineRule="exact"/>
        <w:ind w:firstLine="567"/>
        <w:jc w:val="both"/>
        <w:rPr>
          <w:sz w:val="18"/>
          <w:szCs w:val="26"/>
          <w:lang w:val="uk-UA"/>
        </w:rPr>
      </w:pPr>
    </w:p>
    <w:p w:rsidR="00710E4B" w:rsidRDefault="009126A1" w:rsidP="00710E4B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C04AF9">
        <w:rPr>
          <w:sz w:val="26"/>
          <w:szCs w:val="26"/>
          <w:lang w:val="uk-UA"/>
        </w:rPr>
        <w:t>итрат</w:t>
      </w:r>
      <w:r>
        <w:rPr>
          <w:sz w:val="26"/>
          <w:szCs w:val="26"/>
          <w:lang w:val="uk-UA"/>
        </w:rPr>
        <w:t>и</w:t>
      </w:r>
      <w:r w:rsidRPr="00C04AF9">
        <w:rPr>
          <w:sz w:val="26"/>
          <w:szCs w:val="26"/>
          <w:lang w:val="uk-UA"/>
        </w:rPr>
        <w:t xml:space="preserve"> на збут у </w:t>
      </w:r>
      <w:r>
        <w:rPr>
          <w:sz w:val="26"/>
          <w:szCs w:val="26"/>
          <w:lang w:val="uk-UA"/>
        </w:rPr>
        <w:t xml:space="preserve">звітному періоді в межах плану та на рівні 2018 року. Збільшення витрат на оплату праці та відрахувань на соціальні заходи проти плану </w:t>
      </w:r>
      <w:r w:rsidRPr="000B42C2">
        <w:rPr>
          <w:sz w:val="26"/>
          <w:szCs w:val="26"/>
          <w:lang w:val="uk-UA"/>
        </w:rPr>
        <w:t xml:space="preserve">на </w:t>
      </w:r>
      <w:r w:rsidR="00CB04AC">
        <w:rPr>
          <w:sz w:val="26"/>
          <w:szCs w:val="26"/>
          <w:lang w:val="uk-UA"/>
        </w:rPr>
        <w:t>21,8</w:t>
      </w:r>
      <w:r w:rsidRPr="000B42C2">
        <w:rPr>
          <w:sz w:val="26"/>
          <w:szCs w:val="26"/>
          <w:lang w:val="uk-UA"/>
        </w:rPr>
        <w:t xml:space="preserve"> % та </w:t>
      </w:r>
      <w:r w:rsidR="00CB04AC">
        <w:rPr>
          <w:sz w:val="26"/>
          <w:szCs w:val="26"/>
          <w:lang w:val="uk-UA"/>
        </w:rPr>
        <w:t>21,4 </w:t>
      </w:r>
      <w:r w:rsidRPr="000B42C2">
        <w:rPr>
          <w:sz w:val="26"/>
          <w:szCs w:val="26"/>
          <w:lang w:val="uk-UA"/>
        </w:rPr>
        <w:t>%,</w:t>
      </w:r>
      <w:r>
        <w:rPr>
          <w:sz w:val="26"/>
          <w:szCs w:val="26"/>
          <w:lang w:val="uk-UA"/>
        </w:rPr>
        <w:t xml:space="preserve"> відповідно, </w:t>
      </w:r>
      <w:r w:rsidRPr="00C04AF9">
        <w:rPr>
          <w:sz w:val="26"/>
          <w:szCs w:val="26"/>
          <w:lang w:val="uk-UA"/>
        </w:rPr>
        <w:t xml:space="preserve">відбулося </w:t>
      </w:r>
      <w:r>
        <w:rPr>
          <w:sz w:val="26"/>
          <w:szCs w:val="26"/>
          <w:lang w:val="uk-UA"/>
        </w:rPr>
        <w:t xml:space="preserve">за </w:t>
      </w:r>
      <w:r w:rsidRPr="00AA6E0A">
        <w:rPr>
          <w:sz w:val="26"/>
          <w:szCs w:val="26"/>
          <w:lang w:val="uk-UA"/>
        </w:rPr>
        <w:t xml:space="preserve">рахунок </w:t>
      </w:r>
      <w:r w:rsidRPr="004563C6">
        <w:rPr>
          <w:sz w:val="26"/>
          <w:szCs w:val="26"/>
          <w:lang w:val="uk-UA"/>
        </w:rPr>
        <w:t xml:space="preserve">включення </w:t>
      </w:r>
      <w:r>
        <w:rPr>
          <w:sz w:val="26"/>
          <w:szCs w:val="26"/>
          <w:lang w:val="uk-UA"/>
        </w:rPr>
        <w:t xml:space="preserve">фахівців </w:t>
      </w:r>
      <w:r w:rsidRPr="004563C6">
        <w:rPr>
          <w:sz w:val="26"/>
          <w:szCs w:val="26"/>
          <w:lang w:val="uk-UA"/>
        </w:rPr>
        <w:t>підприємства</w:t>
      </w:r>
      <w:r>
        <w:rPr>
          <w:sz w:val="26"/>
          <w:szCs w:val="26"/>
          <w:lang w:val="uk-UA"/>
        </w:rPr>
        <w:t xml:space="preserve"> </w:t>
      </w:r>
      <w:r w:rsidRPr="008A072F">
        <w:rPr>
          <w:sz w:val="26"/>
          <w:szCs w:val="26"/>
          <w:lang w:val="uk-UA"/>
        </w:rPr>
        <w:t>до участі в нарадах з питань реалізації пілотного проекту передачі ДП “СК “Ольвія” в концесію</w:t>
      </w:r>
      <w:r w:rsidR="008A072F" w:rsidRPr="008A072F">
        <w:rPr>
          <w:sz w:val="26"/>
          <w:szCs w:val="26"/>
          <w:lang w:val="uk-UA"/>
        </w:rPr>
        <w:t>.</w:t>
      </w:r>
    </w:p>
    <w:p w:rsidR="008A072F" w:rsidRPr="00C04AF9" w:rsidRDefault="008A072F" w:rsidP="00710E4B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</w:p>
    <w:p w:rsidR="00A45537" w:rsidRDefault="00E41B42" w:rsidP="00A45537">
      <w:pPr>
        <w:pStyle w:val="a7"/>
        <w:spacing w:line="340" w:lineRule="exact"/>
        <w:ind w:left="0" w:right="284" w:firstLine="567"/>
        <w:rPr>
          <w:sz w:val="26"/>
          <w:szCs w:val="26"/>
          <w:lang w:val="uk-UA"/>
        </w:rPr>
      </w:pPr>
      <w:r w:rsidRPr="009A5A18">
        <w:rPr>
          <w:sz w:val="26"/>
          <w:szCs w:val="26"/>
          <w:lang w:val="uk-UA" w:eastAsia="uk-UA"/>
        </w:rPr>
        <w:t>Інші операційні витрат</w:t>
      </w:r>
      <w:r w:rsidR="008309D2">
        <w:rPr>
          <w:sz w:val="26"/>
          <w:szCs w:val="26"/>
          <w:lang w:val="uk-UA" w:eastAsia="uk-UA"/>
        </w:rPr>
        <w:t>и</w:t>
      </w:r>
    </w:p>
    <w:p w:rsidR="00A45537" w:rsidRPr="00625FF2" w:rsidRDefault="00625FF2" w:rsidP="009D3A5F">
      <w:pPr>
        <w:pStyle w:val="a7"/>
        <w:spacing w:line="340" w:lineRule="exact"/>
        <w:ind w:left="0" w:right="284" w:firstLine="567"/>
        <w:jc w:val="right"/>
        <w:rPr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B12D1D">
        <w:rPr>
          <w:szCs w:val="26"/>
          <w:lang w:val="uk-UA"/>
        </w:rPr>
        <w:t>тис. грн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3754"/>
        <w:gridCol w:w="992"/>
        <w:gridCol w:w="1151"/>
        <w:gridCol w:w="1134"/>
        <w:gridCol w:w="1346"/>
        <w:gridCol w:w="1431"/>
      </w:tblGrid>
      <w:tr w:rsidR="00D43787" w:rsidRPr="003D0441" w:rsidTr="00606EAA">
        <w:trPr>
          <w:trHeight w:val="7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3D0441" w:rsidRDefault="00D43787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3D0441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9126A1" w:rsidP="003B5032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8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Pr="003D0441" w:rsidRDefault="00D43787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План  на 201</w:t>
            </w:r>
            <w:r w:rsidR="009126A1"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D43787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 за            201</w:t>
            </w:r>
            <w:r w:rsidR="009126A1"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D43787" w:rsidP="00D718DE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3B5032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9126A1">
              <w:rPr>
                <w:sz w:val="24"/>
                <w:lang w:val="uk-UA"/>
              </w:rPr>
              <w:t>9</w:t>
            </w:r>
            <w:r w:rsidR="00D43787" w:rsidRPr="003D0441">
              <w:rPr>
                <w:sz w:val="24"/>
                <w:lang w:val="uk-UA"/>
              </w:rPr>
              <w:t>р.  в %% до 201</w:t>
            </w:r>
            <w:r w:rsidR="009126A1">
              <w:rPr>
                <w:sz w:val="24"/>
                <w:lang w:val="uk-UA"/>
              </w:rPr>
              <w:t>8</w:t>
            </w:r>
            <w:r w:rsidR="00D43787" w:rsidRPr="003D0441">
              <w:rPr>
                <w:sz w:val="24"/>
                <w:lang w:val="uk-UA"/>
              </w:rPr>
              <w:t> р.</w:t>
            </w:r>
          </w:p>
        </w:tc>
      </w:tr>
      <w:tr w:rsidR="00CB2FFC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операційні витрати, усього: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9126A1" w:rsidP="00904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Pr="00904739" w:rsidRDefault="00133812" w:rsidP="00904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14" w:rsidRPr="00102E34" w:rsidRDefault="00AB4414" w:rsidP="00102E34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2549</w:t>
            </w:r>
            <w:r w:rsidR="00102E34" w:rsidRPr="00102E3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102E34" w:rsidRDefault="00102E34" w:rsidP="00F02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209,5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102E34" w:rsidRDefault="00102E34" w:rsidP="00F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</w:tr>
      <w:tr w:rsidR="00D43787" w:rsidRPr="003D0441" w:rsidTr="0045004E">
        <w:trPr>
          <w:trHeight w:val="181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102E34" w:rsidRDefault="00D43787" w:rsidP="00D43787">
            <w:pPr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в тому числі: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Курсові різниці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821FE1" w:rsidRDefault="009126A1" w:rsidP="009126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11174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8D170D" w:rsidRDefault="009126A1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189,2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Відрахування до резерву сумнівних боргів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821FE1" w:rsidRDefault="009126A1" w:rsidP="009126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1080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Default="009126A1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54,0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витрати операційної діяльності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904739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1324</w:t>
            </w:r>
            <w:r w:rsidR="00102E34" w:rsidRPr="00102E3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102E34" w:rsidP="0091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102E34" w:rsidP="0091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402D34" w:rsidRPr="003D0441" w:rsidTr="0045004E">
        <w:trPr>
          <w:trHeight w:val="235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4" w:rsidRPr="00102E34" w:rsidRDefault="00402D34" w:rsidP="00402D34">
            <w:pPr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в тому числі: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Собівартість реалізації іноземної валюти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E42213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97,8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Утримання об'єктів соціальної сфери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904739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94,9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Штрафи, пені, неустойки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E42213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8D170D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173,1</w:t>
            </w:r>
          </w:p>
        </w:tc>
      </w:tr>
      <w:tr w:rsidR="009126A1" w:rsidRPr="003D0441" w:rsidTr="00606EAA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Собівартість реалізації виробничих запасів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904739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165</w:t>
            </w:r>
            <w:r w:rsidR="00102E34" w:rsidRPr="00102E3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102E34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2579,7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102E34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121,5</w:t>
            </w:r>
          </w:p>
        </w:tc>
      </w:tr>
      <w:tr w:rsidR="009126A1" w:rsidRPr="003D0441" w:rsidTr="00795B62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витрати</w:t>
            </w:r>
            <w:r>
              <w:rPr>
                <w:sz w:val="24"/>
                <w:szCs w:val="24"/>
                <w:lang w:val="uk-UA"/>
              </w:rPr>
              <w:t>,</w:t>
            </w:r>
            <w:r w:rsidRPr="003D0441">
              <w:rPr>
                <w:sz w:val="24"/>
                <w:szCs w:val="24"/>
                <w:lang w:val="uk-UA"/>
              </w:rPr>
              <w:t xml:space="preserve"> в тому числі: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12376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904739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AB4414" w:rsidP="009126A1">
            <w:pPr>
              <w:jc w:val="center"/>
              <w:rPr>
                <w:sz w:val="24"/>
                <w:szCs w:val="24"/>
                <w:lang w:val="uk-UA"/>
              </w:rPr>
            </w:pPr>
            <w:r w:rsidRPr="00102E34">
              <w:rPr>
                <w:sz w:val="24"/>
                <w:szCs w:val="24"/>
                <w:lang w:val="uk-UA"/>
              </w:rPr>
              <w:t>10895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102E34" w:rsidP="0091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102E34" w:rsidRDefault="00102E34" w:rsidP="0091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</w:tr>
      <w:tr w:rsidR="009126A1" w:rsidRPr="003D0441" w:rsidTr="003B5032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 xml:space="preserve">відрахування  профспілці на культмасову та оздоровчу роботу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E42213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3D0441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45,5</w:t>
            </w:r>
          </w:p>
        </w:tc>
      </w:tr>
      <w:tr w:rsidR="009126A1" w:rsidRPr="003D0441" w:rsidTr="003B5032">
        <w:trPr>
          <w:trHeight w:val="667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 xml:space="preserve">перші 5 днів  тимчасової непрацездатності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A1" w:rsidRPr="00E42213" w:rsidRDefault="00133812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1" w:rsidRPr="003D0441" w:rsidRDefault="00407720" w:rsidP="009126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1" w:rsidRPr="00944049" w:rsidRDefault="003D07EC" w:rsidP="009126A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155,4</w:t>
            </w:r>
          </w:p>
        </w:tc>
      </w:tr>
    </w:tbl>
    <w:p w:rsidR="00102E34" w:rsidRDefault="00102E34" w:rsidP="009126A1">
      <w:pPr>
        <w:spacing w:line="360" w:lineRule="exact"/>
        <w:ind w:right="-1" w:firstLine="567"/>
        <w:jc w:val="both"/>
        <w:rPr>
          <w:sz w:val="26"/>
          <w:szCs w:val="26"/>
          <w:lang w:val="uk-UA"/>
        </w:rPr>
      </w:pPr>
    </w:p>
    <w:p w:rsidR="009126A1" w:rsidRDefault="009126A1" w:rsidP="009126A1">
      <w:pPr>
        <w:spacing w:line="360" w:lineRule="exact"/>
        <w:ind w:right="-1" w:firstLine="567"/>
        <w:jc w:val="both"/>
        <w:rPr>
          <w:sz w:val="26"/>
          <w:szCs w:val="26"/>
          <w:lang w:val="uk-UA"/>
        </w:rPr>
      </w:pPr>
      <w:r w:rsidRPr="009126A1">
        <w:rPr>
          <w:sz w:val="26"/>
          <w:szCs w:val="26"/>
          <w:lang w:val="uk-UA"/>
        </w:rPr>
        <w:t xml:space="preserve">Інші операційні витрати за звітний період збільшились проти плану </w:t>
      </w:r>
      <w:r w:rsidR="003D07EC">
        <w:rPr>
          <w:sz w:val="26"/>
          <w:szCs w:val="26"/>
          <w:lang w:val="uk-UA"/>
        </w:rPr>
        <w:t xml:space="preserve">у 2 рази </w:t>
      </w:r>
      <w:r w:rsidRPr="009126A1">
        <w:rPr>
          <w:sz w:val="26"/>
          <w:szCs w:val="26"/>
          <w:lang w:val="uk-UA"/>
        </w:rPr>
        <w:t>та проти звіту за 2018 р</w:t>
      </w:r>
      <w:r>
        <w:rPr>
          <w:sz w:val="26"/>
          <w:szCs w:val="26"/>
          <w:lang w:val="uk-UA"/>
        </w:rPr>
        <w:t>ік</w:t>
      </w:r>
      <w:r w:rsidRPr="009126A1">
        <w:rPr>
          <w:sz w:val="26"/>
          <w:szCs w:val="26"/>
          <w:lang w:val="uk-UA"/>
        </w:rPr>
        <w:t xml:space="preserve"> </w:t>
      </w:r>
      <w:r w:rsidR="003D07EC">
        <w:rPr>
          <w:sz w:val="26"/>
          <w:szCs w:val="26"/>
          <w:lang w:val="uk-UA"/>
        </w:rPr>
        <w:t>на 14,6 %</w:t>
      </w:r>
      <w:r w:rsidRPr="000B42C2">
        <w:rPr>
          <w:sz w:val="26"/>
          <w:szCs w:val="26"/>
          <w:lang w:val="uk-UA"/>
        </w:rPr>
        <w:t>, відповідно</w:t>
      </w:r>
      <w:r w:rsidRPr="009126A1">
        <w:rPr>
          <w:sz w:val="26"/>
          <w:szCs w:val="26"/>
          <w:lang w:val="uk-UA"/>
        </w:rPr>
        <w:t xml:space="preserve">, внаслідок виникнення витрат операційної діяльності підприємства від зміни курсу гривні до інвалюти (курсові різниці) в </w:t>
      </w:r>
      <w:r w:rsidRPr="000B42C2">
        <w:rPr>
          <w:sz w:val="26"/>
          <w:szCs w:val="26"/>
          <w:lang w:val="uk-UA"/>
        </w:rPr>
        <w:t xml:space="preserve">сумі </w:t>
      </w:r>
      <w:r w:rsidR="003D07EC">
        <w:rPr>
          <w:sz w:val="26"/>
          <w:szCs w:val="26"/>
          <w:lang w:val="uk-UA"/>
        </w:rPr>
        <w:t xml:space="preserve">11 174 </w:t>
      </w:r>
      <w:r w:rsidRPr="000B42C2">
        <w:rPr>
          <w:sz w:val="26"/>
          <w:szCs w:val="26"/>
          <w:lang w:val="uk-UA"/>
        </w:rPr>
        <w:t>тис. грн. Також</w:t>
      </w:r>
      <w:r w:rsidRPr="009126A1">
        <w:rPr>
          <w:sz w:val="26"/>
          <w:szCs w:val="26"/>
          <w:lang w:val="uk-UA"/>
        </w:rPr>
        <w:t xml:space="preserve"> на зростання інших операційних витрат у звітному періоді вплинуло зростання витрат на лікарняні (перші 5 днів тимчасової непрацездатності)</w:t>
      </w:r>
      <w:r w:rsidR="003D07EC">
        <w:rPr>
          <w:sz w:val="26"/>
          <w:szCs w:val="26"/>
          <w:lang w:val="uk-UA"/>
        </w:rPr>
        <w:t xml:space="preserve"> на 50,3 % та 55,4 % відповідно.</w:t>
      </w:r>
    </w:p>
    <w:p w:rsidR="007A49AE" w:rsidRDefault="007A49AE" w:rsidP="007A49AE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Мінфін наказом від 16.09.2019 р. № 379 </w:t>
      </w:r>
      <w:proofErr w:type="spellStart"/>
      <w:r>
        <w:rPr>
          <w:sz w:val="26"/>
          <w:szCs w:val="26"/>
          <w:lang w:val="uk-UA"/>
        </w:rPr>
        <w:t>вніс</w:t>
      </w:r>
      <w:proofErr w:type="spellEnd"/>
      <w:r>
        <w:rPr>
          <w:sz w:val="26"/>
          <w:szCs w:val="26"/>
          <w:lang w:val="uk-UA"/>
        </w:rPr>
        <w:t xml:space="preserve"> зміни до деяких П(С)БО в частині дисконтування довгострокової заборгованості. Згідно з вищезазначеним наказом на дату балансу (31.12.2019 року) була зроблена оцінка за теперішньою (дисконтованою) вартістю позики ДП "</w:t>
      </w:r>
      <w:proofErr w:type="spellStart"/>
      <w:r>
        <w:rPr>
          <w:sz w:val="26"/>
          <w:szCs w:val="26"/>
          <w:lang w:val="uk-UA"/>
        </w:rPr>
        <w:t>Укрсервіс</w:t>
      </w:r>
      <w:proofErr w:type="spellEnd"/>
      <w:r>
        <w:rPr>
          <w:sz w:val="26"/>
          <w:szCs w:val="26"/>
          <w:lang w:val="uk-UA"/>
        </w:rPr>
        <w:t xml:space="preserve"> Мінтрансу", яка була надана в квітні 2004 року, та строк погашення якої ще не настав. В результаті оцінки довгострокової дебіторської заборгованості різниця між </w:t>
      </w:r>
      <w:proofErr w:type="spellStart"/>
      <w:r>
        <w:rPr>
          <w:sz w:val="26"/>
          <w:szCs w:val="26"/>
          <w:lang w:val="uk-UA"/>
        </w:rPr>
        <w:t>номінал</w:t>
      </w:r>
      <w:r w:rsidR="00C859A6">
        <w:rPr>
          <w:sz w:val="26"/>
          <w:szCs w:val="26"/>
          <w:lang w:val="uk-UA"/>
        </w:rPr>
        <w:t>бною</w:t>
      </w:r>
      <w:proofErr w:type="spellEnd"/>
      <w:r>
        <w:rPr>
          <w:sz w:val="26"/>
          <w:szCs w:val="26"/>
          <w:lang w:val="uk-UA"/>
        </w:rPr>
        <w:t xml:space="preserve"> і теперішньою вартістю позики (дисконт) була включена в грудні 2019 року до фінансових витрат підприємства (1 429 тис. грн). </w:t>
      </w:r>
    </w:p>
    <w:p w:rsidR="007A49AE" w:rsidRPr="009126A1" w:rsidRDefault="007A49AE" w:rsidP="009126A1">
      <w:pPr>
        <w:spacing w:line="360" w:lineRule="exact"/>
        <w:ind w:right="-1" w:firstLine="567"/>
        <w:jc w:val="both"/>
        <w:rPr>
          <w:szCs w:val="26"/>
          <w:lang w:val="uk-UA"/>
        </w:rPr>
      </w:pPr>
    </w:p>
    <w:p w:rsidR="00E54F29" w:rsidRDefault="00E54F29" w:rsidP="00A10B5F">
      <w:pPr>
        <w:pStyle w:val="a7"/>
        <w:tabs>
          <w:tab w:val="left" w:pos="1134"/>
        </w:tabs>
        <w:spacing w:after="120"/>
        <w:ind w:left="0" w:right="284" w:firstLine="0"/>
        <w:rPr>
          <w:sz w:val="26"/>
          <w:szCs w:val="26"/>
          <w:lang w:val="uk-UA"/>
        </w:rPr>
      </w:pPr>
      <w:r w:rsidRPr="001538FF">
        <w:rPr>
          <w:sz w:val="26"/>
          <w:szCs w:val="26"/>
          <w:lang w:val="uk-UA"/>
        </w:rPr>
        <w:t>Рівень оплати праці</w:t>
      </w:r>
    </w:p>
    <w:tbl>
      <w:tblPr>
        <w:tblW w:w="9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134"/>
        <w:gridCol w:w="1077"/>
        <w:gridCol w:w="1297"/>
        <w:gridCol w:w="1097"/>
      </w:tblGrid>
      <w:tr w:rsidR="009126A1" w:rsidRPr="00887C64" w:rsidTr="009126A1">
        <w:trPr>
          <w:trHeight w:val="11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126A1" w:rsidRPr="00887C64" w:rsidRDefault="009126A1" w:rsidP="009126A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A6484">
              <w:rPr>
                <w:color w:val="000000"/>
                <w:sz w:val="24"/>
                <w:szCs w:val="22"/>
                <w:lang w:val="uk-UA" w:eastAsia="uk-UA"/>
              </w:rPr>
              <w:t>Показники</w:t>
            </w:r>
          </w:p>
        </w:tc>
        <w:tc>
          <w:tcPr>
            <w:tcW w:w="1418" w:type="dxa"/>
            <w:vAlign w:val="center"/>
          </w:tcPr>
          <w:p w:rsidR="009126A1" w:rsidRPr="003D0441" w:rsidRDefault="009126A1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8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План  на  201</w:t>
            </w:r>
            <w:r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 за            201</w:t>
            </w:r>
            <w:r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9126A1" w:rsidRPr="003D0441" w:rsidRDefault="009126A1" w:rsidP="009126A1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р.  в %% до 201</w:t>
            </w:r>
            <w:r>
              <w:rPr>
                <w:sz w:val="24"/>
                <w:lang w:val="uk-UA"/>
              </w:rPr>
              <w:t>8</w:t>
            </w:r>
            <w:r w:rsidRPr="003D0441">
              <w:rPr>
                <w:sz w:val="24"/>
                <w:lang w:val="uk-UA"/>
              </w:rPr>
              <w:t> р.</w:t>
            </w:r>
          </w:p>
        </w:tc>
      </w:tr>
      <w:tr w:rsidR="009126A1" w:rsidRPr="00887C64" w:rsidTr="009126A1">
        <w:trPr>
          <w:trHeight w:val="706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1. Фонд оплати праці штатних працівників, </w:t>
            </w:r>
            <w:proofErr w:type="spellStart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110575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F65D87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145100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465EF9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125600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86,6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113,6</w:t>
            </w:r>
          </w:p>
        </w:tc>
      </w:tr>
      <w:tr w:rsidR="009126A1" w:rsidRPr="00887C64" w:rsidTr="009126A1">
        <w:trPr>
          <w:trHeight w:val="703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2. Витрати на оплату праці, </w:t>
            </w:r>
            <w:proofErr w:type="spellStart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122879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146609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465EF9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119379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81,4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97,2</w:t>
            </w:r>
          </w:p>
        </w:tc>
      </w:tr>
      <w:tr w:rsidR="009126A1" w:rsidRPr="00887C64" w:rsidTr="009126A1">
        <w:trPr>
          <w:trHeight w:val="684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3.Середньооблікова чисельність всіх працівників (осіб)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465EF9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606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84,3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93,7</w:t>
            </w:r>
          </w:p>
        </w:tc>
      </w:tr>
      <w:tr w:rsidR="009126A1" w:rsidRPr="00887C64" w:rsidTr="009126A1">
        <w:trPr>
          <w:trHeight w:val="645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4.Середньооблікова чисельність штатних працівників 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599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83,9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93,9</w:t>
            </w:r>
          </w:p>
        </w:tc>
      </w:tr>
      <w:tr w:rsidR="009126A1" w:rsidRPr="00887C64" w:rsidTr="009126A1">
        <w:trPr>
          <w:trHeight w:val="718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5. Середньомісячна зарплата штатних працівників, грн.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16935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17474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103,2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121,0</w:t>
            </w:r>
          </w:p>
        </w:tc>
      </w:tr>
      <w:tr w:rsidR="009126A1" w:rsidRPr="00887C64" w:rsidTr="009126A1">
        <w:trPr>
          <w:trHeight w:val="984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6. Середньомісячні витрати на оплату праці одного працівника, грн.</w:t>
            </w:r>
          </w:p>
        </w:tc>
        <w:tc>
          <w:tcPr>
            <w:tcW w:w="1418" w:type="dxa"/>
            <w:vAlign w:val="center"/>
          </w:tcPr>
          <w:p w:rsidR="009126A1" w:rsidRPr="0079255D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15827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F65D87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16992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79255D" w:rsidRDefault="00465EF9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16416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96,6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103,7</w:t>
            </w:r>
          </w:p>
        </w:tc>
      </w:tr>
      <w:tr w:rsidR="009126A1" w:rsidRPr="00887C64" w:rsidTr="009126A1">
        <w:trPr>
          <w:trHeight w:val="687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7. Продуктивність праці, </w:t>
            </w:r>
            <w:proofErr w:type="spellStart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./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1 штатного працівника</w:t>
            </w:r>
          </w:p>
        </w:tc>
        <w:tc>
          <w:tcPr>
            <w:tcW w:w="1418" w:type="dxa"/>
            <w:vAlign w:val="center"/>
          </w:tcPr>
          <w:p w:rsidR="009126A1" w:rsidRPr="00887C64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561,3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463,8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82,6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Pr="00887C64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89,2</w:t>
            </w:r>
          </w:p>
        </w:tc>
      </w:tr>
      <w:tr w:rsidR="009126A1" w:rsidRPr="00887C64" w:rsidTr="009126A1">
        <w:trPr>
          <w:trHeight w:val="68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126A1" w:rsidRPr="00887C64" w:rsidRDefault="009126A1" w:rsidP="00912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</w:t>
            </w: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. Продуктивність праці, </w:t>
            </w:r>
            <w:proofErr w:type="spellStart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887C64">
              <w:rPr>
                <w:color w:val="000000"/>
                <w:sz w:val="24"/>
                <w:szCs w:val="24"/>
                <w:lang w:val="uk-UA" w:eastAsia="uk-UA"/>
              </w:rPr>
              <w:t>./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1 працівника</w:t>
            </w:r>
          </w:p>
        </w:tc>
        <w:tc>
          <w:tcPr>
            <w:tcW w:w="1418" w:type="dxa"/>
            <w:vAlign w:val="center"/>
          </w:tcPr>
          <w:p w:rsidR="009126A1" w:rsidRDefault="009126A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6A1" w:rsidRPr="00133812" w:rsidRDefault="00133812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557,4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9126A1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458,4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126A1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82,2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126A1" w:rsidRDefault="00E61281" w:rsidP="00912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89,4</w:t>
            </w:r>
          </w:p>
        </w:tc>
      </w:tr>
    </w:tbl>
    <w:p w:rsidR="009126A1" w:rsidRDefault="009126A1" w:rsidP="009126A1">
      <w:pPr>
        <w:pStyle w:val="a7"/>
        <w:tabs>
          <w:tab w:val="left" w:pos="1134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</w:p>
    <w:p w:rsidR="009126A1" w:rsidRPr="000B42C2" w:rsidRDefault="00962F86" w:rsidP="00A21E4B">
      <w:pPr>
        <w:pStyle w:val="a7"/>
        <w:tabs>
          <w:tab w:val="left" w:pos="1134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 w:rsidRPr="00962F86">
        <w:rPr>
          <w:sz w:val="26"/>
          <w:szCs w:val="26"/>
          <w:lang w:val="uk-UA"/>
        </w:rPr>
        <w:t>Фонд оплати праці</w:t>
      </w:r>
      <w:r>
        <w:rPr>
          <w:sz w:val="26"/>
          <w:szCs w:val="26"/>
          <w:lang w:val="uk-UA"/>
        </w:rPr>
        <w:t xml:space="preserve"> та </w:t>
      </w:r>
      <w:r w:rsidRPr="00962F86">
        <w:rPr>
          <w:sz w:val="26"/>
          <w:szCs w:val="26"/>
          <w:lang w:val="uk-UA"/>
        </w:rPr>
        <w:t xml:space="preserve">витрати на оплату праці </w:t>
      </w:r>
      <w:r>
        <w:rPr>
          <w:sz w:val="26"/>
          <w:szCs w:val="26"/>
          <w:lang w:val="uk-UA"/>
        </w:rPr>
        <w:t xml:space="preserve">за 2019 рік </w:t>
      </w:r>
      <w:r w:rsidRPr="00962F86">
        <w:rPr>
          <w:sz w:val="26"/>
          <w:szCs w:val="26"/>
          <w:lang w:val="uk-UA"/>
        </w:rPr>
        <w:t>менше плану на 13,4 % та 18,6 % відповідно у зв'язку зі зменшенням вантажопереробки.</w:t>
      </w:r>
      <w:r>
        <w:rPr>
          <w:sz w:val="26"/>
          <w:szCs w:val="26"/>
          <w:lang w:val="uk-UA"/>
        </w:rPr>
        <w:t xml:space="preserve"> </w:t>
      </w:r>
      <w:r w:rsidR="009126A1" w:rsidRPr="00E80AF7">
        <w:rPr>
          <w:sz w:val="26"/>
          <w:szCs w:val="26"/>
          <w:lang w:val="uk-UA"/>
        </w:rPr>
        <w:t xml:space="preserve">Фонд оплати праці штатних працівників </w:t>
      </w:r>
      <w:r w:rsidR="00A21E4B">
        <w:rPr>
          <w:sz w:val="26"/>
          <w:szCs w:val="26"/>
          <w:lang w:val="uk-UA"/>
        </w:rPr>
        <w:t xml:space="preserve">та середньомісячна зарплата штатних працівників </w:t>
      </w:r>
      <w:r>
        <w:rPr>
          <w:sz w:val="26"/>
          <w:szCs w:val="26"/>
          <w:lang w:val="uk-UA"/>
        </w:rPr>
        <w:t xml:space="preserve">зросли проти звіту за </w:t>
      </w:r>
      <w:r w:rsidR="00A21E4B">
        <w:rPr>
          <w:sz w:val="26"/>
          <w:szCs w:val="26"/>
          <w:lang w:val="uk-UA"/>
        </w:rPr>
        <w:t>минул</w:t>
      </w:r>
      <w:r>
        <w:rPr>
          <w:sz w:val="26"/>
          <w:szCs w:val="26"/>
          <w:lang w:val="uk-UA"/>
        </w:rPr>
        <w:t>ий</w:t>
      </w:r>
      <w:r w:rsidR="00A21E4B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і</w:t>
      </w:r>
      <w:r w:rsidR="00A21E4B">
        <w:rPr>
          <w:sz w:val="26"/>
          <w:szCs w:val="26"/>
          <w:lang w:val="uk-UA"/>
        </w:rPr>
        <w:t>к на 13,6 % та 21,0 % відповідно внаслідок нарахування в 1 кварталі 2019 року винагороди за підсумками роботи за 2018 рік.</w:t>
      </w:r>
    </w:p>
    <w:p w:rsidR="009126A1" w:rsidRPr="000B42C2" w:rsidRDefault="009126A1" w:rsidP="009126A1">
      <w:pPr>
        <w:pStyle w:val="a7"/>
        <w:tabs>
          <w:tab w:val="left" w:pos="9639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Середньооблікова кількість усіх працівників </w:t>
      </w:r>
      <w:r w:rsidR="00962F86">
        <w:rPr>
          <w:sz w:val="26"/>
          <w:szCs w:val="26"/>
          <w:lang w:val="uk-UA"/>
        </w:rPr>
        <w:t xml:space="preserve">та штатних працівників </w:t>
      </w:r>
      <w:r w:rsidRPr="000B42C2">
        <w:rPr>
          <w:sz w:val="26"/>
          <w:szCs w:val="26"/>
          <w:lang w:val="uk-UA"/>
        </w:rPr>
        <w:t xml:space="preserve">менше запланованої </w:t>
      </w:r>
      <w:r w:rsidR="00962F86">
        <w:rPr>
          <w:sz w:val="26"/>
          <w:szCs w:val="26"/>
          <w:lang w:val="uk-UA"/>
        </w:rPr>
        <w:t xml:space="preserve">та фактичної за минулий рік </w:t>
      </w:r>
      <w:r w:rsidRPr="000B42C2">
        <w:rPr>
          <w:sz w:val="26"/>
          <w:szCs w:val="26"/>
          <w:lang w:val="uk-UA"/>
        </w:rPr>
        <w:t xml:space="preserve">через неукомплектованість штатних одиниць морських буксирів флоту (портового), слюсарів з ремонту та обслуговування перевантажувальної техніки у групі портальних кранів та базі автомобільного та </w:t>
      </w:r>
      <w:proofErr w:type="spellStart"/>
      <w:r w:rsidRPr="000B42C2">
        <w:rPr>
          <w:sz w:val="26"/>
          <w:szCs w:val="26"/>
          <w:lang w:val="uk-UA"/>
        </w:rPr>
        <w:t>внутрішньопортового</w:t>
      </w:r>
      <w:proofErr w:type="spellEnd"/>
      <w:r w:rsidRPr="000B42C2">
        <w:rPr>
          <w:sz w:val="26"/>
          <w:szCs w:val="26"/>
          <w:lang w:val="uk-UA"/>
        </w:rPr>
        <w:t xml:space="preserve"> транспорту та у зв’язку з плинністю кадрів. Штатна чисельність працівників станом на 01.01.2020 року становить </w:t>
      </w:r>
      <w:r w:rsidR="004F7BE6">
        <w:rPr>
          <w:sz w:val="26"/>
          <w:szCs w:val="26"/>
          <w:lang w:val="uk-UA"/>
        </w:rPr>
        <w:t>570</w:t>
      </w:r>
      <w:r w:rsidRPr="000B42C2">
        <w:rPr>
          <w:sz w:val="26"/>
          <w:szCs w:val="26"/>
          <w:lang w:val="uk-UA"/>
        </w:rPr>
        <w:t xml:space="preserve"> ос</w:t>
      </w:r>
      <w:r w:rsidR="004F7BE6">
        <w:rPr>
          <w:sz w:val="26"/>
          <w:szCs w:val="26"/>
          <w:lang w:val="uk-UA"/>
        </w:rPr>
        <w:t>і</w:t>
      </w:r>
      <w:r w:rsidRPr="000B42C2">
        <w:rPr>
          <w:sz w:val="26"/>
          <w:szCs w:val="26"/>
          <w:lang w:val="uk-UA"/>
        </w:rPr>
        <w:t>б.</w:t>
      </w:r>
    </w:p>
    <w:p w:rsidR="009126A1" w:rsidRPr="000B42C2" w:rsidRDefault="009126A1" w:rsidP="009126A1">
      <w:pPr>
        <w:pStyle w:val="a7"/>
        <w:tabs>
          <w:tab w:val="left" w:pos="9639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Усі працівники зайняті повний робочий день, у відпустках з ініціативи адміністрації без збереження заробітної плати працівники порту не перебували. Діюча </w:t>
      </w:r>
      <w:r w:rsidRPr="000B42C2">
        <w:rPr>
          <w:sz w:val="26"/>
          <w:szCs w:val="26"/>
          <w:lang w:val="uk-UA"/>
        </w:rPr>
        <w:lastRenderedPageBreak/>
        <w:t xml:space="preserve">система оплати праці і матеріального заохочення працівників дозволяє забезпечити високий рівень середньої заробітної плати. Заборгованості із заробітної плати підприємство не має. За 2019 рік середньомісячна заробітна плата 1-го штатного працівника склала </w:t>
      </w:r>
      <w:r w:rsidR="00A21E4B">
        <w:rPr>
          <w:sz w:val="26"/>
          <w:szCs w:val="26"/>
          <w:lang w:val="uk-UA"/>
        </w:rPr>
        <w:t>17 474</w:t>
      </w:r>
      <w:r w:rsidRPr="000B42C2">
        <w:rPr>
          <w:sz w:val="26"/>
          <w:szCs w:val="26"/>
          <w:lang w:val="uk-UA"/>
        </w:rPr>
        <w:t xml:space="preserve"> грн, середньомісячні витрати на оплату праці 1-го працівника – </w:t>
      </w:r>
      <w:r w:rsidR="00A21E4B">
        <w:rPr>
          <w:sz w:val="26"/>
          <w:szCs w:val="26"/>
          <w:lang w:val="uk-UA"/>
        </w:rPr>
        <w:t>16 416</w:t>
      </w:r>
      <w:r w:rsidRPr="000B42C2">
        <w:rPr>
          <w:sz w:val="26"/>
          <w:szCs w:val="26"/>
          <w:lang w:val="uk-UA"/>
        </w:rPr>
        <w:t xml:space="preserve"> грн.</w:t>
      </w:r>
    </w:p>
    <w:p w:rsidR="009126A1" w:rsidRPr="00600716" w:rsidRDefault="009126A1" w:rsidP="009126A1">
      <w:pPr>
        <w:tabs>
          <w:tab w:val="left" w:pos="567"/>
          <w:tab w:val="left" w:pos="9639"/>
          <w:tab w:val="left" w:pos="9923"/>
        </w:tabs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Поточне керівництво ДП "СК "Ольвія" здійснює</w:t>
      </w:r>
      <w:r w:rsidRPr="00600716">
        <w:rPr>
          <w:sz w:val="26"/>
          <w:szCs w:val="26"/>
          <w:lang w:val="uk-UA"/>
        </w:rPr>
        <w:t xml:space="preserve"> директор Олейник Р.М., призначений наказом Міністерства інфраструктури України від 26.06.2016 за №89-</w:t>
      </w:r>
      <w:r>
        <w:rPr>
          <w:sz w:val="26"/>
          <w:szCs w:val="26"/>
          <w:lang w:val="uk-UA"/>
        </w:rPr>
        <w:t>О</w:t>
      </w:r>
      <w:r w:rsidRPr="00600716">
        <w:rPr>
          <w:sz w:val="26"/>
          <w:szCs w:val="26"/>
          <w:lang w:val="uk-UA"/>
        </w:rPr>
        <w:t xml:space="preserve"> на посаду виконуючого обов’язки директора підприємства та затверджений на посаду директора наказом Міністерства інфраструктури України від 02.05.2019 за №30-</w:t>
      </w:r>
      <w:r>
        <w:rPr>
          <w:sz w:val="26"/>
          <w:szCs w:val="26"/>
          <w:lang w:val="uk-UA"/>
        </w:rPr>
        <w:t>О</w:t>
      </w:r>
      <w:r w:rsidRPr="00600716">
        <w:rPr>
          <w:sz w:val="26"/>
          <w:szCs w:val="26"/>
          <w:lang w:val="uk-UA"/>
        </w:rPr>
        <w:t>, який організує виробничо-господарську, соціально-побутову діяльність, забезпечує виконання завдань підприємства, передбачених законодавством і Статутом підприємства.</w:t>
      </w:r>
    </w:p>
    <w:p w:rsidR="009126A1" w:rsidRDefault="009126A1" w:rsidP="009126A1">
      <w:pPr>
        <w:pStyle w:val="a7"/>
        <w:tabs>
          <w:tab w:val="left" w:pos="1134"/>
        </w:tabs>
        <w:spacing w:line="276" w:lineRule="auto"/>
        <w:ind w:left="0" w:right="-1" w:firstLine="567"/>
        <w:jc w:val="both"/>
        <w:rPr>
          <w:sz w:val="26"/>
          <w:szCs w:val="26"/>
          <w:lang w:val="uk-UA"/>
        </w:rPr>
      </w:pPr>
    </w:p>
    <w:p w:rsidR="00CB23D6" w:rsidRPr="001560D9" w:rsidRDefault="00CB23D6" w:rsidP="00D45D0D">
      <w:pPr>
        <w:pStyle w:val="a7"/>
        <w:numPr>
          <w:ilvl w:val="0"/>
          <w:numId w:val="12"/>
        </w:numPr>
        <w:tabs>
          <w:tab w:val="left" w:pos="284"/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6"/>
          <w:lang w:val="uk-UA"/>
        </w:rPr>
      </w:pPr>
      <w:r w:rsidRPr="001560D9">
        <w:rPr>
          <w:b/>
          <w:sz w:val="28"/>
          <w:szCs w:val="26"/>
          <w:lang w:val="uk-UA"/>
        </w:rPr>
        <w:t>Розподіл чистого прибутку</w:t>
      </w:r>
    </w:p>
    <w:p w:rsidR="00BC1B67" w:rsidRPr="00EA56D4" w:rsidRDefault="00BC1B67" w:rsidP="00EA56D4">
      <w:pPr>
        <w:pStyle w:val="a7"/>
        <w:tabs>
          <w:tab w:val="left" w:pos="284"/>
        </w:tabs>
        <w:spacing w:line="380" w:lineRule="exact"/>
        <w:ind w:left="851" w:firstLine="567"/>
        <w:jc w:val="both"/>
        <w:rPr>
          <w:szCs w:val="26"/>
          <w:lang w:val="uk-UA"/>
        </w:rPr>
      </w:pPr>
    </w:p>
    <w:p w:rsidR="000806B1" w:rsidRDefault="005E0522" w:rsidP="009126A1">
      <w:pPr>
        <w:pStyle w:val="a7"/>
        <w:tabs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 час складанн</w:t>
      </w:r>
      <w:r w:rsidR="00273FE0">
        <w:rPr>
          <w:sz w:val="26"/>
          <w:szCs w:val="26"/>
          <w:lang w:val="uk-UA"/>
        </w:rPr>
        <w:t>я</w:t>
      </w:r>
      <w:r>
        <w:rPr>
          <w:sz w:val="26"/>
          <w:szCs w:val="26"/>
          <w:lang w:val="uk-UA"/>
        </w:rPr>
        <w:t xml:space="preserve"> фінансового плану ДП "СК "Ольвія" на 2019 рік, який був затверджений розпорядженням КМУ від </w:t>
      </w:r>
      <w:r w:rsidRPr="00273FE0">
        <w:rPr>
          <w:b/>
          <w:i/>
          <w:sz w:val="26"/>
          <w:szCs w:val="26"/>
          <w:lang w:val="uk-UA"/>
        </w:rPr>
        <w:t>21.11.2018 року</w:t>
      </w:r>
      <w:r>
        <w:rPr>
          <w:sz w:val="26"/>
          <w:szCs w:val="26"/>
          <w:lang w:val="uk-UA"/>
        </w:rPr>
        <w:t xml:space="preserve"> № 903-р, при </w:t>
      </w:r>
      <w:r w:rsidRPr="005E0522">
        <w:rPr>
          <w:sz w:val="26"/>
          <w:szCs w:val="26"/>
          <w:lang w:val="uk-UA"/>
        </w:rPr>
        <w:t>визначенні частини чистого прибутку, що відраховується державними унітарними підприємствами до державного бюджету</w:t>
      </w:r>
      <w:r w:rsidR="00273FE0">
        <w:rPr>
          <w:sz w:val="26"/>
          <w:szCs w:val="26"/>
          <w:lang w:val="uk-UA"/>
        </w:rPr>
        <w:t>,</w:t>
      </w:r>
      <w:r w:rsidRPr="005E0522">
        <w:rPr>
          <w:sz w:val="26"/>
          <w:szCs w:val="26"/>
          <w:lang w:val="uk-UA"/>
        </w:rPr>
        <w:t xml:space="preserve"> підприємство керувалось постановою КМУ № </w:t>
      </w:r>
      <w:r>
        <w:rPr>
          <w:sz w:val="26"/>
          <w:szCs w:val="26"/>
          <w:lang w:val="uk-UA"/>
        </w:rPr>
        <w:t>1156</w:t>
      </w:r>
      <w:r w:rsidRPr="005E0522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30</w:t>
      </w:r>
      <w:r w:rsidRPr="005E052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12</w:t>
      </w:r>
      <w:r w:rsidRPr="005E0522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15</w:t>
      </w:r>
      <w:r w:rsidRPr="005E0522">
        <w:rPr>
          <w:sz w:val="26"/>
          <w:szCs w:val="26"/>
          <w:lang w:val="uk-UA"/>
        </w:rPr>
        <w:t xml:space="preserve"> року "Про внесення змін до пункту 1 Порядку відрахування до державного бюджету частини чистого прибутку (доходу) державними унітарними підприємствами та їх об’єднаннями", в якій визначено, що необхідно передбачати відраховувати до державного бюджету </w:t>
      </w:r>
      <w:r w:rsidRPr="00273FE0">
        <w:rPr>
          <w:b/>
          <w:i/>
          <w:sz w:val="26"/>
          <w:szCs w:val="26"/>
          <w:lang w:val="uk-UA"/>
        </w:rPr>
        <w:t>75 %</w:t>
      </w:r>
      <w:r w:rsidRPr="005E0522">
        <w:rPr>
          <w:sz w:val="26"/>
          <w:szCs w:val="26"/>
          <w:lang w:val="uk-UA"/>
        </w:rPr>
        <w:t xml:space="preserve"> частини чистого прибутку підприємства</w:t>
      </w:r>
      <w:r w:rsidR="000806B1">
        <w:rPr>
          <w:sz w:val="26"/>
          <w:szCs w:val="26"/>
          <w:lang w:val="uk-UA"/>
        </w:rPr>
        <w:t>. Ця норма відрахувань і була врахована в затвердженому фінансовому плані на 2019 рік</w:t>
      </w:r>
      <w:r w:rsidR="00273FE0">
        <w:rPr>
          <w:sz w:val="26"/>
          <w:szCs w:val="26"/>
          <w:lang w:val="uk-UA"/>
        </w:rPr>
        <w:t xml:space="preserve"> – </w:t>
      </w:r>
      <w:r w:rsidR="00273FE0">
        <w:rPr>
          <w:b/>
          <w:i/>
          <w:sz w:val="26"/>
          <w:szCs w:val="26"/>
          <w:lang w:val="uk-UA"/>
        </w:rPr>
        <w:t>52 328 </w:t>
      </w:r>
      <w:r w:rsidR="00273FE0" w:rsidRPr="00273FE0">
        <w:rPr>
          <w:b/>
          <w:i/>
          <w:sz w:val="26"/>
          <w:szCs w:val="26"/>
          <w:lang w:val="uk-UA"/>
        </w:rPr>
        <w:t>тис. грн</w:t>
      </w:r>
      <w:r w:rsidR="000806B1">
        <w:rPr>
          <w:sz w:val="26"/>
          <w:szCs w:val="26"/>
          <w:lang w:val="uk-UA"/>
        </w:rPr>
        <w:t>.</w:t>
      </w:r>
    </w:p>
    <w:p w:rsidR="000806B1" w:rsidRDefault="000806B1" w:rsidP="009126A1">
      <w:pPr>
        <w:pStyle w:val="a7"/>
        <w:tabs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806B1">
        <w:rPr>
          <w:sz w:val="26"/>
          <w:szCs w:val="26"/>
          <w:lang w:val="uk-UA"/>
        </w:rPr>
        <w:t>Відповідно до постанови КМУ № 363 від 24.04.2019 року "Про внесення змін до пункту 1 Порядку відрахування до державного бюджету частини чистого прибутку (доходу) державними унітарними підприємствами та їх об’єднаннями" починаючи з 1 січня 2019 року передбачено відраховувати до державного бюджету 50 % частини чистого прибутку підприємства оскільки, згідно вищезазначеної постанови КМУ, за результатами фінансово-господарської діяльності обсяг чистого прибутку підприємства очікувано в 2019 році становить менше 50 000 тис. грн</w:t>
      </w:r>
      <w:r>
        <w:rPr>
          <w:sz w:val="26"/>
          <w:szCs w:val="26"/>
          <w:lang w:val="uk-UA"/>
        </w:rPr>
        <w:t>. Проте ДП "СК "Ольвія" не вносило зміни до затвердженого фінансового плану на 2019 рік.</w:t>
      </w:r>
    </w:p>
    <w:p w:rsidR="000B42C2" w:rsidRDefault="000806B1" w:rsidP="009126A1">
      <w:pPr>
        <w:pStyle w:val="a7"/>
        <w:tabs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0B42C2" w:rsidRPr="000B42C2">
        <w:rPr>
          <w:sz w:val="26"/>
          <w:szCs w:val="26"/>
          <w:lang w:val="uk-UA"/>
        </w:rPr>
        <w:t>останов</w:t>
      </w:r>
      <w:r>
        <w:rPr>
          <w:sz w:val="26"/>
          <w:szCs w:val="26"/>
          <w:lang w:val="uk-UA"/>
        </w:rPr>
        <w:t>ою</w:t>
      </w:r>
      <w:r w:rsidR="000B42C2" w:rsidRPr="000B42C2">
        <w:rPr>
          <w:sz w:val="26"/>
          <w:szCs w:val="26"/>
          <w:lang w:val="uk-UA"/>
        </w:rPr>
        <w:t xml:space="preserve"> КМУ № 1015 від 04.12.2019 року "Про внесення змін та визнання такими, що втратили чинність, деяких постанов Кабінету Міністрів України" за результатами фінансово-господарської діяльності починаючи з 1 січня 2019 року передбачено відраховув</w:t>
      </w:r>
      <w:r w:rsidR="000B42C2">
        <w:rPr>
          <w:sz w:val="26"/>
          <w:szCs w:val="26"/>
          <w:lang w:val="uk-UA"/>
        </w:rPr>
        <w:t xml:space="preserve">ати до державного бюджету </w:t>
      </w:r>
      <w:r w:rsidR="000B42C2" w:rsidRPr="00273FE0">
        <w:rPr>
          <w:b/>
          <w:i/>
          <w:sz w:val="26"/>
          <w:szCs w:val="26"/>
          <w:lang w:val="uk-UA"/>
        </w:rPr>
        <w:t>90 %</w:t>
      </w:r>
      <w:r>
        <w:rPr>
          <w:sz w:val="26"/>
          <w:szCs w:val="26"/>
          <w:lang w:val="uk-UA"/>
        </w:rPr>
        <w:t xml:space="preserve"> </w:t>
      </w:r>
      <w:r w:rsidRPr="000806B1">
        <w:rPr>
          <w:sz w:val="26"/>
          <w:szCs w:val="26"/>
          <w:lang w:val="uk-UA"/>
        </w:rPr>
        <w:t>частини чистого прибутку підприємства, що</w:t>
      </w:r>
      <w:r>
        <w:rPr>
          <w:sz w:val="26"/>
          <w:szCs w:val="26"/>
          <w:lang w:val="uk-UA"/>
        </w:rPr>
        <w:t xml:space="preserve"> і</w:t>
      </w:r>
      <w:r w:rsidRPr="000806B1">
        <w:rPr>
          <w:sz w:val="26"/>
          <w:szCs w:val="26"/>
          <w:lang w:val="uk-UA"/>
        </w:rPr>
        <w:t xml:space="preserve"> було враховано в </w:t>
      </w:r>
      <w:r w:rsidRPr="00273FE0">
        <w:rPr>
          <w:b/>
          <w:i/>
          <w:sz w:val="26"/>
          <w:szCs w:val="26"/>
          <w:lang w:val="uk-UA"/>
        </w:rPr>
        <w:t>фактичних показниках сплати</w:t>
      </w:r>
      <w:r w:rsidRPr="000806B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вірахувань</w:t>
      </w:r>
      <w:proofErr w:type="spellEnd"/>
      <w:r>
        <w:rPr>
          <w:sz w:val="26"/>
          <w:szCs w:val="26"/>
          <w:lang w:val="uk-UA"/>
        </w:rPr>
        <w:t xml:space="preserve"> </w:t>
      </w:r>
      <w:r w:rsidRPr="000806B1">
        <w:rPr>
          <w:sz w:val="26"/>
          <w:szCs w:val="26"/>
          <w:lang w:val="uk-UA"/>
        </w:rPr>
        <w:t>частини чистого прибутку</w:t>
      </w:r>
      <w:r w:rsidR="00273FE0">
        <w:rPr>
          <w:sz w:val="26"/>
          <w:szCs w:val="26"/>
          <w:lang w:val="uk-UA"/>
        </w:rPr>
        <w:t xml:space="preserve"> – </w:t>
      </w:r>
      <w:r w:rsidR="00273FE0" w:rsidRPr="00273FE0">
        <w:rPr>
          <w:b/>
          <w:i/>
          <w:sz w:val="26"/>
          <w:szCs w:val="26"/>
          <w:lang w:val="uk-UA"/>
        </w:rPr>
        <w:t>10 744 тис. грн</w:t>
      </w:r>
      <w:r w:rsidR="000B42C2">
        <w:rPr>
          <w:sz w:val="26"/>
          <w:szCs w:val="26"/>
          <w:lang w:val="uk-UA"/>
        </w:rPr>
        <w:t>.</w:t>
      </w:r>
    </w:p>
    <w:p w:rsidR="000806B1" w:rsidRDefault="00B7646E" w:rsidP="00B3046E">
      <w:pPr>
        <w:pStyle w:val="a7"/>
        <w:spacing w:line="38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Розпорядженням КМУ від </w:t>
      </w:r>
      <w:r w:rsidRPr="00B7646E">
        <w:rPr>
          <w:b/>
          <w:i/>
          <w:sz w:val="26"/>
          <w:szCs w:val="26"/>
          <w:lang w:val="uk-UA"/>
        </w:rPr>
        <w:t>24.12.2019</w:t>
      </w:r>
      <w:r>
        <w:rPr>
          <w:sz w:val="26"/>
          <w:szCs w:val="26"/>
          <w:lang w:val="uk-UA"/>
        </w:rPr>
        <w:t xml:space="preserve"> № 1421-р визначено "врахувати в показниках фінансового плану на 2019 рік плановий розмір нарахування та сплати до державного бюджету частини чистого прибутку (доходу) в розмірі 90 відсотків чистого прибутку". </w:t>
      </w:r>
      <w:r w:rsidR="00B3046E">
        <w:rPr>
          <w:sz w:val="26"/>
          <w:szCs w:val="26"/>
          <w:lang w:val="uk-UA"/>
        </w:rPr>
        <w:t>Проте п.</w:t>
      </w:r>
      <w:r>
        <w:rPr>
          <w:sz w:val="26"/>
          <w:szCs w:val="26"/>
          <w:lang w:val="uk-UA"/>
        </w:rPr>
        <w:t xml:space="preserve"> 8 "Порядку складання, затвердження та контролю виконання фінансового плану </w:t>
      </w:r>
      <w:r>
        <w:rPr>
          <w:sz w:val="26"/>
          <w:szCs w:val="26"/>
          <w:lang w:val="uk-UA"/>
        </w:rPr>
        <w:lastRenderedPageBreak/>
        <w:t xml:space="preserve">суб'єкта господарювання державного сектору економіки", затвердженого Наказом </w:t>
      </w:r>
      <w:proofErr w:type="spellStart"/>
      <w:r>
        <w:rPr>
          <w:sz w:val="26"/>
          <w:szCs w:val="26"/>
          <w:lang w:val="uk-UA"/>
        </w:rPr>
        <w:t>МЕРіТУ</w:t>
      </w:r>
      <w:proofErr w:type="spellEnd"/>
      <w:r>
        <w:rPr>
          <w:sz w:val="26"/>
          <w:szCs w:val="26"/>
          <w:lang w:val="uk-UA"/>
        </w:rPr>
        <w:t xml:space="preserve"> № 205 від 02.03.2015 (зі змінами), визначено, що </w:t>
      </w:r>
      <w:r w:rsidR="00B3046E">
        <w:rPr>
          <w:sz w:val="26"/>
          <w:szCs w:val="26"/>
          <w:lang w:val="uk-UA"/>
        </w:rPr>
        <w:t xml:space="preserve">"зміни до фінансового плану підприємства не можуть уноситись у періоди, календарний строк яких закінчився". Скласти проект змін до фінансового плану, подати його на розгляд до суб'єкту управління та затвердити в такі стислі строки </w:t>
      </w:r>
      <w:r w:rsidR="00B3046E" w:rsidRPr="00B3046E">
        <w:rPr>
          <w:b/>
          <w:i/>
          <w:sz w:val="26"/>
          <w:szCs w:val="26"/>
          <w:lang w:val="uk-UA"/>
        </w:rPr>
        <w:t>не є можливим</w:t>
      </w:r>
      <w:r w:rsidR="00B3046E">
        <w:rPr>
          <w:sz w:val="26"/>
          <w:szCs w:val="26"/>
          <w:lang w:val="uk-UA"/>
        </w:rPr>
        <w:t xml:space="preserve">. Тому ДП "СК "Ольвія" враховано вимоги розпорядження КМУ № 1421-р частково, а саме: </w:t>
      </w:r>
      <w:r w:rsidR="00B3046E" w:rsidRPr="00B3046E">
        <w:rPr>
          <w:b/>
          <w:i/>
          <w:sz w:val="26"/>
          <w:szCs w:val="26"/>
          <w:lang w:val="uk-UA"/>
        </w:rPr>
        <w:t>звітні показники</w:t>
      </w:r>
      <w:r w:rsidR="00B3046E">
        <w:rPr>
          <w:sz w:val="26"/>
          <w:szCs w:val="26"/>
          <w:lang w:val="uk-UA"/>
        </w:rPr>
        <w:t xml:space="preserve"> по нарахованим та сплаченим відрахуванням частини чистого прибутку розраховані в розмірі </w:t>
      </w:r>
      <w:r w:rsidR="00B3046E" w:rsidRPr="00B3046E">
        <w:rPr>
          <w:b/>
          <w:i/>
          <w:sz w:val="26"/>
          <w:szCs w:val="26"/>
          <w:lang w:val="uk-UA"/>
        </w:rPr>
        <w:t>90 %</w:t>
      </w:r>
      <w:r w:rsidR="00B3046E">
        <w:rPr>
          <w:sz w:val="26"/>
          <w:szCs w:val="26"/>
          <w:lang w:val="uk-UA"/>
        </w:rPr>
        <w:t xml:space="preserve"> чистого прибутку.</w:t>
      </w:r>
    </w:p>
    <w:p w:rsidR="00273FE0" w:rsidRDefault="00273FE0" w:rsidP="000806B1">
      <w:pPr>
        <w:pStyle w:val="a7"/>
        <w:spacing w:line="380" w:lineRule="exact"/>
        <w:ind w:left="0" w:firstLine="567"/>
        <w:jc w:val="left"/>
        <w:rPr>
          <w:sz w:val="26"/>
          <w:szCs w:val="26"/>
          <w:lang w:val="uk-UA"/>
        </w:rPr>
      </w:pPr>
    </w:p>
    <w:p w:rsidR="00BC1B67" w:rsidRPr="001560D9" w:rsidRDefault="007A6169" w:rsidP="005A5B2E">
      <w:pPr>
        <w:pStyle w:val="a7"/>
        <w:spacing w:after="120"/>
        <w:ind w:left="0" w:firstLine="567"/>
        <w:jc w:val="right"/>
        <w:rPr>
          <w:sz w:val="26"/>
          <w:szCs w:val="26"/>
          <w:lang w:val="uk-UA"/>
        </w:rPr>
      </w:pPr>
      <w:r w:rsidRPr="00DC6B50">
        <w:rPr>
          <w:sz w:val="26"/>
          <w:szCs w:val="26"/>
          <w:lang w:val="uk-UA"/>
        </w:rPr>
        <w:t>Розподіл чистого прибутку</w:t>
      </w:r>
      <w:r w:rsidRPr="001560D9">
        <w:rPr>
          <w:sz w:val="26"/>
          <w:szCs w:val="26"/>
          <w:lang w:val="uk-UA"/>
        </w:rPr>
        <w:t xml:space="preserve">       </w:t>
      </w:r>
      <w:r w:rsidR="00E807AF" w:rsidRPr="001560D9">
        <w:rPr>
          <w:sz w:val="26"/>
          <w:szCs w:val="26"/>
          <w:lang w:val="uk-UA"/>
        </w:rPr>
        <w:t xml:space="preserve">  </w:t>
      </w:r>
      <w:r w:rsidR="00E56C93">
        <w:rPr>
          <w:sz w:val="26"/>
          <w:szCs w:val="26"/>
          <w:lang w:val="uk-UA"/>
        </w:rPr>
        <w:t xml:space="preserve">     </w:t>
      </w:r>
      <w:r w:rsidR="00E807AF" w:rsidRPr="001560D9">
        <w:rPr>
          <w:sz w:val="26"/>
          <w:szCs w:val="26"/>
          <w:lang w:val="uk-UA"/>
        </w:rPr>
        <w:t xml:space="preserve">      </w:t>
      </w:r>
      <w:r w:rsidR="00B12D1D">
        <w:rPr>
          <w:sz w:val="26"/>
          <w:szCs w:val="26"/>
          <w:lang w:val="uk-UA"/>
        </w:rPr>
        <w:t xml:space="preserve">                     (</w:t>
      </w:r>
      <w:proofErr w:type="spellStart"/>
      <w:r w:rsidR="00B12D1D">
        <w:rPr>
          <w:sz w:val="26"/>
          <w:szCs w:val="26"/>
          <w:lang w:val="uk-UA"/>
        </w:rPr>
        <w:t>тис.грн</w:t>
      </w:r>
      <w:proofErr w:type="spellEnd"/>
      <w:r w:rsidRPr="001560D9">
        <w:rPr>
          <w:sz w:val="26"/>
          <w:szCs w:val="26"/>
          <w:lang w:val="uk-UA"/>
        </w:rPr>
        <w:t>)</w:t>
      </w:r>
    </w:p>
    <w:tbl>
      <w:tblPr>
        <w:tblW w:w="10157" w:type="dxa"/>
        <w:jc w:val="center"/>
        <w:tblLook w:val="04A0" w:firstRow="1" w:lastRow="0" w:firstColumn="1" w:lastColumn="0" w:noHBand="0" w:noVBand="1"/>
      </w:tblPr>
      <w:tblGrid>
        <w:gridCol w:w="3573"/>
        <w:gridCol w:w="1276"/>
        <w:gridCol w:w="1276"/>
        <w:gridCol w:w="1276"/>
        <w:gridCol w:w="1297"/>
        <w:gridCol w:w="1459"/>
      </w:tblGrid>
      <w:tr w:rsidR="00E70A2F" w:rsidRPr="005257EE" w:rsidTr="00EA56D4">
        <w:trPr>
          <w:trHeight w:val="1223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B0346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257EE">
              <w:rPr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D363DA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Звіт за 201</w:t>
            </w:r>
            <w:r w:rsidR="00D363DA">
              <w:rPr>
                <w:sz w:val="24"/>
                <w:lang w:val="uk-UA"/>
              </w:rPr>
              <w:t>8</w:t>
            </w:r>
            <w:r w:rsidRPr="005257EE">
              <w:rPr>
                <w:sz w:val="24"/>
                <w:lang w:val="uk-UA"/>
              </w:rPr>
              <w:t> 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D363DA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План  на 201</w:t>
            </w:r>
            <w:r w:rsidR="00D363DA">
              <w:rPr>
                <w:sz w:val="24"/>
                <w:lang w:val="uk-UA"/>
              </w:rPr>
              <w:t>9</w:t>
            </w:r>
            <w:r w:rsidRPr="005257EE">
              <w:rPr>
                <w:sz w:val="24"/>
                <w:lang w:val="uk-UA"/>
              </w:rPr>
              <w:t> 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D363DA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Звіт  за            201</w:t>
            </w:r>
            <w:r w:rsidR="00D363DA">
              <w:rPr>
                <w:sz w:val="24"/>
                <w:lang w:val="uk-UA"/>
              </w:rPr>
              <w:t>9</w:t>
            </w:r>
            <w:r w:rsidRPr="005257EE">
              <w:rPr>
                <w:sz w:val="24"/>
                <w:lang w:val="uk-UA"/>
              </w:rPr>
              <w:t> р.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1538FF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D363DA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201</w:t>
            </w:r>
            <w:r w:rsidR="00D363DA">
              <w:rPr>
                <w:sz w:val="24"/>
                <w:lang w:val="uk-UA"/>
              </w:rPr>
              <w:t>9</w:t>
            </w:r>
            <w:r w:rsidRPr="005257EE">
              <w:rPr>
                <w:sz w:val="24"/>
                <w:lang w:val="uk-UA"/>
              </w:rPr>
              <w:t>р.  в %% до 201</w:t>
            </w:r>
            <w:r w:rsidR="00D363DA">
              <w:rPr>
                <w:sz w:val="24"/>
                <w:lang w:val="uk-UA"/>
              </w:rPr>
              <w:t>8</w:t>
            </w:r>
            <w:r w:rsidRPr="005257EE">
              <w:rPr>
                <w:sz w:val="24"/>
                <w:lang w:val="uk-UA"/>
              </w:rPr>
              <w:t> р.</w:t>
            </w:r>
          </w:p>
        </w:tc>
      </w:tr>
      <w:tr w:rsidR="00D363DA" w:rsidRPr="005257EE" w:rsidTr="0045004E">
        <w:trPr>
          <w:trHeight w:val="235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Чистий 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8A7FBF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90473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8A7FBF" w:rsidRDefault="00962F86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</w:tr>
      <w:tr w:rsidR="00D363DA" w:rsidRPr="005257EE" w:rsidTr="001811D4">
        <w:trPr>
          <w:trHeight w:val="545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Відрахування частини чистого прибутку,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(45880)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90473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(52328)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962F86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(11845)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</w:t>
            </w:r>
          </w:p>
        </w:tc>
      </w:tr>
      <w:tr w:rsidR="00D363DA" w:rsidRPr="005257EE" w:rsidTr="0045004E">
        <w:trPr>
          <w:trHeight w:val="389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до державного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(45880)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90473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(52328)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962F86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(11845)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</w:t>
            </w:r>
          </w:p>
        </w:tc>
      </w:tr>
      <w:tr w:rsidR="00D363DA" w:rsidRPr="005257EE" w:rsidTr="0045004E">
        <w:trPr>
          <w:trHeight w:val="269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На розвиток виробництва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(6587)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90473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(4542)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962F86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(384)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5,8</w:t>
            </w:r>
          </w:p>
        </w:tc>
      </w:tr>
      <w:tr w:rsidR="00D363DA" w:rsidRPr="005257EE" w:rsidTr="0045004E">
        <w:trPr>
          <w:trHeight w:val="219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Інші фонди, 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(1970)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F65D87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(3300)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962F86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AA05A3">
              <w:rPr>
                <w:sz w:val="24"/>
                <w:szCs w:val="24"/>
                <w:lang w:val="uk-UA"/>
              </w:rPr>
              <w:t>254)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</w:t>
            </w:r>
          </w:p>
        </w:tc>
      </w:tr>
      <w:tr w:rsidR="00D363DA" w:rsidRPr="005257EE" w:rsidTr="001811D4">
        <w:trPr>
          <w:trHeight w:val="61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відрахування до фонду матеріального заохочення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F65D87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363DA" w:rsidRPr="005257EE" w:rsidTr="001811D4">
        <w:trPr>
          <w:trHeight w:val="556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відрахування до фонду соціального розвитку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(1530)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EE37B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(254)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16,6</w:t>
            </w:r>
          </w:p>
        </w:tc>
      </w:tr>
      <w:tr w:rsidR="00D363DA" w:rsidRPr="005257EE" w:rsidTr="0045004E">
        <w:trPr>
          <w:trHeight w:val="351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на інші цілі,        в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EE37B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1039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103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10393">
              <w:rPr>
                <w:sz w:val="24"/>
                <w:szCs w:val="24"/>
                <w:lang w:val="uk-UA"/>
              </w:rPr>
              <w:t>4,1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10393" w:rsidP="00D103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  <w:r w:rsidR="00AA05A3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363DA" w:rsidRPr="005257EE" w:rsidTr="0045004E">
        <w:trPr>
          <w:trHeight w:val="357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EE37B9" w:rsidRDefault="00EE37B9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80,0</w:t>
            </w:r>
          </w:p>
        </w:tc>
      </w:tr>
      <w:tr w:rsidR="00D363DA" w:rsidRPr="005257EE" w:rsidTr="003E03B4">
        <w:trPr>
          <w:trHeight w:val="343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DA" w:rsidRPr="003E03B4" w:rsidRDefault="00D363DA" w:rsidP="00D363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3E03B4" w:rsidRDefault="00A02800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D1039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6249E2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363DA" w:rsidRPr="005257EE" w:rsidTr="001811D4">
        <w:trPr>
          <w:trHeight w:val="89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DA" w:rsidRPr="005257EE" w:rsidRDefault="00D363DA" w:rsidP="00D363D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Залишок нерозподіленого прибутку на кінець звітного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6249E2" w:rsidRDefault="00D363DA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904739" w:rsidRDefault="00A02800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6249E2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AA05A3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DA" w:rsidRPr="005257EE" w:rsidRDefault="00AA05A3" w:rsidP="00D363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220,8</w:t>
            </w:r>
          </w:p>
        </w:tc>
      </w:tr>
    </w:tbl>
    <w:p w:rsidR="00D363DA" w:rsidRDefault="00D363DA" w:rsidP="00D363DA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результатами діяльності за 2019 рік підприємство має чистий </w:t>
      </w:r>
      <w:r w:rsidR="00A02800">
        <w:rPr>
          <w:sz w:val="26"/>
          <w:szCs w:val="26"/>
          <w:lang w:val="uk-UA"/>
        </w:rPr>
        <w:t xml:space="preserve">прибуток в розмірі </w:t>
      </w:r>
      <w:r w:rsidR="00AA05A3">
        <w:rPr>
          <w:sz w:val="26"/>
          <w:szCs w:val="26"/>
          <w:lang w:val="uk-UA"/>
        </w:rPr>
        <w:t xml:space="preserve">5 091 </w:t>
      </w:r>
      <w:r>
        <w:rPr>
          <w:sz w:val="26"/>
          <w:szCs w:val="26"/>
          <w:lang w:val="uk-UA"/>
        </w:rPr>
        <w:t xml:space="preserve">тис. грн при плановому показнику чистого прибутку в сумі </w:t>
      </w:r>
      <w:r w:rsidR="000B42C2">
        <w:rPr>
          <w:sz w:val="26"/>
          <w:szCs w:val="26"/>
          <w:lang w:val="uk-UA"/>
        </w:rPr>
        <w:t>60 170</w:t>
      </w:r>
      <w:r>
        <w:rPr>
          <w:sz w:val="26"/>
          <w:szCs w:val="26"/>
          <w:lang w:val="uk-UA"/>
        </w:rPr>
        <w:t xml:space="preserve"> тис. грн. Причиною </w:t>
      </w:r>
      <w:r w:rsidR="00A02800">
        <w:rPr>
          <w:sz w:val="26"/>
          <w:szCs w:val="26"/>
          <w:lang w:val="uk-UA"/>
        </w:rPr>
        <w:t>зменшення чистого прибутку</w:t>
      </w:r>
      <w:r w:rsidR="00D10393">
        <w:rPr>
          <w:sz w:val="26"/>
          <w:szCs w:val="26"/>
          <w:lang w:val="uk-UA"/>
        </w:rPr>
        <w:t xml:space="preserve"> </w:t>
      </w:r>
      <w:r w:rsidR="00A02800">
        <w:rPr>
          <w:sz w:val="26"/>
          <w:szCs w:val="26"/>
          <w:lang w:val="uk-UA"/>
        </w:rPr>
        <w:t xml:space="preserve">в 2019 році на </w:t>
      </w:r>
      <w:r w:rsidR="00AA05A3">
        <w:rPr>
          <w:sz w:val="26"/>
          <w:szCs w:val="26"/>
          <w:lang w:val="uk-UA"/>
        </w:rPr>
        <w:t xml:space="preserve">91,5 </w:t>
      </w:r>
      <w:r w:rsidR="00A02800">
        <w:rPr>
          <w:sz w:val="26"/>
          <w:szCs w:val="26"/>
          <w:lang w:val="uk-UA"/>
        </w:rPr>
        <w:t>%</w:t>
      </w:r>
      <w:r>
        <w:rPr>
          <w:sz w:val="26"/>
          <w:szCs w:val="26"/>
          <w:lang w:val="uk-UA"/>
        </w:rPr>
        <w:t xml:space="preserve"> стало:</w:t>
      </w:r>
    </w:p>
    <w:p w:rsidR="00D363DA" w:rsidRDefault="00D363DA" w:rsidP="00D363DA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Зменшення чистого доходу від реалізації продукції внаслідок:</w:t>
      </w:r>
    </w:p>
    <w:p w:rsidR="00D363DA" w:rsidRDefault="00D363DA" w:rsidP="00D363DA">
      <w:pPr>
        <w:pStyle w:val="a7"/>
        <w:numPr>
          <w:ilvl w:val="0"/>
          <w:numId w:val="4"/>
        </w:numPr>
        <w:tabs>
          <w:tab w:val="clear" w:pos="1920"/>
          <w:tab w:val="left" w:pos="993"/>
        </w:tabs>
        <w:spacing w:line="360" w:lineRule="exact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скорочення вантажопереробки проти </w:t>
      </w:r>
      <w:r w:rsidRPr="000B42C2">
        <w:rPr>
          <w:sz w:val="26"/>
          <w:szCs w:val="26"/>
          <w:lang w:val="uk-UA"/>
        </w:rPr>
        <w:t xml:space="preserve">плану на </w:t>
      </w:r>
      <w:r w:rsidR="00AA05A3">
        <w:rPr>
          <w:sz w:val="26"/>
          <w:szCs w:val="26"/>
          <w:lang w:val="uk-UA"/>
        </w:rPr>
        <w:t xml:space="preserve">36,3 </w:t>
      </w:r>
      <w:r w:rsidRPr="000B42C2">
        <w:rPr>
          <w:sz w:val="26"/>
          <w:szCs w:val="26"/>
          <w:lang w:val="uk-UA"/>
        </w:rPr>
        <w:t>%;</w:t>
      </w:r>
    </w:p>
    <w:p w:rsidR="00AA05A3" w:rsidRPr="00603323" w:rsidRDefault="00AA05A3" w:rsidP="00D363DA">
      <w:pPr>
        <w:pStyle w:val="a7"/>
        <w:numPr>
          <w:ilvl w:val="0"/>
          <w:numId w:val="4"/>
        </w:numPr>
        <w:tabs>
          <w:tab w:val="clear" w:pos="1920"/>
          <w:tab w:val="left" w:pos="993"/>
        </w:tabs>
        <w:spacing w:line="360" w:lineRule="exact"/>
        <w:ind w:left="0" w:firstLine="709"/>
        <w:jc w:val="both"/>
        <w:rPr>
          <w:sz w:val="26"/>
          <w:szCs w:val="26"/>
          <w:lang w:val="uk-UA"/>
        </w:rPr>
      </w:pPr>
      <w:r w:rsidRPr="00603323">
        <w:rPr>
          <w:sz w:val="26"/>
          <w:szCs w:val="26"/>
          <w:lang w:val="uk-UA"/>
        </w:rPr>
        <w:t xml:space="preserve">зміни в номенклатурі вантажів </w:t>
      </w:r>
      <w:r w:rsidR="00603323" w:rsidRPr="00603323">
        <w:rPr>
          <w:sz w:val="26"/>
          <w:szCs w:val="26"/>
          <w:lang w:val="uk-UA"/>
        </w:rPr>
        <w:t xml:space="preserve">та по напрямкам відвантаження </w:t>
      </w:r>
      <w:r w:rsidR="00603323">
        <w:rPr>
          <w:sz w:val="26"/>
          <w:szCs w:val="26"/>
          <w:lang w:val="uk-UA"/>
        </w:rPr>
        <w:t xml:space="preserve">вантажів </w:t>
      </w:r>
      <w:r w:rsidR="00603323" w:rsidRPr="00603323">
        <w:rPr>
          <w:sz w:val="26"/>
          <w:szCs w:val="26"/>
          <w:lang w:val="uk-UA"/>
        </w:rPr>
        <w:t xml:space="preserve">– збільшення </w:t>
      </w:r>
      <w:r w:rsidR="00603323">
        <w:rPr>
          <w:sz w:val="26"/>
          <w:szCs w:val="26"/>
          <w:lang w:val="uk-UA"/>
        </w:rPr>
        <w:t xml:space="preserve">переробки </w:t>
      </w:r>
      <w:r w:rsidR="00603323" w:rsidRPr="00603323">
        <w:rPr>
          <w:sz w:val="26"/>
          <w:szCs w:val="26"/>
          <w:lang w:val="uk-UA"/>
        </w:rPr>
        <w:t>імпортного вантажу</w:t>
      </w:r>
      <w:r w:rsidR="00603323">
        <w:rPr>
          <w:sz w:val="26"/>
          <w:szCs w:val="26"/>
          <w:lang w:val="uk-UA"/>
        </w:rPr>
        <w:t xml:space="preserve"> (з </w:t>
      </w:r>
      <w:r w:rsidR="003826D7">
        <w:rPr>
          <w:sz w:val="26"/>
          <w:szCs w:val="26"/>
          <w:lang w:val="uk-UA"/>
        </w:rPr>
        <w:t xml:space="preserve">запланованих </w:t>
      </w:r>
      <w:r w:rsidR="00603323">
        <w:rPr>
          <w:sz w:val="26"/>
          <w:szCs w:val="26"/>
          <w:lang w:val="uk-UA"/>
        </w:rPr>
        <w:t xml:space="preserve">18 </w:t>
      </w:r>
      <w:proofErr w:type="spellStart"/>
      <w:r w:rsidR="00603323">
        <w:rPr>
          <w:sz w:val="26"/>
          <w:szCs w:val="26"/>
          <w:lang w:val="uk-UA"/>
        </w:rPr>
        <w:t>т.т</w:t>
      </w:r>
      <w:proofErr w:type="spellEnd"/>
      <w:r w:rsidR="00603323">
        <w:rPr>
          <w:sz w:val="26"/>
          <w:szCs w:val="26"/>
          <w:lang w:val="uk-UA"/>
        </w:rPr>
        <w:t xml:space="preserve"> </w:t>
      </w:r>
      <w:r w:rsidR="003826D7">
        <w:rPr>
          <w:sz w:val="26"/>
          <w:szCs w:val="26"/>
          <w:lang w:val="uk-UA"/>
        </w:rPr>
        <w:t xml:space="preserve">переробка зросла до 214,9 </w:t>
      </w:r>
      <w:proofErr w:type="spellStart"/>
      <w:r w:rsidR="003826D7">
        <w:rPr>
          <w:sz w:val="26"/>
          <w:szCs w:val="26"/>
          <w:lang w:val="uk-UA"/>
        </w:rPr>
        <w:t>т.т</w:t>
      </w:r>
      <w:proofErr w:type="spellEnd"/>
      <w:r w:rsidR="003826D7">
        <w:rPr>
          <w:sz w:val="26"/>
          <w:szCs w:val="26"/>
          <w:lang w:val="uk-UA"/>
        </w:rPr>
        <w:t>)</w:t>
      </w:r>
      <w:r w:rsidR="00603323" w:rsidRPr="00603323">
        <w:rPr>
          <w:sz w:val="26"/>
          <w:szCs w:val="26"/>
          <w:lang w:val="uk-UA"/>
        </w:rPr>
        <w:t>, отримання доходів за якими відбувається після остаточного відвантаження вантажу з території порту, тобто в наступних звітних періодах</w:t>
      </w:r>
      <w:r w:rsidR="00603323">
        <w:rPr>
          <w:sz w:val="26"/>
          <w:szCs w:val="26"/>
          <w:lang w:val="uk-UA"/>
        </w:rPr>
        <w:t>;</w:t>
      </w:r>
    </w:p>
    <w:p w:rsidR="00AA05A3" w:rsidRPr="00AA05A3" w:rsidRDefault="00D363DA" w:rsidP="00AA05A3">
      <w:pPr>
        <w:pStyle w:val="a7"/>
        <w:numPr>
          <w:ilvl w:val="0"/>
          <w:numId w:val="4"/>
        </w:numPr>
        <w:tabs>
          <w:tab w:val="clear" w:pos="1920"/>
          <w:tab w:val="left" w:pos="993"/>
        </w:tabs>
        <w:spacing w:line="360" w:lineRule="exact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="009D1145">
        <w:rPr>
          <w:sz w:val="26"/>
          <w:szCs w:val="26"/>
          <w:lang w:val="uk-UA"/>
        </w:rPr>
        <w:t>ниження</w:t>
      </w:r>
      <w:r>
        <w:rPr>
          <w:sz w:val="26"/>
          <w:szCs w:val="26"/>
          <w:lang w:val="uk-UA"/>
        </w:rPr>
        <w:t xml:space="preserve"> курсу долара США (план – 30,5 грн/долар США, факт – </w:t>
      </w:r>
      <w:r w:rsidRPr="000B42C2">
        <w:rPr>
          <w:sz w:val="26"/>
          <w:szCs w:val="26"/>
          <w:lang w:val="uk-UA"/>
        </w:rPr>
        <w:t>25,</w:t>
      </w:r>
      <w:r w:rsidR="000B42C2" w:rsidRPr="000B42C2">
        <w:rPr>
          <w:sz w:val="26"/>
          <w:szCs w:val="26"/>
          <w:lang w:val="uk-UA"/>
        </w:rPr>
        <w:t>85</w:t>
      </w:r>
      <w:r w:rsidR="000241FA">
        <w:rPr>
          <w:sz w:val="26"/>
          <w:szCs w:val="26"/>
          <w:lang w:val="uk-UA"/>
        </w:rPr>
        <w:t xml:space="preserve"> грн/долар США)</w:t>
      </w:r>
      <w:r w:rsidR="009D1145">
        <w:rPr>
          <w:sz w:val="26"/>
          <w:szCs w:val="26"/>
          <w:lang w:val="uk-UA"/>
        </w:rPr>
        <w:t>, що призвело до зменшення доходів від НРР, послуг портового флоту та інших зборів на суму 44 029 тис. грн</w:t>
      </w:r>
      <w:r w:rsidR="000241FA">
        <w:rPr>
          <w:sz w:val="26"/>
          <w:szCs w:val="26"/>
          <w:lang w:val="uk-UA"/>
        </w:rPr>
        <w:t>.</w:t>
      </w:r>
    </w:p>
    <w:p w:rsidR="00D363DA" w:rsidRDefault="00D363DA" w:rsidP="00D363DA">
      <w:pPr>
        <w:pStyle w:val="a7"/>
        <w:tabs>
          <w:tab w:val="left" w:pos="993"/>
        </w:tabs>
        <w:spacing w:line="360" w:lineRule="exact"/>
        <w:ind w:left="709" w:hanging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Збільшення інших операційних витрат внаслідок:</w:t>
      </w:r>
    </w:p>
    <w:p w:rsidR="00AA05A3" w:rsidRDefault="00AA05A3" w:rsidP="00AA05A3">
      <w:pPr>
        <w:pStyle w:val="a7"/>
        <w:tabs>
          <w:tab w:val="left" w:pos="709"/>
        </w:tabs>
        <w:spacing w:line="360" w:lineRule="exact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- нарахування резерву сумнівних боргів на </w:t>
      </w:r>
      <w:r w:rsidRPr="00AA05A3">
        <w:rPr>
          <w:sz w:val="26"/>
          <w:szCs w:val="26"/>
          <w:lang w:val="uk-UA"/>
        </w:rPr>
        <w:t xml:space="preserve">суму дебіторської заборгованості із строком більш півтора року </w:t>
      </w:r>
      <w:r>
        <w:rPr>
          <w:sz w:val="26"/>
          <w:szCs w:val="26"/>
          <w:lang w:val="uk-UA"/>
        </w:rPr>
        <w:t>відповідно до вимог п.4 П(С)БО № 10 та постанови КМУ № 1673 на суму 1 080 тис. грн</w:t>
      </w:r>
      <w:r w:rsidR="000241FA">
        <w:rPr>
          <w:sz w:val="26"/>
          <w:szCs w:val="26"/>
          <w:lang w:val="uk-UA"/>
        </w:rPr>
        <w:t>;</w:t>
      </w:r>
      <w:r>
        <w:rPr>
          <w:sz w:val="26"/>
          <w:szCs w:val="26"/>
          <w:lang w:val="uk-UA"/>
        </w:rPr>
        <w:t xml:space="preserve"> </w:t>
      </w:r>
    </w:p>
    <w:p w:rsidR="00D363DA" w:rsidRDefault="00D363DA" w:rsidP="00D363DA">
      <w:pPr>
        <w:pStyle w:val="a7"/>
        <w:numPr>
          <w:ilvl w:val="0"/>
          <w:numId w:val="4"/>
        </w:numPr>
        <w:tabs>
          <w:tab w:val="clear" w:pos="1920"/>
          <w:tab w:val="left" w:pos="993"/>
        </w:tabs>
        <w:spacing w:line="360" w:lineRule="exact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збільшення витрат від операційних курсових різниць у зв’язку з коливанням курсу долара США</w:t>
      </w:r>
      <w:r w:rsidR="00AA05A3">
        <w:rPr>
          <w:sz w:val="26"/>
          <w:szCs w:val="26"/>
          <w:lang w:val="uk-UA"/>
        </w:rPr>
        <w:t xml:space="preserve"> в сумі 11 174 тис. грн</w:t>
      </w:r>
      <w:r>
        <w:rPr>
          <w:sz w:val="26"/>
          <w:szCs w:val="26"/>
          <w:lang w:val="uk-UA"/>
        </w:rPr>
        <w:t>, на що підприємство не має змоги вплинути.</w:t>
      </w:r>
    </w:p>
    <w:p w:rsidR="007A49AE" w:rsidRDefault="007A49AE" w:rsidP="00D10393">
      <w:pPr>
        <w:pStyle w:val="a7"/>
        <w:tabs>
          <w:tab w:val="left" w:pos="993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D10393" w:rsidRPr="00D10393">
        <w:rPr>
          <w:sz w:val="26"/>
          <w:szCs w:val="26"/>
          <w:lang w:val="uk-UA"/>
        </w:rPr>
        <w:t xml:space="preserve">Виникнення фінансових витрат </w:t>
      </w:r>
      <w:r w:rsidR="00D10393">
        <w:rPr>
          <w:sz w:val="26"/>
          <w:szCs w:val="26"/>
          <w:lang w:val="uk-UA"/>
        </w:rPr>
        <w:t xml:space="preserve">в сумі 1 429 тис. грн </w:t>
      </w:r>
      <w:r w:rsidR="00D10393" w:rsidRPr="00D10393">
        <w:rPr>
          <w:sz w:val="26"/>
          <w:szCs w:val="26"/>
          <w:lang w:val="uk-UA"/>
        </w:rPr>
        <w:t xml:space="preserve">внаслідок </w:t>
      </w:r>
      <w:r w:rsidR="00C859A6">
        <w:rPr>
          <w:sz w:val="26"/>
          <w:szCs w:val="26"/>
          <w:lang w:val="uk-UA"/>
        </w:rPr>
        <w:t xml:space="preserve">визначення </w:t>
      </w:r>
      <w:r w:rsidR="00D10393" w:rsidRPr="00D10393">
        <w:rPr>
          <w:sz w:val="26"/>
          <w:szCs w:val="26"/>
          <w:lang w:val="uk-UA"/>
        </w:rPr>
        <w:t>теперішньо</w:t>
      </w:r>
      <w:r w:rsidR="00C859A6">
        <w:rPr>
          <w:sz w:val="26"/>
          <w:szCs w:val="26"/>
          <w:lang w:val="uk-UA"/>
        </w:rPr>
        <w:t>ї</w:t>
      </w:r>
      <w:r w:rsidR="00D10393" w:rsidRPr="00D10393">
        <w:rPr>
          <w:sz w:val="26"/>
          <w:szCs w:val="26"/>
          <w:lang w:val="uk-UA"/>
        </w:rPr>
        <w:t xml:space="preserve"> (дисконтовано</w:t>
      </w:r>
      <w:r w:rsidR="00C859A6">
        <w:rPr>
          <w:sz w:val="26"/>
          <w:szCs w:val="26"/>
          <w:lang w:val="uk-UA"/>
        </w:rPr>
        <w:t>ї</w:t>
      </w:r>
      <w:r w:rsidR="00D10393" w:rsidRPr="00D10393">
        <w:rPr>
          <w:sz w:val="26"/>
          <w:szCs w:val="26"/>
          <w:lang w:val="uk-UA"/>
        </w:rPr>
        <w:t>) варт</w:t>
      </w:r>
      <w:r w:rsidR="00C859A6">
        <w:rPr>
          <w:sz w:val="26"/>
          <w:szCs w:val="26"/>
          <w:lang w:val="uk-UA"/>
        </w:rPr>
        <w:t>о</w:t>
      </w:r>
      <w:r w:rsidR="00D10393" w:rsidRPr="00D10393">
        <w:rPr>
          <w:sz w:val="26"/>
          <w:szCs w:val="26"/>
          <w:lang w:val="uk-UA"/>
        </w:rPr>
        <w:t>ст</w:t>
      </w:r>
      <w:r w:rsidR="00C859A6">
        <w:rPr>
          <w:sz w:val="26"/>
          <w:szCs w:val="26"/>
          <w:lang w:val="uk-UA"/>
        </w:rPr>
        <w:t>і</w:t>
      </w:r>
      <w:r w:rsidR="00D10393" w:rsidRPr="00D10393">
        <w:rPr>
          <w:sz w:val="26"/>
          <w:szCs w:val="26"/>
          <w:lang w:val="uk-UA"/>
        </w:rPr>
        <w:t xml:space="preserve"> довгострокової дебіторської заборгованості</w:t>
      </w:r>
      <w:r w:rsidR="00D10393">
        <w:rPr>
          <w:sz w:val="26"/>
          <w:szCs w:val="26"/>
          <w:lang w:val="uk-UA"/>
        </w:rPr>
        <w:t>.</w:t>
      </w:r>
    </w:p>
    <w:p w:rsidR="000241FA" w:rsidRDefault="000241FA" w:rsidP="000241FA">
      <w:pPr>
        <w:pStyle w:val="a7"/>
        <w:tabs>
          <w:tab w:val="left" w:pos="993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0241FA">
        <w:rPr>
          <w:sz w:val="26"/>
          <w:szCs w:val="26"/>
          <w:lang w:val="uk-UA"/>
        </w:rPr>
        <w:t>Згідно умов Колективного договору на 201</w:t>
      </w:r>
      <w:r>
        <w:rPr>
          <w:sz w:val="26"/>
          <w:szCs w:val="26"/>
          <w:lang w:val="uk-UA"/>
        </w:rPr>
        <w:t>8</w:t>
      </w:r>
      <w:r w:rsidRPr="000241FA">
        <w:rPr>
          <w:sz w:val="26"/>
          <w:szCs w:val="26"/>
          <w:lang w:val="uk-UA"/>
        </w:rPr>
        <w:t xml:space="preserve"> – 20</w:t>
      </w:r>
      <w:r>
        <w:rPr>
          <w:sz w:val="26"/>
          <w:szCs w:val="26"/>
          <w:lang w:val="uk-UA"/>
        </w:rPr>
        <w:t>20</w:t>
      </w:r>
      <w:r w:rsidRPr="000241FA">
        <w:rPr>
          <w:sz w:val="26"/>
          <w:szCs w:val="26"/>
          <w:lang w:val="uk-UA"/>
        </w:rPr>
        <w:t xml:space="preserve"> роки передбачено відрахування з частини чистого прибутку на розвиток виробництва не менше 60% зазначеного прибутку; до інших фондів, з яких фінансуються компенсації на </w:t>
      </w:r>
      <w:proofErr w:type="spellStart"/>
      <w:r w:rsidRPr="000241FA">
        <w:rPr>
          <w:sz w:val="26"/>
          <w:szCs w:val="26"/>
          <w:lang w:val="uk-UA"/>
        </w:rPr>
        <w:t>здорожчення</w:t>
      </w:r>
      <w:proofErr w:type="spellEnd"/>
      <w:r w:rsidRPr="000241FA">
        <w:rPr>
          <w:sz w:val="26"/>
          <w:szCs w:val="26"/>
          <w:lang w:val="uk-UA"/>
        </w:rPr>
        <w:t xml:space="preserve"> енергоносіїв, утримання житла та забезпечення матеріального заохочення  працівників і пенсіонерів порту – залишок коштів після відрахування частини чистого прибутку до державного бюджету.</w:t>
      </w:r>
    </w:p>
    <w:p w:rsidR="000241FA" w:rsidRDefault="000241FA" w:rsidP="000241FA">
      <w:pPr>
        <w:pStyle w:val="a7"/>
        <w:tabs>
          <w:tab w:val="left" w:pos="993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зв'язку зі значним зменшенням чистого прибутку, який залишається в розпорядженні колективу підприємства, на розвиток </w:t>
      </w:r>
      <w:proofErr w:type="spellStart"/>
      <w:r>
        <w:rPr>
          <w:sz w:val="26"/>
          <w:szCs w:val="26"/>
          <w:lang w:val="uk-UA"/>
        </w:rPr>
        <w:t>виробицтва</w:t>
      </w:r>
      <w:proofErr w:type="spellEnd"/>
      <w:r>
        <w:rPr>
          <w:sz w:val="26"/>
          <w:szCs w:val="26"/>
          <w:lang w:val="uk-UA"/>
        </w:rPr>
        <w:t xml:space="preserve"> та до фонду соціального розвитку направлено 8,5 % від запланованої суми. </w:t>
      </w:r>
    </w:p>
    <w:p w:rsidR="00A45537" w:rsidRDefault="00A45537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B41199" w:rsidRPr="00B41199" w:rsidRDefault="00B41199" w:rsidP="00B41199">
      <w:pPr>
        <w:pStyle w:val="ae"/>
        <w:numPr>
          <w:ilvl w:val="0"/>
          <w:numId w:val="12"/>
        </w:numPr>
        <w:ind w:left="993" w:hanging="426"/>
        <w:rPr>
          <w:b/>
          <w:sz w:val="28"/>
          <w:szCs w:val="26"/>
        </w:rPr>
      </w:pPr>
      <w:r w:rsidRPr="00B41199">
        <w:rPr>
          <w:b/>
          <w:sz w:val="28"/>
          <w:szCs w:val="26"/>
        </w:rPr>
        <w:t xml:space="preserve">Стан </w:t>
      </w:r>
      <w:proofErr w:type="spellStart"/>
      <w:r w:rsidRPr="00B41199">
        <w:rPr>
          <w:b/>
          <w:sz w:val="28"/>
          <w:szCs w:val="26"/>
        </w:rPr>
        <w:t>дебіторської</w:t>
      </w:r>
      <w:proofErr w:type="spellEnd"/>
      <w:r w:rsidRPr="00B41199">
        <w:rPr>
          <w:b/>
          <w:sz w:val="28"/>
          <w:szCs w:val="26"/>
        </w:rPr>
        <w:t xml:space="preserve"> та </w:t>
      </w:r>
      <w:proofErr w:type="spellStart"/>
      <w:r w:rsidRPr="00B41199">
        <w:rPr>
          <w:b/>
          <w:sz w:val="28"/>
          <w:szCs w:val="26"/>
        </w:rPr>
        <w:t>кредиторської</w:t>
      </w:r>
      <w:proofErr w:type="spellEnd"/>
      <w:r w:rsidRPr="00B41199">
        <w:rPr>
          <w:b/>
          <w:sz w:val="28"/>
          <w:szCs w:val="26"/>
        </w:rPr>
        <w:t xml:space="preserve"> </w:t>
      </w:r>
      <w:proofErr w:type="spellStart"/>
      <w:r w:rsidRPr="00B41199">
        <w:rPr>
          <w:b/>
          <w:sz w:val="28"/>
          <w:szCs w:val="26"/>
        </w:rPr>
        <w:t>заборгованості</w:t>
      </w:r>
      <w:proofErr w:type="spellEnd"/>
    </w:p>
    <w:p w:rsidR="00B41199" w:rsidRPr="003E77DD" w:rsidRDefault="00B41199" w:rsidP="00B41199">
      <w:pPr>
        <w:rPr>
          <w:b/>
          <w:sz w:val="26"/>
          <w:szCs w:val="26"/>
        </w:rPr>
      </w:pPr>
    </w:p>
    <w:p w:rsidR="00B41199" w:rsidRDefault="00B41199" w:rsidP="00B41199">
      <w:pPr>
        <w:spacing w:line="360" w:lineRule="exact"/>
        <w:ind w:firstLine="567"/>
        <w:jc w:val="both"/>
        <w:rPr>
          <w:sz w:val="26"/>
          <w:szCs w:val="26"/>
        </w:rPr>
      </w:pPr>
      <w:proofErr w:type="spellStart"/>
      <w:r w:rsidRPr="00754575">
        <w:rPr>
          <w:sz w:val="26"/>
          <w:szCs w:val="26"/>
        </w:rPr>
        <w:t>Загальна</w:t>
      </w:r>
      <w:proofErr w:type="spellEnd"/>
      <w:r w:rsidRPr="00754575">
        <w:rPr>
          <w:sz w:val="26"/>
          <w:szCs w:val="26"/>
        </w:rPr>
        <w:t xml:space="preserve"> сума </w:t>
      </w:r>
      <w:proofErr w:type="spellStart"/>
      <w:r>
        <w:rPr>
          <w:sz w:val="26"/>
          <w:szCs w:val="26"/>
        </w:rPr>
        <w:t>дебіторської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заборгованості</w:t>
      </w:r>
      <w:proofErr w:type="spellEnd"/>
      <w:r>
        <w:rPr>
          <w:sz w:val="26"/>
          <w:szCs w:val="26"/>
        </w:rPr>
        <w:t xml:space="preserve"> станом на 31.12.201</w:t>
      </w:r>
      <w:r w:rsidR="003C1D2F">
        <w:rPr>
          <w:sz w:val="26"/>
          <w:szCs w:val="26"/>
          <w:lang w:val="uk-UA"/>
        </w:rPr>
        <w:t>9</w:t>
      </w:r>
      <w:r>
        <w:rPr>
          <w:sz w:val="26"/>
          <w:szCs w:val="26"/>
        </w:rPr>
        <w:t xml:space="preserve"> року </w:t>
      </w:r>
      <w:proofErr w:type="spellStart"/>
      <w:r>
        <w:rPr>
          <w:sz w:val="26"/>
          <w:szCs w:val="26"/>
        </w:rPr>
        <w:t>зменшилась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 31.12.201</w:t>
      </w:r>
      <w:r w:rsidR="003C1D2F"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 xml:space="preserve"> року </w:t>
      </w:r>
      <w:r w:rsidRPr="000B42C2">
        <w:rPr>
          <w:sz w:val="26"/>
          <w:szCs w:val="26"/>
        </w:rPr>
        <w:t xml:space="preserve">на </w:t>
      </w:r>
      <w:r w:rsidR="00C83936">
        <w:rPr>
          <w:sz w:val="26"/>
          <w:szCs w:val="26"/>
          <w:lang w:val="uk-UA"/>
        </w:rPr>
        <w:t>270</w:t>
      </w:r>
      <w:r w:rsidRPr="000B42C2">
        <w:rPr>
          <w:sz w:val="26"/>
          <w:szCs w:val="26"/>
        </w:rPr>
        <w:t xml:space="preserve"> тис. </w:t>
      </w:r>
      <w:proofErr w:type="spellStart"/>
      <w:r w:rsidRPr="000B42C2">
        <w:rPr>
          <w:sz w:val="26"/>
          <w:szCs w:val="26"/>
        </w:rPr>
        <w:t>грн</w:t>
      </w:r>
      <w:proofErr w:type="spellEnd"/>
      <w:r w:rsidRPr="000B42C2">
        <w:rPr>
          <w:sz w:val="26"/>
          <w:szCs w:val="26"/>
        </w:rPr>
        <w:t xml:space="preserve"> та </w:t>
      </w:r>
      <w:proofErr w:type="spellStart"/>
      <w:r w:rsidRPr="000B42C2">
        <w:rPr>
          <w:sz w:val="26"/>
          <w:szCs w:val="26"/>
        </w:rPr>
        <w:t>склала</w:t>
      </w:r>
      <w:proofErr w:type="spellEnd"/>
      <w:r>
        <w:rPr>
          <w:sz w:val="26"/>
          <w:szCs w:val="26"/>
        </w:rPr>
        <w:t xml:space="preserve"> </w:t>
      </w:r>
      <w:r w:rsidR="00C83936">
        <w:rPr>
          <w:sz w:val="26"/>
          <w:szCs w:val="26"/>
          <w:lang w:val="uk-UA"/>
        </w:rPr>
        <w:t>35 511</w:t>
      </w:r>
      <w:r>
        <w:rPr>
          <w:sz w:val="26"/>
          <w:szCs w:val="26"/>
        </w:rPr>
        <w:t xml:space="preserve"> тис. грн.</w:t>
      </w:r>
    </w:p>
    <w:p w:rsidR="00B41199" w:rsidRPr="002D78CA" w:rsidRDefault="00B41199" w:rsidP="005A5B2E">
      <w:pPr>
        <w:spacing w:before="120" w:line="360" w:lineRule="exact"/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Довгострокова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дебіторська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заборгованість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поточний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звітний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 </w:t>
      </w:r>
      <w:r w:rsidR="00C83936">
        <w:rPr>
          <w:sz w:val="26"/>
          <w:szCs w:val="26"/>
          <w:lang w:val="uk-UA"/>
        </w:rPr>
        <w:t>зменшилась на 1 929 тис. грн та склала</w:t>
      </w:r>
      <w:r>
        <w:rPr>
          <w:sz w:val="26"/>
          <w:szCs w:val="26"/>
        </w:rPr>
        <w:t xml:space="preserve"> </w:t>
      </w:r>
      <w:r w:rsidR="00C83936">
        <w:rPr>
          <w:sz w:val="26"/>
          <w:szCs w:val="26"/>
          <w:lang w:val="uk-UA"/>
        </w:rPr>
        <w:t>825</w:t>
      </w:r>
      <w:r>
        <w:rPr>
          <w:sz w:val="26"/>
          <w:szCs w:val="26"/>
        </w:rPr>
        <w:t xml:space="preserve"> тис. </w:t>
      </w:r>
      <w:proofErr w:type="spellStart"/>
      <w:r w:rsidR="00C83936">
        <w:rPr>
          <w:sz w:val="26"/>
          <w:szCs w:val="26"/>
        </w:rPr>
        <w:t>г</w:t>
      </w:r>
      <w:r>
        <w:rPr>
          <w:sz w:val="26"/>
          <w:szCs w:val="26"/>
        </w:rPr>
        <w:t>рн</w:t>
      </w:r>
      <w:proofErr w:type="spellEnd"/>
      <w:r w:rsidR="00C83936">
        <w:rPr>
          <w:sz w:val="26"/>
          <w:szCs w:val="26"/>
          <w:lang w:val="uk-UA"/>
        </w:rPr>
        <w:t>.</w:t>
      </w:r>
      <w:r w:rsidR="003826D7">
        <w:rPr>
          <w:sz w:val="26"/>
          <w:szCs w:val="26"/>
          <w:lang w:val="uk-UA"/>
        </w:rPr>
        <w:t xml:space="preserve"> Зменшення суми довгострокової дебіторської заборгованості відбулось внаслідок </w:t>
      </w:r>
      <w:r w:rsidR="002D78CA">
        <w:rPr>
          <w:sz w:val="26"/>
          <w:szCs w:val="26"/>
          <w:lang w:val="uk-UA"/>
        </w:rPr>
        <w:t xml:space="preserve">оцінки за теперішньою (дисконтованою) вартістю </w:t>
      </w:r>
      <w:r w:rsidRPr="002D78CA">
        <w:rPr>
          <w:sz w:val="26"/>
          <w:szCs w:val="26"/>
          <w:lang w:val="uk-UA"/>
        </w:rPr>
        <w:t>позики ДП «</w:t>
      </w:r>
      <w:proofErr w:type="spellStart"/>
      <w:r w:rsidRPr="002D78CA">
        <w:rPr>
          <w:sz w:val="26"/>
          <w:szCs w:val="26"/>
          <w:lang w:val="uk-UA"/>
        </w:rPr>
        <w:t>Укрсервіс</w:t>
      </w:r>
      <w:proofErr w:type="spellEnd"/>
      <w:r w:rsidRPr="002D78CA">
        <w:rPr>
          <w:sz w:val="26"/>
          <w:szCs w:val="26"/>
          <w:lang w:val="uk-UA"/>
        </w:rPr>
        <w:t xml:space="preserve"> Мінтрансу» (ЄДРПОУ 30218246), яка була надана у квітні 2004 року,</w:t>
      </w:r>
      <w:r w:rsidR="003826D7" w:rsidRPr="002D78CA">
        <w:rPr>
          <w:sz w:val="26"/>
          <w:szCs w:val="26"/>
          <w:lang w:val="uk-UA"/>
        </w:rPr>
        <w:t xml:space="preserve"> та </w:t>
      </w:r>
      <w:r w:rsidRPr="002D78CA">
        <w:rPr>
          <w:sz w:val="26"/>
          <w:szCs w:val="26"/>
          <w:lang w:val="uk-UA"/>
        </w:rPr>
        <w:t>ст</w:t>
      </w:r>
      <w:r w:rsidR="002D78CA">
        <w:rPr>
          <w:sz w:val="26"/>
          <w:szCs w:val="26"/>
          <w:lang w:val="uk-UA"/>
        </w:rPr>
        <w:t>рок погашення якої ще на настав, що зроблено на вимогу наказу Міністерства фінансів України від 16.09.2019 № 379.</w:t>
      </w:r>
    </w:p>
    <w:p w:rsidR="00B41199" w:rsidRPr="002D78CA" w:rsidRDefault="00B41199" w:rsidP="002D78CA">
      <w:pPr>
        <w:pStyle w:val="ae"/>
        <w:ind w:firstLine="567"/>
        <w:jc w:val="both"/>
        <w:rPr>
          <w:sz w:val="16"/>
          <w:szCs w:val="26"/>
          <w:lang w:val="uk-UA"/>
        </w:rPr>
      </w:pPr>
    </w:p>
    <w:p w:rsidR="00B41199" w:rsidRPr="00200EE6" w:rsidRDefault="00B41199" w:rsidP="00B41199">
      <w:pPr>
        <w:spacing w:line="360" w:lineRule="exact"/>
        <w:jc w:val="center"/>
        <w:rPr>
          <w:sz w:val="26"/>
          <w:szCs w:val="26"/>
        </w:rPr>
      </w:pPr>
      <w:proofErr w:type="spellStart"/>
      <w:r w:rsidRPr="00200EE6">
        <w:rPr>
          <w:sz w:val="26"/>
          <w:szCs w:val="26"/>
        </w:rPr>
        <w:t>Аналіз</w:t>
      </w:r>
      <w:proofErr w:type="spellEnd"/>
      <w:r w:rsidRPr="00200EE6">
        <w:rPr>
          <w:sz w:val="26"/>
          <w:szCs w:val="26"/>
        </w:rPr>
        <w:t xml:space="preserve"> </w:t>
      </w:r>
      <w:proofErr w:type="spellStart"/>
      <w:r w:rsidRPr="00200EE6">
        <w:rPr>
          <w:sz w:val="26"/>
          <w:szCs w:val="26"/>
        </w:rPr>
        <w:t>динаміки</w:t>
      </w:r>
      <w:proofErr w:type="spellEnd"/>
      <w:r w:rsidRPr="00200EE6">
        <w:rPr>
          <w:sz w:val="26"/>
          <w:szCs w:val="26"/>
        </w:rPr>
        <w:t xml:space="preserve"> </w:t>
      </w:r>
      <w:proofErr w:type="spellStart"/>
      <w:r w:rsidRPr="00200EE6">
        <w:rPr>
          <w:sz w:val="26"/>
          <w:szCs w:val="26"/>
        </w:rPr>
        <w:t>поточної</w:t>
      </w:r>
      <w:proofErr w:type="spellEnd"/>
      <w:r w:rsidRPr="00200EE6">
        <w:rPr>
          <w:sz w:val="26"/>
          <w:szCs w:val="26"/>
        </w:rPr>
        <w:t xml:space="preserve"> </w:t>
      </w:r>
      <w:proofErr w:type="spellStart"/>
      <w:r w:rsidRPr="00200EE6">
        <w:rPr>
          <w:sz w:val="26"/>
          <w:szCs w:val="26"/>
        </w:rPr>
        <w:t>дебіторської</w:t>
      </w:r>
      <w:proofErr w:type="spellEnd"/>
      <w:r w:rsidRPr="00200EE6">
        <w:rPr>
          <w:sz w:val="26"/>
          <w:szCs w:val="26"/>
        </w:rPr>
        <w:t xml:space="preserve"> </w:t>
      </w:r>
      <w:proofErr w:type="spellStart"/>
      <w:r w:rsidRPr="00200EE6">
        <w:rPr>
          <w:sz w:val="26"/>
          <w:szCs w:val="26"/>
        </w:rPr>
        <w:t>заборгованості</w:t>
      </w:r>
      <w:proofErr w:type="spellEnd"/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26"/>
        <w:gridCol w:w="2268"/>
        <w:gridCol w:w="2268"/>
        <w:gridCol w:w="1696"/>
      </w:tblGrid>
      <w:tr w:rsidR="00B41199" w:rsidRPr="00200EE6" w:rsidTr="00B41199">
        <w:trPr>
          <w:trHeight w:val="550"/>
        </w:trPr>
        <w:tc>
          <w:tcPr>
            <w:tcW w:w="3726" w:type="dxa"/>
            <w:noWrap/>
            <w:hideMark/>
          </w:tcPr>
          <w:p w:rsidR="00B41199" w:rsidRPr="00200EE6" w:rsidRDefault="00B41199" w:rsidP="006B55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hideMark/>
          </w:tcPr>
          <w:p w:rsidR="00B41199" w:rsidRPr="00200EE6" w:rsidRDefault="00B41199" w:rsidP="003C1D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станом на 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C1D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           тис.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268" w:type="dxa"/>
            <w:hideMark/>
          </w:tcPr>
          <w:p w:rsidR="00B41199" w:rsidRPr="00200EE6" w:rsidRDefault="00B41199" w:rsidP="003C1D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станом на 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3C1D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тис.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96" w:type="dxa"/>
            <w:hideMark/>
          </w:tcPr>
          <w:p w:rsidR="00B41199" w:rsidRPr="00200EE6" w:rsidRDefault="00B41199" w:rsidP="006B55C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Відхилення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тис.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Дебіторська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заборгованість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продукцію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товари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роботи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21 360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0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6 131</w:t>
            </w:r>
          </w:p>
        </w:tc>
      </w:tr>
      <w:tr w:rsidR="003C1D2F" w:rsidRPr="00AF26E2" w:rsidTr="00B41199">
        <w:trPr>
          <w:trHeight w:val="315"/>
        </w:trPr>
        <w:tc>
          <w:tcPr>
            <w:tcW w:w="3726" w:type="dxa"/>
            <w:noWrap/>
          </w:tcPr>
          <w:p w:rsidR="003C1D2F" w:rsidRPr="00AF26E2" w:rsidRDefault="003C1D2F" w:rsidP="003C1D2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F26E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з </w:t>
            </w:r>
            <w:proofErr w:type="spellStart"/>
            <w:r w:rsidRPr="00AF26E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неї</w:t>
            </w:r>
            <w:proofErr w:type="spellEnd"/>
            <w:r w:rsidRPr="00AF26E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прострочена</w:t>
            </w:r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8 653</w:t>
            </w:r>
          </w:p>
        </w:tc>
        <w:tc>
          <w:tcPr>
            <w:tcW w:w="2268" w:type="dxa"/>
            <w:noWrap/>
          </w:tcPr>
          <w:p w:rsidR="003C1D2F" w:rsidRPr="00AF26E2" w:rsidRDefault="003C1D2F" w:rsidP="003C1D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726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7 927</w:t>
            </w:r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виданими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авансами</w:t>
            </w:r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4 459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0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669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-5 210</w:t>
            </w:r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розрахунками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 бюджетом</w:t>
            </w:r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6 175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0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-1 141</w:t>
            </w:r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розрахунками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нарахованих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доходів</w:t>
            </w:r>
            <w:proofErr w:type="spellEnd"/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-95</w:t>
            </w:r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Інша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поточна</w:t>
            </w:r>
            <w:proofErr w:type="spellEnd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заборгованість</w:t>
            </w:r>
            <w:proofErr w:type="spellEnd"/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3 177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696" w:type="dxa"/>
          </w:tcPr>
          <w:p w:rsidR="003C1D2F" w:rsidRPr="00C83936" w:rsidRDefault="00C83936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</w:tr>
      <w:tr w:rsidR="003C1D2F" w:rsidRPr="00200EE6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200EE6" w:rsidRDefault="003C1D2F" w:rsidP="003C1D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2268" w:type="dxa"/>
            <w:noWrap/>
          </w:tcPr>
          <w:p w:rsidR="003C1D2F" w:rsidRPr="00393436" w:rsidRDefault="00393436" w:rsidP="003C1D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35 241</w:t>
            </w:r>
          </w:p>
        </w:tc>
        <w:tc>
          <w:tcPr>
            <w:tcW w:w="2268" w:type="dxa"/>
            <w:noWrap/>
          </w:tcPr>
          <w:p w:rsidR="003C1D2F" w:rsidRPr="00200EE6" w:rsidRDefault="003C1D2F" w:rsidP="003C1D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200E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511</w:t>
            </w:r>
          </w:p>
        </w:tc>
        <w:tc>
          <w:tcPr>
            <w:tcW w:w="1696" w:type="dxa"/>
          </w:tcPr>
          <w:p w:rsidR="003C1D2F" w:rsidRPr="00C83936" w:rsidRDefault="00C83936" w:rsidP="00C839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-270</w:t>
            </w:r>
          </w:p>
        </w:tc>
      </w:tr>
    </w:tbl>
    <w:p w:rsidR="00B41199" w:rsidRPr="000B42C2" w:rsidRDefault="00B41199" w:rsidP="002F4F3D">
      <w:pPr>
        <w:spacing w:line="360" w:lineRule="exact"/>
        <w:ind w:firstLine="567"/>
        <w:jc w:val="both"/>
        <w:rPr>
          <w:sz w:val="26"/>
          <w:szCs w:val="26"/>
        </w:rPr>
      </w:pPr>
      <w:proofErr w:type="spellStart"/>
      <w:r w:rsidRPr="000B42C2">
        <w:rPr>
          <w:sz w:val="26"/>
          <w:szCs w:val="26"/>
        </w:rPr>
        <w:lastRenderedPageBreak/>
        <w:t>Дебіторська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заборгованість</w:t>
      </w:r>
      <w:proofErr w:type="spellEnd"/>
      <w:r w:rsidRPr="000B42C2">
        <w:rPr>
          <w:sz w:val="26"/>
          <w:szCs w:val="26"/>
        </w:rPr>
        <w:t xml:space="preserve"> за </w:t>
      </w:r>
      <w:proofErr w:type="spellStart"/>
      <w:r w:rsidRPr="000B42C2">
        <w:rPr>
          <w:sz w:val="26"/>
          <w:szCs w:val="26"/>
        </w:rPr>
        <w:t>продукцію</w:t>
      </w:r>
      <w:proofErr w:type="spellEnd"/>
      <w:r w:rsidRPr="000B42C2">
        <w:rPr>
          <w:sz w:val="26"/>
          <w:szCs w:val="26"/>
        </w:rPr>
        <w:t xml:space="preserve">, </w:t>
      </w:r>
      <w:proofErr w:type="spellStart"/>
      <w:r w:rsidRPr="000B42C2">
        <w:rPr>
          <w:sz w:val="26"/>
          <w:szCs w:val="26"/>
        </w:rPr>
        <w:t>товари</w:t>
      </w:r>
      <w:proofErr w:type="spellEnd"/>
      <w:r w:rsidRPr="000B42C2">
        <w:rPr>
          <w:sz w:val="26"/>
          <w:szCs w:val="26"/>
        </w:rPr>
        <w:t xml:space="preserve">, </w:t>
      </w:r>
      <w:proofErr w:type="spellStart"/>
      <w:r w:rsidRPr="000B42C2">
        <w:rPr>
          <w:sz w:val="26"/>
          <w:szCs w:val="26"/>
        </w:rPr>
        <w:t>роботи</w:t>
      </w:r>
      <w:proofErr w:type="spellEnd"/>
      <w:r w:rsidRPr="000B42C2">
        <w:rPr>
          <w:sz w:val="26"/>
          <w:szCs w:val="26"/>
        </w:rPr>
        <w:t xml:space="preserve">, </w:t>
      </w:r>
      <w:proofErr w:type="spellStart"/>
      <w:r w:rsidRPr="000B42C2">
        <w:rPr>
          <w:sz w:val="26"/>
          <w:szCs w:val="26"/>
        </w:rPr>
        <w:t>послуги</w:t>
      </w:r>
      <w:proofErr w:type="spellEnd"/>
      <w:r w:rsidRPr="000B42C2">
        <w:rPr>
          <w:sz w:val="26"/>
          <w:szCs w:val="26"/>
        </w:rPr>
        <w:t xml:space="preserve"> станом на 31.12.201</w:t>
      </w:r>
      <w:r w:rsidR="003C1D2F" w:rsidRPr="000B42C2">
        <w:rPr>
          <w:sz w:val="26"/>
          <w:szCs w:val="26"/>
          <w:lang w:val="uk-UA"/>
        </w:rPr>
        <w:t>9</w:t>
      </w:r>
      <w:r w:rsidRPr="000B42C2">
        <w:rPr>
          <w:sz w:val="26"/>
          <w:szCs w:val="26"/>
        </w:rPr>
        <w:t xml:space="preserve"> року </w:t>
      </w:r>
      <w:proofErr w:type="spellStart"/>
      <w:r w:rsidRPr="000B42C2">
        <w:rPr>
          <w:sz w:val="26"/>
          <w:szCs w:val="26"/>
        </w:rPr>
        <w:t>складає</w:t>
      </w:r>
      <w:proofErr w:type="spellEnd"/>
      <w:r w:rsidRPr="000B42C2">
        <w:rPr>
          <w:sz w:val="26"/>
          <w:szCs w:val="26"/>
        </w:rPr>
        <w:t xml:space="preserve"> </w:t>
      </w:r>
      <w:r w:rsidR="00C83936">
        <w:rPr>
          <w:sz w:val="26"/>
          <w:szCs w:val="26"/>
          <w:lang w:val="uk-UA"/>
        </w:rPr>
        <w:t>21 360</w:t>
      </w:r>
      <w:r w:rsidRPr="000B42C2">
        <w:rPr>
          <w:sz w:val="26"/>
          <w:szCs w:val="26"/>
        </w:rPr>
        <w:t xml:space="preserve"> тис. </w:t>
      </w:r>
      <w:proofErr w:type="spellStart"/>
      <w:r w:rsidRPr="000B42C2">
        <w:rPr>
          <w:sz w:val="26"/>
          <w:szCs w:val="26"/>
        </w:rPr>
        <w:t>грн</w:t>
      </w:r>
      <w:proofErr w:type="spellEnd"/>
      <w:r w:rsidRPr="000B42C2">
        <w:rPr>
          <w:sz w:val="26"/>
          <w:szCs w:val="26"/>
        </w:rPr>
        <w:t xml:space="preserve"> та </w:t>
      </w:r>
      <w:proofErr w:type="spellStart"/>
      <w:r w:rsidRPr="000B42C2">
        <w:rPr>
          <w:sz w:val="26"/>
          <w:szCs w:val="26"/>
        </w:rPr>
        <w:t>утворилась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переважно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наприкінці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грудня</w:t>
      </w:r>
      <w:proofErr w:type="spellEnd"/>
      <w:r w:rsidRPr="000B42C2">
        <w:rPr>
          <w:sz w:val="26"/>
          <w:szCs w:val="26"/>
        </w:rPr>
        <w:t xml:space="preserve"> 201</w:t>
      </w:r>
      <w:r w:rsidR="003C1D2F" w:rsidRPr="000B42C2">
        <w:rPr>
          <w:sz w:val="26"/>
          <w:szCs w:val="26"/>
          <w:lang w:val="uk-UA"/>
        </w:rPr>
        <w:t>9</w:t>
      </w:r>
      <w:r w:rsidRPr="000B42C2">
        <w:rPr>
          <w:sz w:val="26"/>
          <w:szCs w:val="26"/>
        </w:rPr>
        <w:t xml:space="preserve"> року та є реальною для </w:t>
      </w:r>
      <w:proofErr w:type="spellStart"/>
      <w:r w:rsidRPr="000B42C2">
        <w:rPr>
          <w:sz w:val="26"/>
          <w:szCs w:val="26"/>
        </w:rPr>
        <w:t>погашення</w:t>
      </w:r>
      <w:proofErr w:type="spellEnd"/>
      <w:r w:rsidRPr="000B42C2">
        <w:rPr>
          <w:sz w:val="26"/>
          <w:szCs w:val="26"/>
        </w:rPr>
        <w:t>.</w:t>
      </w:r>
    </w:p>
    <w:p w:rsidR="00FF71C8" w:rsidRDefault="00B41199" w:rsidP="00B4119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</w:rPr>
        <w:t xml:space="preserve">Прострочена </w:t>
      </w:r>
      <w:proofErr w:type="spellStart"/>
      <w:r w:rsidRPr="000B42C2">
        <w:rPr>
          <w:sz w:val="26"/>
          <w:szCs w:val="26"/>
        </w:rPr>
        <w:t>дебіторська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заборгованість</w:t>
      </w:r>
      <w:proofErr w:type="spellEnd"/>
      <w:r w:rsidRPr="000B42C2">
        <w:rPr>
          <w:sz w:val="26"/>
          <w:szCs w:val="26"/>
        </w:rPr>
        <w:t xml:space="preserve"> станом на 31.12.201</w:t>
      </w:r>
      <w:r w:rsidR="003C1D2F" w:rsidRPr="000B42C2">
        <w:rPr>
          <w:sz w:val="26"/>
          <w:szCs w:val="26"/>
          <w:lang w:val="uk-UA"/>
        </w:rPr>
        <w:t>9</w:t>
      </w:r>
      <w:r w:rsidRPr="000B42C2">
        <w:rPr>
          <w:sz w:val="26"/>
          <w:szCs w:val="26"/>
        </w:rPr>
        <w:t xml:space="preserve"> року з</w:t>
      </w:r>
      <w:proofErr w:type="spellStart"/>
      <w:r w:rsidR="00FF71C8">
        <w:rPr>
          <w:sz w:val="26"/>
          <w:szCs w:val="26"/>
          <w:lang w:val="uk-UA"/>
        </w:rPr>
        <w:t>більшилась</w:t>
      </w:r>
      <w:proofErr w:type="spellEnd"/>
      <w:r w:rsidR="00FF71C8">
        <w:rPr>
          <w:sz w:val="26"/>
          <w:szCs w:val="26"/>
          <w:lang w:val="uk-UA"/>
        </w:rPr>
        <w:t xml:space="preserve"> </w:t>
      </w:r>
      <w:proofErr w:type="spellStart"/>
      <w:r w:rsidRPr="000B42C2">
        <w:rPr>
          <w:sz w:val="26"/>
          <w:szCs w:val="26"/>
        </w:rPr>
        <w:t>відносно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минулого</w:t>
      </w:r>
      <w:proofErr w:type="spellEnd"/>
      <w:r w:rsidRPr="000B42C2">
        <w:rPr>
          <w:sz w:val="26"/>
          <w:szCs w:val="26"/>
        </w:rPr>
        <w:t xml:space="preserve"> року </w:t>
      </w:r>
      <w:r w:rsidR="00FF71C8">
        <w:rPr>
          <w:sz w:val="26"/>
          <w:szCs w:val="26"/>
          <w:lang w:val="uk-UA"/>
        </w:rPr>
        <w:t xml:space="preserve">майже у 12 разів та склала 8 653 тис. грн. </w:t>
      </w:r>
      <w:r w:rsidRPr="00FF71C8">
        <w:rPr>
          <w:sz w:val="26"/>
          <w:szCs w:val="26"/>
          <w:lang w:val="uk-UA"/>
        </w:rPr>
        <w:t xml:space="preserve">Така заборгованість виникла у зв’язку з недотриманням термінів сплати згідно договірних </w:t>
      </w:r>
      <w:r w:rsidRPr="000B42C2">
        <w:rPr>
          <w:sz w:val="26"/>
          <w:szCs w:val="26"/>
          <w:lang w:val="uk-UA"/>
        </w:rPr>
        <w:t>зобов’язань</w:t>
      </w:r>
      <w:r w:rsidR="00FF71C8">
        <w:rPr>
          <w:sz w:val="26"/>
          <w:szCs w:val="26"/>
          <w:lang w:val="uk-UA"/>
        </w:rPr>
        <w:t>,</w:t>
      </w:r>
      <w:r w:rsidR="0049539F" w:rsidRPr="000B42C2">
        <w:rPr>
          <w:sz w:val="26"/>
          <w:szCs w:val="26"/>
          <w:lang w:val="uk-UA"/>
        </w:rPr>
        <w:t xml:space="preserve"> </w:t>
      </w:r>
      <w:r w:rsidR="00FF71C8" w:rsidRPr="00FF71C8">
        <w:rPr>
          <w:sz w:val="26"/>
          <w:szCs w:val="26"/>
          <w:lang w:val="uk-UA"/>
        </w:rPr>
        <w:t>але 93,8 % або 8 119,6 тис. грн простроченої заборгованості було сплачено в січні 2020 року</w:t>
      </w:r>
      <w:r w:rsidR="00FF71C8">
        <w:rPr>
          <w:sz w:val="26"/>
          <w:szCs w:val="26"/>
          <w:lang w:val="uk-UA"/>
        </w:rPr>
        <w:t>.</w:t>
      </w:r>
    </w:p>
    <w:p w:rsidR="00B41199" w:rsidRPr="000B42C2" w:rsidRDefault="00B41199" w:rsidP="005A5B2E">
      <w:pPr>
        <w:spacing w:before="120" w:line="360" w:lineRule="exact"/>
        <w:ind w:firstLine="567"/>
        <w:jc w:val="both"/>
        <w:rPr>
          <w:sz w:val="26"/>
          <w:szCs w:val="26"/>
        </w:rPr>
      </w:pPr>
      <w:proofErr w:type="spellStart"/>
      <w:r w:rsidRPr="000B42C2">
        <w:rPr>
          <w:sz w:val="26"/>
          <w:szCs w:val="26"/>
        </w:rPr>
        <w:t>Кредиторська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заборгованість</w:t>
      </w:r>
      <w:proofErr w:type="spellEnd"/>
      <w:r w:rsidRPr="000B42C2">
        <w:rPr>
          <w:sz w:val="26"/>
          <w:szCs w:val="26"/>
        </w:rPr>
        <w:t xml:space="preserve"> станом на 31.12.201</w:t>
      </w:r>
      <w:r w:rsidR="003C1D2F" w:rsidRPr="000B42C2">
        <w:rPr>
          <w:sz w:val="26"/>
          <w:szCs w:val="26"/>
          <w:lang w:val="uk-UA"/>
        </w:rPr>
        <w:t>9</w:t>
      </w:r>
      <w:r w:rsidRPr="000B42C2">
        <w:rPr>
          <w:sz w:val="26"/>
          <w:szCs w:val="26"/>
        </w:rPr>
        <w:t xml:space="preserve"> року </w:t>
      </w:r>
      <w:proofErr w:type="spellStart"/>
      <w:r w:rsidRPr="000B42C2">
        <w:rPr>
          <w:sz w:val="26"/>
          <w:szCs w:val="26"/>
        </w:rPr>
        <w:t>зменшилась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проти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рівня</w:t>
      </w:r>
      <w:proofErr w:type="spellEnd"/>
      <w:r w:rsidRPr="000B42C2">
        <w:rPr>
          <w:sz w:val="26"/>
          <w:szCs w:val="26"/>
        </w:rPr>
        <w:t xml:space="preserve"> 31.12.201</w:t>
      </w:r>
      <w:r w:rsidR="003C1D2F" w:rsidRPr="000B42C2">
        <w:rPr>
          <w:sz w:val="26"/>
          <w:szCs w:val="26"/>
          <w:lang w:val="uk-UA"/>
        </w:rPr>
        <w:t>8</w:t>
      </w:r>
      <w:r w:rsidRPr="000B42C2">
        <w:rPr>
          <w:sz w:val="26"/>
          <w:szCs w:val="26"/>
        </w:rPr>
        <w:t xml:space="preserve"> року на</w:t>
      </w:r>
      <w:r w:rsidR="00FF71C8">
        <w:rPr>
          <w:sz w:val="26"/>
          <w:szCs w:val="26"/>
          <w:lang w:val="uk-UA"/>
        </w:rPr>
        <w:t xml:space="preserve"> 5 626</w:t>
      </w:r>
      <w:r w:rsidRPr="000B42C2">
        <w:rPr>
          <w:sz w:val="26"/>
          <w:szCs w:val="26"/>
        </w:rPr>
        <w:t xml:space="preserve"> тис. </w:t>
      </w:r>
      <w:proofErr w:type="spellStart"/>
      <w:r w:rsidRPr="000B42C2">
        <w:rPr>
          <w:sz w:val="26"/>
          <w:szCs w:val="26"/>
        </w:rPr>
        <w:t>грн</w:t>
      </w:r>
      <w:proofErr w:type="spellEnd"/>
      <w:r w:rsidRPr="000B42C2">
        <w:rPr>
          <w:sz w:val="26"/>
          <w:szCs w:val="26"/>
        </w:rPr>
        <w:t xml:space="preserve"> та </w:t>
      </w:r>
      <w:proofErr w:type="spellStart"/>
      <w:r w:rsidRPr="000B42C2">
        <w:rPr>
          <w:sz w:val="26"/>
          <w:szCs w:val="26"/>
        </w:rPr>
        <w:t>склала</w:t>
      </w:r>
      <w:proofErr w:type="spellEnd"/>
      <w:r w:rsidRPr="000B42C2">
        <w:rPr>
          <w:sz w:val="26"/>
          <w:szCs w:val="26"/>
        </w:rPr>
        <w:t xml:space="preserve"> </w:t>
      </w:r>
      <w:r w:rsidR="00FF71C8">
        <w:rPr>
          <w:sz w:val="26"/>
          <w:szCs w:val="26"/>
          <w:lang w:val="uk-UA"/>
        </w:rPr>
        <w:t>20 210</w:t>
      </w:r>
      <w:r w:rsidRPr="000B42C2">
        <w:rPr>
          <w:sz w:val="26"/>
          <w:szCs w:val="26"/>
        </w:rPr>
        <w:t xml:space="preserve"> тис. грн.</w:t>
      </w:r>
    </w:p>
    <w:p w:rsidR="00F339D5" w:rsidRPr="002D78CA" w:rsidRDefault="00F339D5" w:rsidP="002D78CA">
      <w:pPr>
        <w:ind w:firstLine="567"/>
        <w:jc w:val="both"/>
        <w:rPr>
          <w:sz w:val="16"/>
          <w:szCs w:val="26"/>
        </w:rPr>
      </w:pPr>
    </w:p>
    <w:p w:rsidR="00B41199" w:rsidRPr="00CF4111" w:rsidRDefault="00B41199" w:rsidP="00B41199">
      <w:pPr>
        <w:spacing w:line="360" w:lineRule="exact"/>
        <w:jc w:val="center"/>
        <w:rPr>
          <w:sz w:val="26"/>
          <w:szCs w:val="26"/>
        </w:rPr>
      </w:pPr>
      <w:proofErr w:type="spellStart"/>
      <w:r w:rsidRPr="00CF4111">
        <w:rPr>
          <w:sz w:val="26"/>
          <w:szCs w:val="26"/>
        </w:rPr>
        <w:t>Аналіз</w:t>
      </w:r>
      <w:proofErr w:type="spellEnd"/>
      <w:r w:rsidRPr="00CF4111">
        <w:rPr>
          <w:sz w:val="26"/>
          <w:szCs w:val="26"/>
        </w:rPr>
        <w:t xml:space="preserve"> </w:t>
      </w:r>
      <w:proofErr w:type="spellStart"/>
      <w:r w:rsidRPr="00CF4111">
        <w:rPr>
          <w:sz w:val="26"/>
          <w:szCs w:val="26"/>
        </w:rPr>
        <w:t>динаміки</w:t>
      </w:r>
      <w:proofErr w:type="spellEnd"/>
      <w:r w:rsidRPr="00CF4111">
        <w:rPr>
          <w:sz w:val="26"/>
          <w:szCs w:val="26"/>
        </w:rPr>
        <w:t xml:space="preserve"> </w:t>
      </w:r>
      <w:proofErr w:type="spellStart"/>
      <w:r w:rsidRPr="00CF4111">
        <w:rPr>
          <w:sz w:val="26"/>
          <w:szCs w:val="26"/>
        </w:rPr>
        <w:t>поточної</w:t>
      </w:r>
      <w:proofErr w:type="spellEnd"/>
      <w:r w:rsidRPr="00CF4111">
        <w:rPr>
          <w:sz w:val="26"/>
          <w:szCs w:val="26"/>
        </w:rPr>
        <w:t xml:space="preserve"> </w:t>
      </w:r>
      <w:proofErr w:type="spellStart"/>
      <w:r w:rsidRPr="00CF4111">
        <w:rPr>
          <w:sz w:val="26"/>
          <w:szCs w:val="26"/>
        </w:rPr>
        <w:t>кредиторської</w:t>
      </w:r>
      <w:proofErr w:type="spellEnd"/>
      <w:r w:rsidRPr="00CF4111">
        <w:rPr>
          <w:sz w:val="26"/>
          <w:szCs w:val="26"/>
        </w:rPr>
        <w:t xml:space="preserve"> </w:t>
      </w:r>
      <w:proofErr w:type="spellStart"/>
      <w:r w:rsidRPr="00CF4111">
        <w:rPr>
          <w:sz w:val="26"/>
          <w:szCs w:val="26"/>
        </w:rPr>
        <w:t>заборгованості</w:t>
      </w:r>
      <w:proofErr w:type="spellEnd"/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26"/>
        <w:gridCol w:w="2268"/>
        <w:gridCol w:w="2268"/>
        <w:gridCol w:w="1696"/>
      </w:tblGrid>
      <w:tr w:rsidR="00B41199" w:rsidRPr="00CF4111" w:rsidTr="00B41199">
        <w:trPr>
          <w:trHeight w:val="550"/>
        </w:trPr>
        <w:tc>
          <w:tcPr>
            <w:tcW w:w="3726" w:type="dxa"/>
            <w:noWrap/>
            <w:hideMark/>
          </w:tcPr>
          <w:p w:rsidR="00B41199" w:rsidRPr="00CF4111" w:rsidRDefault="00B41199" w:rsidP="006B55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hideMark/>
          </w:tcPr>
          <w:p w:rsidR="00B41199" w:rsidRPr="00200EE6" w:rsidRDefault="00B41199" w:rsidP="003C1D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станом на 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C1D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           тис.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268" w:type="dxa"/>
            <w:hideMark/>
          </w:tcPr>
          <w:p w:rsidR="00B41199" w:rsidRPr="00200EE6" w:rsidRDefault="00B41199" w:rsidP="003C1D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станом на 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3C1D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тис. </w:t>
            </w:r>
            <w:proofErr w:type="spellStart"/>
            <w:r w:rsidRPr="00200EE6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96" w:type="dxa"/>
            <w:hideMark/>
          </w:tcPr>
          <w:p w:rsidR="00B41199" w:rsidRPr="00CF4111" w:rsidRDefault="00B41199" w:rsidP="006B55C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Відхилення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тис.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грн</w:t>
            </w:r>
            <w:proofErr w:type="spellEnd"/>
          </w:p>
        </w:tc>
      </w:tr>
      <w:tr w:rsidR="00B41199" w:rsidRPr="00CF4111" w:rsidTr="00B41199">
        <w:trPr>
          <w:trHeight w:val="315"/>
        </w:trPr>
        <w:tc>
          <w:tcPr>
            <w:tcW w:w="3726" w:type="dxa"/>
            <w:noWrap/>
            <w:hideMark/>
          </w:tcPr>
          <w:p w:rsidR="00B41199" w:rsidRPr="00CF4111" w:rsidRDefault="00B41199" w:rsidP="006B55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Кредиторська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заборгованість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товари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роботи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2268" w:type="dxa"/>
            <w:noWrap/>
          </w:tcPr>
          <w:p w:rsidR="00B41199" w:rsidRPr="00FA7FD1" w:rsidRDefault="00FA7FD1" w:rsidP="006B55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3 731</w:t>
            </w:r>
          </w:p>
        </w:tc>
        <w:tc>
          <w:tcPr>
            <w:tcW w:w="2268" w:type="dxa"/>
            <w:noWrap/>
          </w:tcPr>
          <w:p w:rsidR="00B41199" w:rsidRPr="003C1D2F" w:rsidRDefault="003C1D2F" w:rsidP="006B55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A7F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905</w:t>
            </w:r>
          </w:p>
        </w:tc>
        <w:tc>
          <w:tcPr>
            <w:tcW w:w="1696" w:type="dxa"/>
          </w:tcPr>
          <w:p w:rsidR="00B41199" w:rsidRPr="00FA7FD1" w:rsidRDefault="00FA7FD1" w:rsidP="006B55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1 826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розрахунках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 бюджетом</w:t>
            </w:r>
          </w:p>
        </w:tc>
        <w:tc>
          <w:tcPr>
            <w:tcW w:w="2268" w:type="dxa"/>
            <w:noWrap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6 073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7 859</w:t>
            </w:r>
          </w:p>
        </w:tc>
        <w:tc>
          <w:tcPr>
            <w:tcW w:w="1696" w:type="dxa"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-1 786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розрахунках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зі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страхування</w:t>
            </w:r>
            <w:proofErr w:type="spellEnd"/>
          </w:p>
        </w:tc>
        <w:tc>
          <w:tcPr>
            <w:tcW w:w="2268" w:type="dxa"/>
            <w:noWrap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784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1696" w:type="dxa"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-160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розрахунках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 оплати праці</w:t>
            </w:r>
          </w:p>
        </w:tc>
        <w:tc>
          <w:tcPr>
            <w:tcW w:w="2268" w:type="dxa"/>
            <w:noWrap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4 415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5 387</w:t>
            </w:r>
          </w:p>
        </w:tc>
        <w:tc>
          <w:tcPr>
            <w:tcW w:w="1696" w:type="dxa"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-972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одержаних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авансів</w:t>
            </w:r>
            <w:proofErr w:type="spellEnd"/>
          </w:p>
        </w:tc>
        <w:tc>
          <w:tcPr>
            <w:tcW w:w="2268" w:type="dxa"/>
            <w:noWrap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4 004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7 661</w:t>
            </w:r>
          </w:p>
        </w:tc>
        <w:tc>
          <w:tcPr>
            <w:tcW w:w="1696" w:type="dxa"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-3 657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Інші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поточні</w:t>
            </w:r>
            <w:proofErr w:type="spellEnd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F4111">
              <w:rPr>
                <w:rFonts w:ascii="Times New Roman" w:hAnsi="Times New Roman" w:cs="Times New Roman"/>
                <w:bCs/>
                <w:sz w:val="26"/>
                <w:szCs w:val="26"/>
              </w:rPr>
              <w:t>зобов’язання</w:t>
            </w:r>
            <w:proofErr w:type="spellEnd"/>
          </w:p>
        </w:tc>
        <w:tc>
          <w:tcPr>
            <w:tcW w:w="2268" w:type="dxa"/>
            <w:noWrap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1 203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2 080</w:t>
            </w:r>
          </w:p>
        </w:tc>
        <w:tc>
          <w:tcPr>
            <w:tcW w:w="1696" w:type="dxa"/>
          </w:tcPr>
          <w:p w:rsidR="003C1D2F" w:rsidRPr="00FA7FD1" w:rsidRDefault="00FA7FD1" w:rsidP="003C1D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-877</w:t>
            </w:r>
          </w:p>
        </w:tc>
      </w:tr>
      <w:tr w:rsidR="003C1D2F" w:rsidRPr="00CF4111" w:rsidTr="00B41199">
        <w:trPr>
          <w:trHeight w:val="315"/>
        </w:trPr>
        <w:tc>
          <w:tcPr>
            <w:tcW w:w="3726" w:type="dxa"/>
            <w:noWrap/>
            <w:hideMark/>
          </w:tcPr>
          <w:p w:rsidR="003C1D2F" w:rsidRPr="00CF4111" w:rsidRDefault="003C1D2F" w:rsidP="003C1D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1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2268" w:type="dxa"/>
            <w:noWrap/>
          </w:tcPr>
          <w:p w:rsidR="003C1D2F" w:rsidRPr="00FF71C8" w:rsidRDefault="00FF71C8" w:rsidP="003C1D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20 210</w:t>
            </w:r>
          </w:p>
        </w:tc>
        <w:tc>
          <w:tcPr>
            <w:tcW w:w="2268" w:type="dxa"/>
            <w:noWrap/>
          </w:tcPr>
          <w:p w:rsidR="003C1D2F" w:rsidRPr="00CF4111" w:rsidRDefault="003C1D2F" w:rsidP="003C1D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25 836</w:t>
            </w:r>
          </w:p>
        </w:tc>
        <w:tc>
          <w:tcPr>
            <w:tcW w:w="1696" w:type="dxa"/>
          </w:tcPr>
          <w:p w:rsidR="003C1D2F" w:rsidRPr="00FF71C8" w:rsidRDefault="00FF71C8" w:rsidP="003C1D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-5 626</w:t>
            </w:r>
          </w:p>
        </w:tc>
      </w:tr>
    </w:tbl>
    <w:p w:rsidR="005A5B2E" w:rsidRDefault="005A5B2E" w:rsidP="00B4119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</w:p>
    <w:p w:rsidR="00CB2EA2" w:rsidRPr="002F4F3D" w:rsidRDefault="00CB2EA2" w:rsidP="00B4119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Поточна кредиторська заборгованість за товари, роботи, послуги </w:t>
      </w:r>
      <w:r w:rsidR="00D877EC">
        <w:rPr>
          <w:sz w:val="26"/>
          <w:szCs w:val="26"/>
          <w:lang w:val="uk-UA"/>
        </w:rPr>
        <w:t xml:space="preserve">станом на 31.12.2019 року </w:t>
      </w:r>
      <w:r>
        <w:rPr>
          <w:sz w:val="26"/>
          <w:szCs w:val="26"/>
          <w:lang w:val="uk-UA"/>
        </w:rPr>
        <w:t>зросла проти ми</w:t>
      </w:r>
      <w:r w:rsidR="00D877EC">
        <w:rPr>
          <w:sz w:val="26"/>
          <w:szCs w:val="26"/>
          <w:lang w:val="uk-UA"/>
        </w:rPr>
        <w:t>нулого року на 1 826 тис. грн. Така заборгованість виникла</w:t>
      </w:r>
      <w:r w:rsidR="002F4F3D">
        <w:rPr>
          <w:sz w:val="26"/>
          <w:szCs w:val="26"/>
          <w:lang w:val="uk-UA"/>
        </w:rPr>
        <w:t xml:space="preserve"> за поставлене в кінці грудня паливо, електроенергію та послуги </w:t>
      </w:r>
      <w:r w:rsidR="002F4F3D" w:rsidRPr="002F4F3D">
        <w:rPr>
          <w:sz w:val="26"/>
          <w:szCs w:val="26"/>
          <w:lang w:val="uk-UA"/>
        </w:rPr>
        <w:t>із забезпечення доступу портового оператора до причалу</w:t>
      </w:r>
      <w:r w:rsidR="002F4F3D">
        <w:rPr>
          <w:sz w:val="26"/>
          <w:szCs w:val="26"/>
          <w:lang w:val="uk-UA"/>
        </w:rPr>
        <w:t>. Вказана заборгованість була сплачена на початку січня 2020 року.</w:t>
      </w:r>
    </w:p>
    <w:p w:rsidR="00B41199" w:rsidRPr="008A072F" w:rsidRDefault="00B41199" w:rsidP="00B4119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8A072F">
        <w:rPr>
          <w:sz w:val="26"/>
          <w:szCs w:val="26"/>
          <w:lang w:val="uk-UA"/>
        </w:rPr>
        <w:t xml:space="preserve">Заборгованість перед бюджетом складає </w:t>
      </w:r>
      <w:r w:rsidR="00FA7FD1">
        <w:rPr>
          <w:sz w:val="26"/>
          <w:szCs w:val="26"/>
          <w:lang w:val="uk-UA"/>
        </w:rPr>
        <w:t>6 073</w:t>
      </w:r>
      <w:r w:rsidRPr="008A072F">
        <w:rPr>
          <w:sz w:val="26"/>
          <w:szCs w:val="26"/>
          <w:lang w:val="uk-UA"/>
        </w:rPr>
        <w:t xml:space="preserve"> тис. грн, термін сплати цих платежів настане у січні-березні 20</w:t>
      </w:r>
      <w:r w:rsidR="000B42C2">
        <w:rPr>
          <w:sz w:val="26"/>
          <w:szCs w:val="26"/>
          <w:lang w:val="uk-UA"/>
        </w:rPr>
        <w:t>20</w:t>
      </w:r>
      <w:r w:rsidRPr="008A072F">
        <w:rPr>
          <w:sz w:val="26"/>
          <w:szCs w:val="26"/>
          <w:lang w:val="uk-UA"/>
        </w:rPr>
        <w:t xml:space="preserve"> року, у тому числі: ПДВ – </w:t>
      </w:r>
      <w:r w:rsidR="00CB2EA2">
        <w:rPr>
          <w:sz w:val="26"/>
          <w:szCs w:val="26"/>
          <w:lang w:val="uk-UA"/>
        </w:rPr>
        <w:t>3 785</w:t>
      </w:r>
      <w:r w:rsidRPr="008A072F">
        <w:rPr>
          <w:sz w:val="26"/>
          <w:szCs w:val="26"/>
          <w:lang w:val="uk-UA"/>
        </w:rPr>
        <w:t xml:space="preserve"> тис. грн; частина чистого прибутку (доходу), що підлягає сплаті до держбюджету унітарними підприємствами – </w:t>
      </w:r>
      <w:r w:rsidR="00CB2EA2">
        <w:rPr>
          <w:sz w:val="26"/>
          <w:szCs w:val="26"/>
          <w:lang w:val="uk-UA"/>
        </w:rPr>
        <w:t>1 361,2</w:t>
      </w:r>
      <w:r w:rsidRPr="008A072F">
        <w:rPr>
          <w:sz w:val="26"/>
          <w:szCs w:val="26"/>
          <w:lang w:val="uk-UA"/>
        </w:rPr>
        <w:t xml:space="preserve"> тис. грн; податок з доходів фізичних осіб – </w:t>
      </w:r>
      <w:r w:rsidR="00CB2EA2">
        <w:rPr>
          <w:sz w:val="26"/>
          <w:szCs w:val="26"/>
          <w:lang w:val="uk-UA"/>
        </w:rPr>
        <w:t>199,9</w:t>
      </w:r>
      <w:r w:rsidRPr="008A072F">
        <w:rPr>
          <w:sz w:val="26"/>
          <w:szCs w:val="26"/>
          <w:lang w:val="uk-UA"/>
        </w:rPr>
        <w:t xml:space="preserve"> тис. грн; податок на землю – </w:t>
      </w:r>
      <w:r w:rsidR="00CB2EA2">
        <w:rPr>
          <w:sz w:val="26"/>
          <w:szCs w:val="26"/>
          <w:lang w:val="uk-UA"/>
        </w:rPr>
        <w:t>406,4</w:t>
      </w:r>
      <w:r w:rsidRPr="008A072F">
        <w:rPr>
          <w:sz w:val="26"/>
          <w:szCs w:val="26"/>
          <w:lang w:val="uk-UA"/>
        </w:rPr>
        <w:t xml:space="preserve"> тис. грн; податок на нерухоме майно – </w:t>
      </w:r>
      <w:r w:rsidR="00CB2EA2">
        <w:rPr>
          <w:sz w:val="26"/>
          <w:szCs w:val="26"/>
          <w:lang w:val="uk-UA"/>
        </w:rPr>
        <w:t>210,6</w:t>
      </w:r>
      <w:r w:rsidRPr="008A072F">
        <w:rPr>
          <w:sz w:val="26"/>
          <w:szCs w:val="26"/>
          <w:lang w:val="uk-UA"/>
        </w:rPr>
        <w:t xml:space="preserve"> тис. грн; військовий збір – </w:t>
      </w:r>
      <w:r w:rsidR="00CB2EA2">
        <w:rPr>
          <w:sz w:val="26"/>
          <w:szCs w:val="26"/>
          <w:lang w:val="uk-UA"/>
        </w:rPr>
        <w:t>72,2</w:t>
      </w:r>
      <w:r w:rsidRPr="008A072F">
        <w:rPr>
          <w:sz w:val="26"/>
          <w:szCs w:val="26"/>
          <w:lang w:val="uk-UA"/>
        </w:rPr>
        <w:t xml:space="preserve"> тис. грн; інші податки та платежі – </w:t>
      </w:r>
      <w:r w:rsidR="00CB2EA2">
        <w:rPr>
          <w:sz w:val="26"/>
          <w:szCs w:val="26"/>
          <w:lang w:val="uk-UA"/>
        </w:rPr>
        <w:t>37,2</w:t>
      </w:r>
      <w:r w:rsidRPr="008A072F">
        <w:rPr>
          <w:sz w:val="26"/>
          <w:szCs w:val="26"/>
          <w:lang w:val="uk-UA"/>
        </w:rPr>
        <w:t xml:space="preserve"> тис. грн.</w:t>
      </w:r>
    </w:p>
    <w:p w:rsidR="00B41199" w:rsidRPr="000B42C2" w:rsidRDefault="00B41199" w:rsidP="00B41199">
      <w:pPr>
        <w:spacing w:line="360" w:lineRule="exact"/>
        <w:ind w:firstLine="567"/>
        <w:jc w:val="both"/>
        <w:rPr>
          <w:sz w:val="26"/>
          <w:szCs w:val="26"/>
        </w:rPr>
      </w:pPr>
      <w:r w:rsidRPr="000B42C2">
        <w:rPr>
          <w:sz w:val="26"/>
          <w:szCs w:val="26"/>
        </w:rPr>
        <w:t xml:space="preserve">Прострочена </w:t>
      </w:r>
      <w:proofErr w:type="spellStart"/>
      <w:r w:rsidRPr="000B42C2">
        <w:rPr>
          <w:sz w:val="26"/>
          <w:szCs w:val="26"/>
        </w:rPr>
        <w:t>кредиторська</w:t>
      </w:r>
      <w:proofErr w:type="spellEnd"/>
      <w:r w:rsidRPr="000B42C2">
        <w:rPr>
          <w:sz w:val="26"/>
          <w:szCs w:val="26"/>
        </w:rPr>
        <w:t xml:space="preserve"> </w:t>
      </w:r>
      <w:proofErr w:type="spellStart"/>
      <w:r w:rsidRPr="000B42C2">
        <w:rPr>
          <w:sz w:val="26"/>
          <w:szCs w:val="26"/>
        </w:rPr>
        <w:t>заборгованість</w:t>
      </w:r>
      <w:proofErr w:type="spellEnd"/>
      <w:r w:rsidRPr="000B42C2">
        <w:rPr>
          <w:sz w:val="26"/>
          <w:szCs w:val="26"/>
        </w:rPr>
        <w:t xml:space="preserve"> станом на 31.12.201</w:t>
      </w:r>
      <w:r w:rsidR="000B42C2">
        <w:rPr>
          <w:sz w:val="26"/>
          <w:szCs w:val="26"/>
          <w:lang w:val="uk-UA"/>
        </w:rPr>
        <w:t>9</w:t>
      </w:r>
      <w:r w:rsidRPr="000B42C2">
        <w:rPr>
          <w:sz w:val="26"/>
          <w:szCs w:val="26"/>
        </w:rPr>
        <w:t xml:space="preserve"> року </w:t>
      </w:r>
      <w:proofErr w:type="spellStart"/>
      <w:r w:rsidRPr="000B42C2">
        <w:rPr>
          <w:sz w:val="26"/>
          <w:szCs w:val="26"/>
        </w:rPr>
        <w:t>відсутня</w:t>
      </w:r>
      <w:proofErr w:type="spellEnd"/>
      <w:r w:rsidRPr="000B42C2">
        <w:rPr>
          <w:sz w:val="26"/>
          <w:szCs w:val="26"/>
        </w:rPr>
        <w:t>.</w:t>
      </w:r>
    </w:p>
    <w:p w:rsidR="00B41199" w:rsidRDefault="00B41199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7A6169" w:rsidRPr="008C000A" w:rsidRDefault="00E76580" w:rsidP="00B41199">
      <w:pPr>
        <w:pStyle w:val="a7"/>
        <w:numPr>
          <w:ilvl w:val="0"/>
          <w:numId w:val="12"/>
        </w:numPr>
        <w:tabs>
          <w:tab w:val="left" w:pos="284"/>
          <w:tab w:val="left" w:pos="851"/>
        </w:tabs>
        <w:spacing w:line="360" w:lineRule="exact"/>
        <w:ind w:left="851" w:right="284" w:hanging="284"/>
        <w:jc w:val="both"/>
        <w:rPr>
          <w:b/>
          <w:sz w:val="28"/>
          <w:szCs w:val="26"/>
          <w:lang w:val="uk-UA"/>
        </w:rPr>
      </w:pPr>
      <w:r w:rsidRPr="008C000A">
        <w:rPr>
          <w:b/>
          <w:sz w:val="28"/>
          <w:szCs w:val="26"/>
          <w:lang w:val="uk-UA"/>
        </w:rPr>
        <w:t>Рівень податкового навантаження</w:t>
      </w:r>
    </w:p>
    <w:p w:rsidR="002E4AC3" w:rsidRPr="005761C1" w:rsidRDefault="002E4AC3" w:rsidP="005761C1">
      <w:pPr>
        <w:pStyle w:val="a7"/>
        <w:tabs>
          <w:tab w:val="left" w:pos="284"/>
        </w:tabs>
        <w:ind w:left="567" w:right="284" w:firstLine="567"/>
        <w:jc w:val="both"/>
        <w:rPr>
          <w:b/>
          <w:sz w:val="16"/>
          <w:szCs w:val="26"/>
          <w:lang w:val="uk-UA"/>
        </w:rPr>
      </w:pPr>
    </w:p>
    <w:p w:rsidR="0030128E" w:rsidRPr="00C53899" w:rsidRDefault="00B41199" w:rsidP="00EA56D4">
      <w:pPr>
        <w:pStyle w:val="a7"/>
        <w:tabs>
          <w:tab w:val="left" w:pos="284"/>
        </w:tabs>
        <w:spacing w:after="120" w:line="380" w:lineRule="exact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6</w:t>
      </w:r>
      <w:r w:rsidR="00982242" w:rsidRPr="001560D9">
        <w:rPr>
          <w:sz w:val="26"/>
          <w:szCs w:val="26"/>
          <w:lang w:val="uk-UA"/>
        </w:rPr>
        <w:t>.1</w:t>
      </w:r>
      <w:r w:rsidR="00F60390">
        <w:rPr>
          <w:sz w:val="26"/>
          <w:szCs w:val="26"/>
          <w:lang w:val="uk-UA"/>
        </w:rPr>
        <w:t>.</w:t>
      </w:r>
      <w:r w:rsidR="00982242" w:rsidRPr="001560D9">
        <w:rPr>
          <w:sz w:val="26"/>
          <w:szCs w:val="26"/>
          <w:lang w:val="uk-UA"/>
        </w:rPr>
        <w:t xml:space="preserve"> Динаміка  по</w:t>
      </w:r>
      <w:r w:rsidR="006734A4">
        <w:rPr>
          <w:sz w:val="26"/>
          <w:szCs w:val="26"/>
          <w:lang w:val="uk-UA"/>
        </w:rPr>
        <w:t>датків та  платежів до бюджетів (</w:t>
      </w:r>
      <w:r w:rsidR="00DE3887">
        <w:rPr>
          <w:sz w:val="26"/>
          <w:szCs w:val="26"/>
          <w:lang w:val="uk-UA"/>
        </w:rPr>
        <w:t>сплата</w:t>
      </w:r>
      <w:r w:rsidR="006734A4">
        <w:rPr>
          <w:sz w:val="26"/>
          <w:szCs w:val="26"/>
          <w:lang w:val="uk-UA"/>
        </w:rPr>
        <w:t>)</w:t>
      </w:r>
      <w:r w:rsidR="00DC516C" w:rsidRPr="001560D9">
        <w:rPr>
          <w:sz w:val="26"/>
          <w:szCs w:val="26"/>
          <w:lang w:val="uk-UA"/>
        </w:rPr>
        <w:t xml:space="preserve">      </w:t>
      </w:r>
      <w:r w:rsidR="00DE3887">
        <w:rPr>
          <w:sz w:val="26"/>
          <w:szCs w:val="26"/>
          <w:lang w:val="uk-UA"/>
        </w:rPr>
        <w:t xml:space="preserve"> </w:t>
      </w:r>
      <w:r w:rsidR="00DC516C" w:rsidRPr="001560D9">
        <w:rPr>
          <w:sz w:val="26"/>
          <w:szCs w:val="26"/>
          <w:lang w:val="uk-UA"/>
        </w:rPr>
        <w:t xml:space="preserve">         </w:t>
      </w:r>
      <w:r w:rsidR="00982242" w:rsidRPr="001560D9">
        <w:rPr>
          <w:sz w:val="26"/>
          <w:szCs w:val="26"/>
          <w:lang w:val="uk-UA"/>
        </w:rPr>
        <w:t xml:space="preserve">           </w:t>
      </w:r>
      <w:r w:rsidR="00B12D1D">
        <w:rPr>
          <w:sz w:val="26"/>
          <w:szCs w:val="26"/>
          <w:lang w:val="uk-UA"/>
        </w:rPr>
        <w:t>(</w:t>
      </w:r>
      <w:proofErr w:type="spellStart"/>
      <w:r w:rsidR="00B12D1D">
        <w:rPr>
          <w:sz w:val="26"/>
          <w:szCs w:val="26"/>
          <w:lang w:val="uk-UA"/>
        </w:rPr>
        <w:t>тис.грн</w:t>
      </w:r>
      <w:proofErr w:type="spellEnd"/>
      <w:r w:rsidR="0030128E" w:rsidRPr="001560D9">
        <w:rPr>
          <w:sz w:val="26"/>
          <w:szCs w:val="26"/>
          <w:lang w:val="uk-UA"/>
        </w:rPr>
        <w:t>)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134"/>
        <w:gridCol w:w="1276"/>
        <w:gridCol w:w="1670"/>
      </w:tblGrid>
      <w:tr w:rsidR="00E70A2F" w:rsidRPr="005070DD" w:rsidTr="006F78A2">
        <w:trPr>
          <w:trHeight w:val="677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E70A2F" w:rsidRPr="004676EE" w:rsidRDefault="00526315" w:rsidP="000D1022">
            <w:pPr>
              <w:ind w:firstLine="29"/>
              <w:jc w:val="center"/>
              <w:rPr>
                <w:sz w:val="24"/>
                <w:szCs w:val="22"/>
                <w:lang w:val="uk-UA" w:eastAsia="uk-UA"/>
              </w:rPr>
            </w:pPr>
            <w:r w:rsidRPr="004676EE">
              <w:rPr>
                <w:sz w:val="24"/>
                <w:szCs w:val="22"/>
                <w:lang w:val="uk-UA" w:eastAsia="uk-UA"/>
              </w:rPr>
              <w:t>Види податків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0A2F" w:rsidRPr="003D0441" w:rsidRDefault="00E70A2F" w:rsidP="003C1D2F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за 201</w:t>
            </w:r>
            <w:r w:rsidR="003C1D2F">
              <w:rPr>
                <w:sz w:val="24"/>
                <w:lang w:val="uk-UA"/>
              </w:rPr>
              <w:t>8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0A2F" w:rsidRPr="003D0441" w:rsidRDefault="00E70A2F" w:rsidP="003C1D2F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План  на 201</w:t>
            </w:r>
            <w:r w:rsidR="003C1D2F"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0A2F" w:rsidRPr="003D0441" w:rsidRDefault="00E70A2F" w:rsidP="003C1D2F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Звіт за            201</w:t>
            </w:r>
            <w:r w:rsidR="003C1D2F">
              <w:rPr>
                <w:sz w:val="24"/>
                <w:lang w:val="uk-UA"/>
              </w:rPr>
              <w:t>9</w:t>
            </w:r>
            <w:r w:rsidRPr="003D0441">
              <w:rPr>
                <w:sz w:val="24"/>
                <w:lang w:val="uk-UA"/>
              </w:rPr>
              <w:t> 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0A2F" w:rsidRPr="003D0441" w:rsidRDefault="00E70A2F" w:rsidP="00E34108">
            <w:pPr>
              <w:ind w:right="-24"/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70A2F" w:rsidRPr="003D0441" w:rsidRDefault="00CA1CE7" w:rsidP="003C1D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3C1D2F">
              <w:rPr>
                <w:sz w:val="24"/>
                <w:lang w:val="uk-UA"/>
              </w:rPr>
              <w:t>9</w:t>
            </w:r>
            <w:r w:rsidR="00337A3A">
              <w:rPr>
                <w:sz w:val="24"/>
                <w:lang w:val="uk-UA"/>
              </w:rPr>
              <w:t xml:space="preserve">р.  в %% до </w:t>
            </w:r>
            <w:r>
              <w:rPr>
                <w:sz w:val="24"/>
                <w:lang w:val="uk-UA"/>
              </w:rPr>
              <w:t>201</w:t>
            </w:r>
            <w:r w:rsidR="003C1D2F">
              <w:rPr>
                <w:sz w:val="24"/>
                <w:lang w:val="uk-UA"/>
              </w:rPr>
              <w:t>8</w:t>
            </w:r>
            <w:r w:rsidR="00E70A2F" w:rsidRPr="003D0441">
              <w:rPr>
                <w:sz w:val="24"/>
                <w:lang w:val="uk-UA"/>
              </w:rPr>
              <w:t> р.</w:t>
            </w:r>
          </w:p>
        </w:tc>
      </w:tr>
      <w:tr w:rsidR="003C1D2F" w:rsidRPr="005070DD" w:rsidTr="00846C0D">
        <w:trPr>
          <w:trHeight w:val="836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3C1D2F" w:rsidRPr="005070DD" w:rsidRDefault="003C1D2F" w:rsidP="003C1D2F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Сплата поточних податків та обов'язкових платежів до держбюджету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5070DD" w:rsidRDefault="003C1D2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116767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E42213" w:rsidRDefault="000A521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5070DD" w:rsidRDefault="00F44BC4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54858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034AC4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44,1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47,0</w:t>
            </w:r>
          </w:p>
        </w:tc>
      </w:tr>
      <w:tr w:rsidR="003C1D2F" w:rsidRPr="005070DD" w:rsidTr="00846C0D">
        <w:trPr>
          <w:trHeight w:val="551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3C1D2F" w:rsidRPr="005070DD" w:rsidRDefault="003C1D2F" w:rsidP="003C1D2F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lastRenderedPageBreak/>
              <w:t>Сплата податків до місцевих бюджетів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5070DD" w:rsidRDefault="003C1D2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E42213" w:rsidRDefault="000A521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5070DD" w:rsidRDefault="00F44BC4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92,0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104,6</w:t>
            </w:r>
          </w:p>
        </w:tc>
      </w:tr>
      <w:tr w:rsidR="003C1D2F" w:rsidRPr="005070DD" w:rsidTr="004676EE">
        <w:trPr>
          <w:trHeight w:val="355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3C1D2F" w:rsidRPr="005070DD" w:rsidRDefault="003C1D2F" w:rsidP="003C1D2F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5070DD" w:rsidRDefault="003C1D2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E42213" w:rsidRDefault="000A521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5070DD" w:rsidRDefault="00F44BC4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84,8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103,6</w:t>
            </w:r>
          </w:p>
        </w:tc>
      </w:tr>
      <w:tr w:rsidR="003C1D2F" w:rsidRPr="005070DD" w:rsidTr="00BE34F4">
        <w:trPr>
          <w:trHeight w:val="327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3C1D2F" w:rsidRPr="005070DD" w:rsidRDefault="003C1D2F" w:rsidP="003C1D2F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Інші платежі</w:t>
            </w:r>
            <w:r>
              <w:rPr>
                <w:sz w:val="24"/>
                <w:szCs w:val="24"/>
                <w:lang w:val="uk-UA"/>
              </w:rPr>
              <w:t xml:space="preserve"> (військовий збір)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5070DD" w:rsidRDefault="003C1D2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E42213" w:rsidRDefault="000A521F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D2F" w:rsidRPr="005070DD" w:rsidRDefault="00F44BC4" w:rsidP="003C1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90,0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3C1D2F" w:rsidRPr="00D05AEE" w:rsidRDefault="00F44BC4" w:rsidP="003C1D2F">
            <w:pPr>
              <w:jc w:val="center"/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>105,5</w:t>
            </w:r>
          </w:p>
        </w:tc>
      </w:tr>
    </w:tbl>
    <w:p w:rsidR="005070DD" w:rsidRPr="00EA56D4" w:rsidRDefault="005070DD" w:rsidP="004676EE">
      <w:pPr>
        <w:pStyle w:val="a7"/>
        <w:tabs>
          <w:tab w:val="left" w:pos="284"/>
          <w:tab w:val="left" w:pos="567"/>
        </w:tabs>
        <w:spacing w:line="180" w:lineRule="exact"/>
        <w:ind w:left="0" w:firstLine="567"/>
        <w:jc w:val="both"/>
        <w:rPr>
          <w:szCs w:val="26"/>
          <w:lang w:val="uk-UA"/>
        </w:rPr>
      </w:pPr>
    </w:p>
    <w:p w:rsidR="003C1D2F" w:rsidRDefault="003C1D2F" w:rsidP="003C1D2F">
      <w:pPr>
        <w:pStyle w:val="a7"/>
        <w:tabs>
          <w:tab w:val="left" w:pos="284"/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211739">
        <w:rPr>
          <w:sz w:val="26"/>
          <w:szCs w:val="26"/>
          <w:lang w:val="uk-UA"/>
        </w:rPr>
        <w:t xml:space="preserve">Сплата податків до державного бюджету </w:t>
      </w:r>
      <w:r>
        <w:rPr>
          <w:sz w:val="26"/>
          <w:szCs w:val="26"/>
          <w:lang w:val="uk-UA"/>
        </w:rPr>
        <w:t xml:space="preserve">у звітному періоді </w:t>
      </w:r>
      <w:r w:rsidRPr="00211739">
        <w:rPr>
          <w:sz w:val="26"/>
          <w:szCs w:val="26"/>
          <w:lang w:val="uk-UA"/>
        </w:rPr>
        <w:t>зменшилась проти плану та проти звіту за 2018 р</w:t>
      </w:r>
      <w:r>
        <w:rPr>
          <w:sz w:val="26"/>
          <w:szCs w:val="26"/>
          <w:lang w:val="uk-UA"/>
        </w:rPr>
        <w:t>ік</w:t>
      </w:r>
      <w:r w:rsidRPr="00211739">
        <w:rPr>
          <w:sz w:val="26"/>
          <w:szCs w:val="26"/>
          <w:lang w:val="uk-UA"/>
        </w:rPr>
        <w:t xml:space="preserve"> </w:t>
      </w:r>
      <w:r w:rsidRPr="00F44BC4">
        <w:rPr>
          <w:sz w:val="26"/>
          <w:szCs w:val="26"/>
          <w:lang w:val="uk-UA"/>
        </w:rPr>
        <w:t>на 5</w:t>
      </w:r>
      <w:r w:rsidR="00F44BC4" w:rsidRPr="00F44BC4">
        <w:rPr>
          <w:sz w:val="26"/>
          <w:szCs w:val="26"/>
          <w:lang w:val="uk-UA"/>
        </w:rPr>
        <w:t>5,9</w:t>
      </w:r>
      <w:r w:rsidRPr="00F44BC4">
        <w:rPr>
          <w:sz w:val="26"/>
          <w:szCs w:val="26"/>
          <w:lang w:val="uk-UA"/>
        </w:rPr>
        <w:t xml:space="preserve"> % та </w:t>
      </w:r>
      <w:r w:rsidR="00F44BC4" w:rsidRPr="00F44BC4">
        <w:rPr>
          <w:sz w:val="26"/>
          <w:szCs w:val="26"/>
          <w:lang w:val="uk-UA"/>
        </w:rPr>
        <w:t>53</w:t>
      </w:r>
      <w:r w:rsidR="00F44BC4">
        <w:rPr>
          <w:sz w:val="26"/>
          <w:szCs w:val="26"/>
          <w:lang w:val="uk-UA"/>
        </w:rPr>
        <w:t>,0</w:t>
      </w:r>
      <w:r>
        <w:rPr>
          <w:sz w:val="26"/>
          <w:szCs w:val="26"/>
          <w:lang w:val="uk-UA"/>
        </w:rPr>
        <w:t xml:space="preserve"> %. </w:t>
      </w:r>
      <w:r w:rsidRPr="00BB3BBB">
        <w:rPr>
          <w:sz w:val="26"/>
          <w:szCs w:val="26"/>
          <w:lang w:val="uk-UA"/>
        </w:rPr>
        <w:t>Зменшення відбулося з</w:t>
      </w:r>
      <w:r>
        <w:rPr>
          <w:sz w:val="26"/>
          <w:szCs w:val="26"/>
          <w:lang w:val="uk-UA"/>
        </w:rPr>
        <w:t>:</w:t>
      </w:r>
    </w:p>
    <w:p w:rsidR="003C1D2F" w:rsidRPr="004B31F7" w:rsidRDefault="003C1D2F" w:rsidP="003C1D2F">
      <w:pPr>
        <w:pStyle w:val="a7"/>
        <w:numPr>
          <w:ilvl w:val="0"/>
          <w:numId w:val="4"/>
        </w:numPr>
        <w:tabs>
          <w:tab w:val="clear" w:pos="1920"/>
          <w:tab w:val="left" w:pos="284"/>
          <w:tab w:val="left" w:pos="567"/>
          <w:tab w:val="num" w:pos="851"/>
        </w:tabs>
        <w:spacing w:line="360" w:lineRule="exact"/>
        <w:ind w:left="567" w:hanging="141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податку на </w:t>
      </w:r>
      <w:r w:rsidRPr="00BB3BBB">
        <w:rPr>
          <w:bCs/>
          <w:iCs/>
          <w:sz w:val="26"/>
          <w:szCs w:val="26"/>
          <w:lang w:val="uk-UA"/>
        </w:rPr>
        <w:t>додану вартість</w:t>
      </w:r>
      <w:r>
        <w:rPr>
          <w:bCs/>
          <w:iCs/>
          <w:sz w:val="26"/>
          <w:szCs w:val="26"/>
          <w:lang w:val="uk-UA"/>
        </w:rPr>
        <w:t xml:space="preserve"> –</w:t>
      </w:r>
      <w:r w:rsidRPr="00BB3BBB">
        <w:rPr>
          <w:bCs/>
          <w:iCs/>
          <w:sz w:val="26"/>
          <w:szCs w:val="26"/>
          <w:lang w:val="uk-UA"/>
        </w:rPr>
        <w:t xml:space="preserve"> через</w:t>
      </w:r>
      <w:r>
        <w:rPr>
          <w:bCs/>
          <w:iCs/>
          <w:sz w:val="26"/>
          <w:szCs w:val="26"/>
          <w:lang w:val="uk-UA"/>
        </w:rPr>
        <w:t xml:space="preserve"> </w:t>
      </w:r>
      <w:r w:rsidRPr="00BB3BBB">
        <w:rPr>
          <w:bCs/>
          <w:iCs/>
          <w:sz w:val="26"/>
          <w:szCs w:val="26"/>
          <w:lang w:val="uk-UA"/>
        </w:rPr>
        <w:t xml:space="preserve">недоотримання запланованих показників чистого доходу </w:t>
      </w:r>
      <w:r>
        <w:rPr>
          <w:bCs/>
          <w:iCs/>
          <w:sz w:val="26"/>
          <w:szCs w:val="26"/>
          <w:lang w:val="uk-UA"/>
        </w:rPr>
        <w:t>внаслідок зниження обсягів вантажопереробки;</w:t>
      </w:r>
    </w:p>
    <w:p w:rsidR="003C1D2F" w:rsidRPr="004B31F7" w:rsidRDefault="003C1D2F" w:rsidP="003C1D2F">
      <w:pPr>
        <w:pStyle w:val="a7"/>
        <w:numPr>
          <w:ilvl w:val="0"/>
          <w:numId w:val="4"/>
        </w:numPr>
        <w:tabs>
          <w:tab w:val="clear" w:pos="1920"/>
          <w:tab w:val="left" w:pos="284"/>
          <w:tab w:val="left" w:pos="567"/>
          <w:tab w:val="num" w:pos="851"/>
        </w:tabs>
        <w:spacing w:line="360" w:lineRule="exact"/>
        <w:ind w:left="567" w:hanging="141"/>
        <w:jc w:val="both"/>
        <w:rPr>
          <w:sz w:val="26"/>
          <w:szCs w:val="26"/>
          <w:lang w:val="uk-UA"/>
        </w:rPr>
      </w:pPr>
      <w:r w:rsidRPr="00BB3BBB">
        <w:rPr>
          <w:sz w:val="26"/>
          <w:szCs w:val="26"/>
          <w:lang w:val="uk-UA"/>
        </w:rPr>
        <w:t>податку на прибуток</w:t>
      </w:r>
      <w:r>
        <w:rPr>
          <w:sz w:val="26"/>
          <w:szCs w:val="26"/>
          <w:lang w:val="uk-UA"/>
        </w:rPr>
        <w:t xml:space="preserve"> –</w:t>
      </w:r>
      <w:r w:rsidRPr="00BB3BBB">
        <w:rPr>
          <w:sz w:val="26"/>
          <w:szCs w:val="26"/>
          <w:lang w:val="uk-UA"/>
        </w:rPr>
        <w:t xml:space="preserve"> через</w:t>
      </w:r>
      <w:r>
        <w:rPr>
          <w:sz w:val="26"/>
          <w:szCs w:val="26"/>
          <w:lang w:val="uk-UA"/>
        </w:rPr>
        <w:t xml:space="preserve"> </w:t>
      </w:r>
      <w:r w:rsidRPr="00BB3BBB">
        <w:rPr>
          <w:sz w:val="26"/>
          <w:szCs w:val="26"/>
          <w:lang w:val="uk-UA"/>
        </w:rPr>
        <w:t xml:space="preserve">зменшення прибутку до оподаткування та сплатою лише авансових внесків з податку на прибуток на суму дивідендів у зв’язку із наявною переплатою </w:t>
      </w:r>
      <w:r>
        <w:rPr>
          <w:bCs/>
          <w:iCs/>
          <w:sz w:val="26"/>
          <w:szCs w:val="26"/>
          <w:lang w:val="uk-UA"/>
        </w:rPr>
        <w:t>податку на прибуток;</w:t>
      </w:r>
    </w:p>
    <w:p w:rsidR="00F44BC4" w:rsidRPr="00F44BC4" w:rsidRDefault="003C1D2F" w:rsidP="003C1D2F">
      <w:pPr>
        <w:pStyle w:val="a7"/>
        <w:numPr>
          <w:ilvl w:val="0"/>
          <w:numId w:val="4"/>
        </w:numPr>
        <w:tabs>
          <w:tab w:val="clear" w:pos="1920"/>
          <w:tab w:val="left" w:pos="284"/>
          <w:tab w:val="left" w:pos="567"/>
          <w:tab w:val="num" w:pos="851"/>
        </w:tabs>
        <w:spacing w:line="360" w:lineRule="exact"/>
        <w:ind w:left="567" w:hanging="141"/>
        <w:jc w:val="both"/>
        <w:rPr>
          <w:rFonts w:eastAsia="Calibri"/>
          <w:sz w:val="26"/>
          <w:szCs w:val="26"/>
          <w:lang w:val="uk-UA" w:eastAsia="en-US"/>
        </w:rPr>
      </w:pPr>
      <w:r w:rsidRPr="004B31F7">
        <w:rPr>
          <w:sz w:val="26"/>
          <w:szCs w:val="26"/>
          <w:lang w:val="uk-UA"/>
        </w:rPr>
        <w:t>відрахувань частини чистого прибутку державними унітарними підприємствами –через невиконання планового показника чистого прибутку</w:t>
      </w:r>
      <w:r w:rsidR="00F44BC4">
        <w:rPr>
          <w:sz w:val="26"/>
          <w:szCs w:val="26"/>
          <w:lang w:val="uk-UA"/>
        </w:rPr>
        <w:t>.</w:t>
      </w:r>
    </w:p>
    <w:p w:rsidR="00F44BC4" w:rsidRDefault="003C1D2F" w:rsidP="003C1D2F">
      <w:pPr>
        <w:pStyle w:val="a7"/>
        <w:tabs>
          <w:tab w:val="left" w:pos="709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Зменшення сплати ЄСВ, податку на доходи фізичних осіб та військового збору проти плану відбулось через зниження фонду оплати праці внаслідок зменшення чистого доходу у зв'язку з невиконанням плану вантажопереробки</w:t>
      </w:r>
      <w:r w:rsidR="00F44BC4">
        <w:rPr>
          <w:sz w:val="26"/>
          <w:szCs w:val="26"/>
          <w:lang w:val="uk-UA"/>
        </w:rPr>
        <w:t>.</w:t>
      </w:r>
    </w:p>
    <w:p w:rsidR="00F44BC4" w:rsidRDefault="00F44BC4" w:rsidP="003C1D2F">
      <w:pPr>
        <w:pStyle w:val="a7"/>
        <w:tabs>
          <w:tab w:val="left" w:pos="709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FE3AA9" w:rsidRDefault="00B41199" w:rsidP="003C1D2F">
      <w:pPr>
        <w:pStyle w:val="a7"/>
        <w:tabs>
          <w:tab w:val="left" w:pos="709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976572" w:rsidRPr="001560D9">
        <w:rPr>
          <w:sz w:val="26"/>
          <w:szCs w:val="26"/>
          <w:lang w:val="uk-UA"/>
        </w:rPr>
        <w:t>.2.</w:t>
      </w:r>
      <w:r w:rsidR="000C73E3">
        <w:rPr>
          <w:sz w:val="26"/>
          <w:szCs w:val="26"/>
          <w:lang w:val="uk-UA"/>
        </w:rPr>
        <w:t xml:space="preserve"> </w:t>
      </w:r>
      <w:r w:rsidR="00FE3AA9" w:rsidRPr="001560D9">
        <w:rPr>
          <w:sz w:val="26"/>
          <w:szCs w:val="26"/>
          <w:lang w:val="uk-UA"/>
        </w:rPr>
        <w:t>Рівень податкового навантаження.</w:t>
      </w:r>
    </w:p>
    <w:p w:rsidR="00F44BC4" w:rsidRPr="001560D9" w:rsidRDefault="00F44BC4" w:rsidP="003C1D2F">
      <w:pPr>
        <w:pStyle w:val="a7"/>
        <w:tabs>
          <w:tab w:val="left" w:pos="709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AC5F1D" w:rsidRDefault="00AC5F1D" w:rsidP="00D45D0D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Рівень п</w:t>
      </w:r>
      <w:r w:rsidRPr="001560D9">
        <w:rPr>
          <w:sz w:val="26"/>
          <w:szCs w:val="26"/>
          <w:lang w:val="uk-UA"/>
        </w:rPr>
        <w:t>одатков</w:t>
      </w:r>
      <w:r>
        <w:rPr>
          <w:sz w:val="26"/>
          <w:szCs w:val="26"/>
          <w:lang w:val="uk-UA"/>
        </w:rPr>
        <w:t xml:space="preserve">ого </w:t>
      </w:r>
      <w:r w:rsidRPr="001560D9">
        <w:rPr>
          <w:sz w:val="26"/>
          <w:szCs w:val="26"/>
          <w:lang w:val="uk-UA"/>
        </w:rPr>
        <w:t>навантаження</w:t>
      </w:r>
      <w:r>
        <w:rPr>
          <w:sz w:val="26"/>
          <w:szCs w:val="26"/>
          <w:lang w:val="uk-UA"/>
        </w:rPr>
        <w:t xml:space="preserve"> для </w:t>
      </w:r>
      <w:r w:rsidR="004676EE">
        <w:rPr>
          <w:sz w:val="26"/>
          <w:szCs w:val="26"/>
          <w:lang w:val="uk-UA"/>
        </w:rPr>
        <w:t>підприємства</w:t>
      </w:r>
      <w:r>
        <w:rPr>
          <w:sz w:val="26"/>
          <w:szCs w:val="26"/>
          <w:lang w:val="uk-UA"/>
        </w:rPr>
        <w:t xml:space="preserve"> визначаємо за однією з існуючих </w:t>
      </w:r>
      <w:proofErr w:type="spellStart"/>
      <w:r>
        <w:rPr>
          <w:sz w:val="26"/>
          <w:szCs w:val="26"/>
          <w:lang w:val="uk-UA"/>
        </w:rPr>
        <w:t>методик</w:t>
      </w:r>
      <w:proofErr w:type="spellEnd"/>
      <w:r>
        <w:rPr>
          <w:sz w:val="26"/>
          <w:szCs w:val="26"/>
          <w:lang w:val="uk-UA"/>
        </w:rPr>
        <w:t>, а саме шляхом відношення сум податків до доходу</w:t>
      </w:r>
      <w:r w:rsidR="00D2168F">
        <w:rPr>
          <w:sz w:val="26"/>
          <w:szCs w:val="26"/>
          <w:lang w:val="uk-UA"/>
        </w:rPr>
        <w:t xml:space="preserve"> за деклараціями</w:t>
      </w:r>
      <w:r>
        <w:rPr>
          <w:sz w:val="26"/>
          <w:szCs w:val="26"/>
          <w:lang w:val="uk-UA"/>
        </w:rPr>
        <w:t>.</w:t>
      </w:r>
    </w:p>
    <w:p w:rsidR="005D5B02" w:rsidRPr="001560D9" w:rsidRDefault="00FE3AA9" w:rsidP="00D45D0D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 w:rsidRPr="001560D9">
        <w:rPr>
          <w:sz w:val="26"/>
          <w:szCs w:val="26"/>
          <w:lang w:val="uk-UA"/>
        </w:rPr>
        <w:t>Податкове навант</w:t>
      </w:r>
      <w:r w:rsidR="00976572" w:rsidRPr="001560D9">
        <w:rPr>
          <w:sz w:val="26"/>
          <w:szCs w:val="26"/>
          <w:lang w:val="uk-UA"/>
        </w:rPr>
        <w:t xml:space="preserve">аження з податку на прибуток </w:t>
      </w:r>
      <w:r w:rsidR="005D5B02" w:rsidRPr="001560D9">
        <w:rPr>
          <w:sz w:val="26"/>
          <w:szCs w:val="26"/>
          <w:lang w:val="uk-UA"/>
        </w:rPr>
        <w:t>(%)</w:t>
      </w:r>
      <w:r w:rsidRPr="001560D9">
        <w:rPr>
          <w:sz w:val="26"/>
          <w:szCs w:val="26"/>
          <w:lang w:val="uk-UA"/>
        </w:rPr>
        <w:t xml:space="preserve"> розраховується за підсумками за рік</w:t>
      </w:r>
      <w:r w:rsidR="00976572" w:rsidRPr="001560D9">
        <w:rPr>
          <w:sz w:val="26"/>
          <w:szCs w:val="26"/>
          <w:lang w:val="uk-UA"/>
        </w:rPr>
        <w:t xml:space="preserve"> за формулою</w:t>
      </w:r>
      <w:r w:rsidR="005D5B02" w:rsidRPr="001560D9">
        <w:rPr>
          <w:sz w:val="26"/>
          <w:szCs w:val="26"/>
          <w:lang w:val="uk-UA"/>
        </w:rPr>
        <w:t>:   (</w:t>
      </w:r>
      <w:r w:rsidR="005D5B02" w:rsidRPr="001560D9">
        <w:rPr>
          <w:color w:val="000000"/>
          <w:sz w:val="26"/>
          <w:szCs w:val="26"/>
          <w:lang w:val="uk-UA" w:eastAsia="uk-UA"/>
        </w:rPr>
        <w:t>Податок на прибуток / Доходи) * 100%</w:t>
      </w:r>
    </w:p>
    <w:p w:rsidR="00E82452" w:rsidRDefault="00E82452" w:rsidP="00E82452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Податкове навант</w:t>
      </w:r>
      <w:r w:rsidR="00C129E5">
        <w:rPr>
          <w:sz w:val="26"/>
          <w:szCs w:val="26"/>
          <w:lang w:val="uk-UA"/>
        </w:rPr>
        <w:t>аження з податку на прибуток за</w:t>
      </w:r>
      <w:r w:rsidR="00CA1CE7">
        <w:rPr>
          <w:sz w:val="26"/>
          <w:szCs w:val="26"/>
          <w:lang w:val="uk-UA"/>
        </w:rPr>
        <w:t xml:space="preserve"> </w:t>
      </w:r>
      <w:r w:rsidRPr="001560D9">
        <w:rPr>
          <w:sz w:val="26"/>
          <w:szCs w:val="26"/>
          <w:lang w:val="uk-UA"/>
        </w:rPr>
        <w:t>201</w:t>
      </w:r>
      <w:r w:rsidR="00E70367">
        <w:rPr>
          <w:sz w:val="26"/>
          <w:szCs w:val="26"/>
          <w:lang w:val="uk-UA"/>
        </w:rPr>
        <w:t>8</w:t>
      </w:r>
      <w:r w:rsidRPr="001560D9">
        <w:rPr>
          <w:sz w:val="26"/>
          <w:szCs w:val="26"/>
          <w:lang w:val="uk-UA"/>
        </w:rPr>
        <w:t xml:space="preserve"> р</w:t>
      </w:r>
      <w:r w:rsidR="00C129E5">
        <w:rPr>
          <w:sz w:val="26"/>
          <w:szCs w:val="26"/>
          <w:lang w:val="uk-UA"/>
        </w:rPr>
        <w:t>і</w:t>
      </w:r>
      <w:r w:rsidRPr="001560D9">
        <w:rPr>
          <w:sz w:val="26"/>
          <w:szCs w:val="26"/>
          <w:lang w:val="uk-UA"/>
        </w:rPr>
        <w:t>к:</w:t>
      </w:r>
    </w:p>
    <w:p w:rsidR="00E70367" w:rsidRDefault="00E70367" w:rsidP="00E82452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tbl>
      <w:tblPr>
        <w:tblW w:w="5886" w:type="dxa"/>
        <w:tblInd w:w="2511" w:type="dxa"/>
        <w:tblLook w:val="04A0" w:firstRow="1" w:lastRow="0" w:firstColumn="1" w:lastColumn="0" w:noHBand="0" w:noVBand="1"/>
      </w:tblPr>
      <w:tblGrid>
        <w:gridCol w:w="1992"/>
        <w:gridCol w:w="600"/>
        <w:gridCol w:w="820"/>
        <w:gridCol w:w="281"/>
        <w:gridCol w:w="731"/>
        <w:gridCol w:w="731"/>
        <w:gridCol w:w="731"/>
      </w:tblGrid>
      <w:tr w:rsidR="00E70367" w:rsidRPr="00FD32A8" w:rsidTr="00E70367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8309D2" w:rsidRDefault="00E70367" w:rsidP="00E70367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309D2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13734</w:t>
            </w:r>
            <w:r w:rsidRPr="008309D2">
              <w:rPr>
                <w:color w:val="000000"/>
                <w:sz w:val="26"/>
                <w:szCs w:val="26"/>
                <w:lang w:val="uk-UA" w:eastAsia="uk-UA"/>
              </w:rPr>
              <w:t xml:space="preserve"> тис. грн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8309D2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309D2">
              <w:rPr>
                <w:color w:val="000000"/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8309D2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309D2">
              <w:rPr>
                <w:color w:val="000000"/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8309D2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309D2">
              <w:rPr>
                <w:color w:val="000000"/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8309D2" w:rsidRDefault="00E70367" w:rsidP="00C129E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3,9</w:t>
            </w:r>
            <w:r w:rsidRPr="008309D2">
              <w:rPr>
                <w:color w:val="000000"/>
                <w:sz w:val="26"/>
                <w:szCs w:val="26"/>
                <w:lang w:val="uk-UA" w:eastAsia="uk-UA"/>
              </w:rPr>
              <w:t xml:space="preserve"> 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70367" w:rsidRDefault="00E70367" w:rsidP="00C129E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70367" w:rsidRDefault="00E70367" w:rsidP="00C129E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70367" w:rsidRPr="00056881" w:rsidTr="00E70367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367" w:rsidRPr="00056881" w:rsidRDefault="00E70367" w:rsidP="00846C0D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351432</w:t>
            </w:r>
            <w:r w:rsidRPr="00FD32A8">
              <w:rPr>
                <w:color w:val="000000"/>
                <w:sz w:val="26"/>
                <w:szCs w:val="26"/>
                <w:lang w:val="uk-UA" w:eastAsia="uk-UA"/>
              </w:rPr>
              <w:t xml:space="preserve"> тис. грн.</w:t>
            </w:r>
            <w:r w:rsidRPr="00056881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70367" w:rsidRPr="00056881" w:rsidRDefault="00E70367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0162A3" w:rsidRPr="001560D9" w:rsidRDefault="000162A3" w:rsidP="000162A3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Податкове навантаження з податку на прибуток за 201</w:t>
      </w:r>
      <w:r w:rsidR="00E70367">
        <w:rPr>
          <w:sz w:val="26"/>
          <w:szCs w:val="26"/>
          <w:lang w:val="uk-UA"/>
        </w:rPr>
        <w:t>9</w:t>
      </w:r>
      <w:r w:rsidRPr="001560D9">
        <w:rPr>
          <w:sz w:val="26"/>
          <w:szCs w:val="26"/>
          <w:lang w:val="uk-UA"/>
        </w:rPr>
        <w:t xml:space="preserve"> р</w:t>
      </w:r>
      <w:r w:rsidR="00C129E5">
        <w:rPr>
          <w:sz w:val="26"/>
          <w:szCs w:val="26"/>
          <w:lang w:val="uk-UA"/>
        </w:rPr>
        <w:t>ік</w:t>
      </w:r>
      <w:r w:rsidRPr="001560D9">
        <w:rPr>
          <w:sz w:val="26"/>
          <w:szCs w:val="26"/>
          <w:lang w:val="uk-UA"/>
        </w:rPr>
        <w:t>:</w:t>
      </w:r>
    </w:p>
    <w:tbl>
      <w:tblPr>
        <w:tblW w:w="4424" w:type="dxa"/>
        <w:tblInd w:w="2511" w:type="dxa"/>
        <w:tblLook w:val="04A0" w:firstRow="1" w:lastRow="0" w:firstColumn="1" w:lastColumn="0" w:noHBand="0" w:noVBand="1"/>
      </w:tblPr>
      <w:tblGrid>
        <w:gridCol w:w="1992"/>
        <w:gridCol w:w="600"/>
        <w:gridCol w:w="820"/>
        <w:gridCol w:w="281"/>
        <w:gridCol w:w="731"/>
      </w:tblGrid>
      <w:tr w:rsidR="000B42C2" w:rsidRPr="000B42C2" w:rsidTr="00C15575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684CC8" w:rsidP="00684CC8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 w:rsidR="006829DB" w:rsidRPr="000B42C2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0</w:t>
            </w:r>
            <w:r w:rsidR="006829DB" w:rsidRPr="000B42C2">
              <w:rPr>
                <w:sz w:val="26"/>
                <w:szCs w:val="26"/>
                <w:lang w:val="uk-UA" w:eastAsia="uk-UA"/>
              </w:rPr>
              <w:t>7</w:t>
            </w:r>
            <w:r>
              <w:rPr>
                <w:sz w:val="26"/>
                <w:szCs w:val="26"/>
                <w:lang w:val="uk-UA" w:eastAsia="uk-UA"/>
              </w:rPr>
              <w:t xml:space="preserve">5 </w:t>
            </w:r>
            <w:r w:rsidR="000162A3" w:rsidRPr="000B42C2">
              <w:rPr>
                <w:sz w:val="26"/>
                <w:szCs w:val="26"/>
                <w:lang w:val="uk-UA" w:eastAsia="uk-UA"/>
              </w:rPr>
              <w:t xml:space="preserve">тис. грн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684CC8" w:rsidP="00684CC8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</w:t>
            </w:r>
            <w:r w:rsidR="006829DB" w:rsidRPr="000B42C2">
              <w:rPr>
                <w:sz w:val="26"/>
                <w:szCs w:val="26"/>
                <w:lang w:val="uk-UA" w:eastAsia="uk-UA"/>
              </w:rPr>
              <w:t>,</w:t>
            </w:r>
            <w:r>
              <w:rPr>
                <w:sz w:val="26"/>
                <w:szCs w:val="26"/>
                <w:lang w:val="uk-UA" w:eastAsia="uk-UA"/>
              </w:rPr>
              <w:t>1</w:t>
            </w:r>
            <w:r w:rsidR="00421EE7" w:rsidRPr="000B42C2">
              <w:rPr>
                <w:sz w:val="26"/>
                <w:szCs w:val="26"/>
                <w:lang w:val="uk-UA" w:eastAsia="uk-UA"/>
              </w:rPr>
              <w:t xml:space="preserve"> </w:t>
            </w:r>
            <w:r w:rsidR="000162A3" w:rsidRPr="000B42C2">
              <w:rPr>
                <w:sz w:val="26"/>
                <w:szCs w:val="26"/>
                <w:lang w:val="uk-UA" w:eastAsia="uk-UA"/>
              </w:rPr>
              <w:t>%</w:t>
            </w:r>
          </w:p>
        </w:tc>
      </w:tr>
      <w:tr w:rsidR="000B42C2" w:rsidRPr="000B42C2" w:rsidTr="00C15575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0B42C2" w:rsidRDefault="00D82DEE" w:rsidP="00684CC8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 xml:space="preserve"> </w:t>
            </w:r>
            <w:r w:rsidR="00684CC8">
              <w:rPr>
                <w:sz w:val="26"/>
                <w:szCs w:val="26"/>
                <w:lang w:val="uk-UA" w:eastAsia="uk-UA"/>
              </w:rPr>
              <w:t>287334</w:t>
            </w:r>
            <w:r w:rsidR="000162A3" w:rsidRPr="000B42C2">
              <w:rPr>
                <w:sz w:val="26"/>
                <w:szCs w:val="26"/>
                <w:lang w:val="uk-UA" w:eastAsia="uk-UA"/>
              </w:rPr>
              <w:t xml:space="preserve"> тис. грн. 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0B42C2" w:rsidRDefault="000162A3" w:rsidP="00C15575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9407AD" w:rsidRDefault="009407AD" w:rsidP="00D45D0D">
      <w:pPr>
        <w:pStyle w:val="a7"/>
        <w:tabs>
          <w:tab w:val="left" w:pos="284"/>
        </w:tabs>
        <w:spacing w:line="360" w:lineRule="exact"/>
        <w:ind w:left="0" w:right="284" w:firstLine="567"/>
        <w:jc w:val="both"/>
        <w:rPr>
          <w:sz w:val="26"/>
          <w:szCs w:val="26"/>
          <w:lang w:val="uk-UA"/>
        </w:rPr>
      </w:pPr>
    </w:p>
    <w:p w:rsidR="005D5B02" w:rsidRPr="001560D9" w:rsidRDefault="000D185E" w:rsidP="00D45D0D">
      <w:pPr>
        <w:pStyle w:val="a7"/>
        <w:tabs>
          <w:tab w:val="left" w:pos="284"/>
        </w:tabs>
        <w:spacing w:line="360" w:lineRule="exact"/>
        <w:ind w:left="0" w:right="284" w:firstLine="567"/>
        <w:jc w:val="both"/>
        <w:rPr>
          <w:color w:val="000000"/>
          <w:sz w:val="26"/>
          <w:szCs w:val="26"/>
          <w:lang w:val="uk-UA" w:eastAsia="uk-UA"/>
        </w:rPr>
      </w:pPr>
      <w:r w:rsidRPr="001560D9">
        <w:rPr>
          <w:sz w:val="26"/>
          <w:szCs w:val="26"/>
          <w:lang w:val="uk-UA"/>
        </w:rPr>
        <w:t xml:space="preserve">Податкове навантаження з податку на додану вартість (%) розраховується за формулою:   </w:t>
      </w:r>
      <w:r w:rsidRPr="001560D9">
        <w:rPr>
          <w:color w:val="000000"/>
          <w:sz w:val="26"/>
          <w:szCs w:val="26"/>
          <w:lang w:val="uk-UA" w:eastAsia="uk-UA"/>
        </w:rPr>
        <w:t>Податок на додану вартість / Доходи</w:t>
      </w:r>
      <w:r w:rsidR="00AC5F1D">
        <w:rPr>
          <w:color w:val="000000"/>
          <w:sz w:val="26"/>
          <w:szCs w:val="26"/>
          <w:lang w:val="uk-UA" w:eastAsia="uk-UA"/>
        </w:rPr>
        <w:t xml:space="preserve"> </w:t>
      </w:r>
      <w:r w:rsidRPr="001560D9">
        <w:rPr>
          <w:color w:val="000000"/>
          <w:sz w:val="26"/>
          <w:szCs w:val="26"/>
          <w:lang w:val="uk-UA" w:eastAsia="uk-UA"/>
        </w:rPr>
        <w:t>* 100%</w:t>
      </w:r>
    </w:p>
    <w:p w:rsidR="00A0277F" w:rsidRPr="00EA56D4" w:rsidRDefault="00A0277F" w:rsidP="00F85358">
      <w:pPr>
        <w:pStyle w:val="a7"/>
        <w:tabs>
          <w:tab w:val="left" w:pos="284"/>
        </w:tabs>
        <w:ind w:left="142" w:right="284" w:firstLine="425"/>
        <w:jc w:val="both"/>
        <w:rPr>
          <w:sz w:val="20"/>
          <w:szCs w:val="26"/>
          <w:lang w:val="uk-UA"/>
        </w:rPr>
      </w:pPr>
    </w:p>
    <w:p w:rsidR="00FE3AA9" w:rsidRPr="00F85358" w:rsidRDefault="005D5B02" w:rsidP="00D45D0D">
      <w:pPr>
        <w:pStyle w:val="a7"/>
        <w:tabs>
          <w:tab w:val="left" w:pos="284"/>
        </w:tabs>
        <w:spacing w:line="360" w:lineRule="exact"/>
        <w:ind w:left="142" w:right="284" w:firstLine="425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Податкове навантаження з податку на додану вартість за</w:t>
      </w:r>
      <w:r w:rsidR="004C5C09">
        <w:rPr>
          <w:sz w:val="26"/>
          <w:szCs w:val="26"/>
          <w:lang w:val="uk-UA"/>
        </w:rPr>
        <w:t xml:space="preserve"> </w:t>
      </w:r>
      <w:r w:rsidRPr="001560D9">
        <w:rPr>
          <w:sz w:val="26"/>
          <w:szCs w:val="26"/>
          <w:lang w:val="uk-UA"/>
        </w:rPr>
        <w:t>201</w:t>
      </w:r>
      <w:r w:rsidR="00E70367">
        <w:rPr>
          <w:sz w:val="26"/>
          <w:szCs w:val="26"/>
          <w:lang w:val="uk-UA"/>
        </w:rPr>
        <w:t>8</w:t>
      </w:r>
      <w:r w:rsidRPr="001560D9">
        <w:rPr>
          <w:sz w:val="26"/>
          <w:szCs w:val="26"/>
          <w:lang w:val="uk-UA"/>
        </w:rPr>
        <w:t xml:space="preserve"> р</w:t>
      </w:r>
      <w:r w:rsidR="00C129E5">
        <w:rPr>
          <w:sz w:val="26"/>
          <w:szCs w:val="26"/>
          <w:lang w:val="uk-UA"/>
        </w:rPr>
        <w:t>і</w:t>
      </w:r>
      <w:r w:rsidR="00F316F0">
        <w:rPr>
          <w:sz w:val="26"/>
          <w:szCs w:val="26"/>
          <w:lang w:val="uk-UA"/>
        </w:rPr>
        <w:t>к</w:t>
      </w:r>
      <w:r w:rsidRPr="001560D9">
        <w:rPr>
          <w:sz w:val="26"/>
          <w:szCs w:val="26"/>
          <w:lang w:val="uk-UA"/>
        </w:rPr>
        <w:t>:</w:t>
      </w:r>
    </w:p>
    <w:tbl>
      <w:tblPr>
        <w:tblW w:w="4820" w:type="dxa"/>
        <w:tblInd w:w="2518" w:type="dxa"/>
        <w:tblLook w:val="04A0" w:firstRow="1" w:lastRow="0" w:firstColumn="1" w:lastColumn="0" w:noHBand="0" w:noVBand="1"/>
      </w:tblPr>
      <w:tblGrid>
        <w:gridCol w:w="1985"/>
        <w:gridCol w:w="600"/>
        <w:gridCol w:w="798"/>
        <w:gridCol w:w="303"/>
        <w:gridCol w:w="1134"/>
      </w:tblGrid>
      <w:tr w:rsidR="005D5B02" w:rsidRPr="00FD32A8" w:rsidTr="00D2168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E70367" w:rsidP="00E70367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  44656</w:t>
            </w:r>
            <w:r w:rsidR="005D5B02" w:rsidRPr="00FD32A8">
              <w:rPr>
                <w:sz w:val="26"/>
                <w:szCs w:val="26"/>
                <w:lang w:val="uk-UA" w:eastAsia="uk-UA"/>
              </w:rPr>
              <w:t xml:space="preserve"> тис. грн.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FD32A8">
              <w:rPr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FD32A8">
              <w:rPr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FD32A8">
              <w:rPr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CA1CE7" w:rsidP="00E70367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FD32A8">
              <w:rPr>
                <w:sz w:val="26"/>
                <w:szCs w:val="26"/>
                <w:lang w:val="uk-UA" w:eastAsia="uk-UA"/>
              </w:rPr>
              <w:t>1</w:t>
            </w:r>
            <w:r w:rsidR="00E70367">
              <w:rPr>
                <w:sz w:val="26"/>
                <w:szCs w:val="26"/>
                <w:lang w:val="uk-UA" w:eastAsia="uk-UA"/>
              </w:rPr>
              <w:t>3</w:t>
            </w:r>
            <w:r w:rsidR="00846C0D">
              <w:rPr>
                <w:sz w:val="26"/>
                <w:szCs w:val="26"/>
                <w:lang w:val="uk-UA" w:eastAsia="uk-UA"/>
              </w:rPr>
              <w:t>,</w:t>
            </w:r>
            <w:r w:rsidR="001A08B2">
              <w:rPr>
                <w:sz w:val="26"/>
                <w:szCs w:val="26"/>
                <w:lang w:val="uk-UA" w:eastAsia="uk-UA"/>
              </w:rPr>
              <w:t>5</w:t>
            </w:r>
            <w:r w:rsidR="00D2168F" w:rsidRPr="00FD32A8">
              <w:rPr>
                <w:sz w:val="26"/>
                <w:szCs w:val="26"/>
                <w:lang w:val="uk-UA" w:eastAsia="uk-UA"/>
              </w:rPr>
              <w:t xml:space="preserve"> </w:t>
            </w:r>
            <w:r w:rsidR="005D5B02" w:rsidRPr="00FD32A8">
              <w:rPr>
                <w:sz w:val="26"/>
                <w:szCs w:val="26"/>
                <w:lang w:val="uk-UA" w:eastAsia="uk-UA"/>
              </w:rPr>
              <w:t>%</w:t>
            </w:r>
          </w:p>
        </w:tc>
      </w:tr>
      <w:tr w:rsidR="005D5B02" w:rsidRPr="00FD32A8" w:rsidTr="00D2168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FD32A8" w:rsidRDefault="00C129E5" w:rsidP="00E70367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3</w:t>
            </w:r>
            <w:r w:rsidR="00E70367">
              <w:rPr>
                <w:sz w:val="26"/>
                <w:szCs w:val="26"/>
                <w:lang w:val="uk-UA" w:eastAsia="uk-UA"/>
              </w:rPr>
              <w:t>29844</w:t>
            </w:r>
            <w:r w:rsidR="00307672" w:rsidRPr="00FD32A8">
              <w:rPr>
                <w:sz w:val="26"/>
                <w:szCs w:val="26"/>
                <w:lang w:val="uk-UA" w:eastAsia="uk-UA"/>
              </w:rPr>
              <w:t xml:space="preserve"> </w:t>
            </w:r>
            <w:r w:rsidR="005D5B02" w:rsidRPr="00FD32A8">
              <w:rPr>
                <w:sz w:val="26"/>
                <w:szCs w:val="26"/>
                <w:lang w:val="uk-UA" w:eastAsia="uk-UA"/>
              </w:rPr>
              <w:t>тис. грн.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FD32A8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307672" w:rsidRPr="00307672" w:rsidRDefault="00307672" w:rsidP="00C53899">
      <w:pPr>
        <w:tabs>
          <w:tab w:val="left" w:pos="284"/>
        </w:tabs>
        <w:spacing w:line="360" w:lineRule="exact"/>
        <w:ind w:left="142" w:right="284" w:firstLine="425"/>
        <w:jc w:val="both"/>
        <w:rPr>
          <w:sz w:val="26"/>
          <w:szCs w:val="26"/>
          <w:lang w:val="uk-UA"/>
        </w:rPr>
      </w:pPr>
      <w:r w:rsidRPr="00307672">
        <w:rPr>
          <w:sz w:val="26"/>
          <w:szCs w:val="26"/>
          <w:lang w:val="uk-UA"/>
        </w:rPr>
        <w:t xml:space="preserve">Податкове навантаження з податку на додану вартість за </w:t>
      </w:r>
      <w:r w:rsidR="00C129E5">
        <w:rPr>
          <w:sz w:val="26"/>
          <w:szCs w:val="26"/>
          <w:lang w:val="uk-UA"/>
        </w:rPr>
        <w:t>2</w:t>
      </w:r>
      <w:r w:rsidRPr="00307672">
        <w:rPr>
          <w:sz w:val="26"/>
          <w:szCs w:val="26"/>
          <w:lang w:val="uk-UA"/>
        </w:rPr>
        <w:t>01</w:t>
      </w:r>
      <w:r w:rsidR="00E70367">
        <w:rPr>
          <w:sz w:val="26"/>
          <w:szCs w:val="26"/>
          <w:lang w:val="uk-UA"/>
        </w:rPr>
        <w:t>9</w:t>
      </w:r>
      <w:r w:rsidRPr="00307672">
        <w:rPr>
          <w:sz w:val="26"/>
          <w:szCs w:val="26"/>
          <w:lang w:val="uk-UA"/>
        </w:rPr>
        <w:t xml:space="preserve"> р</w:t>
      </w:r>
      <w:r w:rsidR="00C129E5">
        <w:rPr>
          <w:sz w:val="26"/>
          <w:szCs w:val="26"/>
          <w:lang w:val="uk-UA"/>
        </w:rPr>
        <w:t>і</w:t>
      </w:r>
      <w:r w:rsidRPr="00307672">
        <w:rPr>
          <w:sz w:val="26"/>
          <w:szCs w:val="26"/>
          <w:lang w:val="uk-UA"/>
        </w:rPr>
        <w:t>к:</w:t>
      </w:r>
    </w:p>
    <w:tbl>
      <w:tblPr>
        <w:tblW w:w="4820" w:type="dxa"/>
        <w:tblInd w:w="2518" w:type="dxa"/>
        <w:tblLook w:val="04A0" w:firstRow="1" w:lastRow="0" w:firstColumn="1" w:lastColumn="0" w:noHBand="0" w:noVBand="1"/>
      </w:tblPr>
      <w:tblGrid>
        <w:gridCol w:w="1985"/>
        <w:gridCol w:w="600"/>
        <w:gridCol w:w="798"/>
        <w:gridCol w:w="303"/>
        <w:gridCol w:w="1134"/>
      </w:tblGrid>
      <w:tr w:rsidR="000B42C2" w:rsidRPr="000B42C2" w:rsidTr="00302D5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23781C" w:rsidP="0023781C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39245</w:t>
            </w:r>
            <w:r w:rsidR="00307672" w:rsidRPr="000B42C2">
              <w:rPr>
                <w:sz w:val="26"/>
                <w:szCs w:val="26"/>
                <w:lang w:val="uk-UA" w:eastAsia="uk-UA"/>
              </w:rPr>
              <w:t xml:space="preserve">  тис. грн.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107A54" w:rsidP="0023781C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B42C2">
              <w:rPr>
                <w:sz w:val="26"/>
                <w:szCs w:val="26"/>
                <w:lang w:val="uk-UA" w:eastAsia="uk-UA"/>
              </w:rPr>
              <w:t>1</w:t>
            </w:r>
            <w:r w:rsidR="0023781C">
              <w:rPr>
                <w:sz w:val="26"/>
                <w:szCs w:val="26"/>
                <w:lang w:val="uk-UA" w:eastAsia="uk-UA"/>
              </w:rPr>
              <w:t>4</w:t>
            </w:r>
            <w:r w:rsidR="00D82DEE" w:rsidRPr="000B42C2">
              <w:rPr>
                <w:sz w:val="26"/>
                <w:szCs w:val="26"/>
                <w:lang w:val="uk-UA" w:eastAsia="uk-UA"/>
              </w:rPr>
              <w:t>,</w:t>
            </w:r>
            <w:r w:rsidR="0023781C">
              <w:rPr>
                <w:sz w:val="26"/>
                <w:szCs w:val="26"/>
                <w:lang w:val="uk-UA" w:eastAsia="uk-UA"/>
              </w:rPr>
              <w:t>3</w:t>
            </w:r>
            <w:r w:rsidR="00D82DEE" w:rsidRPr="000B42C2">
              <w:rPr>
                <w:sz w:val="26"/>
                <w:szCs w:val="26"/>
                <w:lang w:val="uk-UA" w:eastAsia="uk-UA"/>
              </w:rPr>
              <w:t xml:space="preserve"> </w:t>
            </w:r>
            <w:r w:rsidR="00307672" w:rsidRPr="000B42C2">
              <w:rPr>
                <w:sz w:val="26"/>
                <w:szCs w:val="26"/>
                <w:lang w:val="uk-UA" w:eastAsia="uk-UA"/>
              </w:rPr>
              <w:t>%</w:t>
            </w:r>
          </w:p>
        </w:tc>
      </w:tr>
      <w:tr w:rsidR="000B42C2" w:rsidRPr="000B42C2" w:rsidTr="00526315">
        <w:trPr>
          <w:trHeight w:val="24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0B42C2" w:rsidRDefault="0023781C" w:rsidP="006829DB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274544</w:t>
            </w:r>
            <w:r w:rsidR="00E160D9" w:rsidRPr="000B42C2">
              <w:rPr>
                <w:sz w:val="26"/>
                <w:szCs w:val="26"/>
                <w:lang w:val="uk-UA" w:eastAsia="uk-UA"/>
              </w:rPr>
              <w:t xml:space="preserve"> </w:t>
            </w:r>
            <w:r w:rsidR="00307672" w:rsidRPr="000B42C2">
              <w:rPr>
                <w:sz w:val="26"/>
                <w:szCs w:val="26"/>
                <w:lang w:val="uk-UA" w:eastAsia="uk-UA"/>
              </w:rPr>
              <w:t>тис. грн.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0B42C2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1C68A8" w:rsidRPr="001C68A8" w:rsidRDefault="004676EE" w:rsidP="004676EE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  <w:r w:rsidRPr="001C68A8">
        <w:rPr>
          <w:sz w:val="26"/>
          <w:szCs w:val="26"/>
          <w:lang w:val="uk-UA" w:eastAsia="uk-UA"/>
        </w:rPr>
        <w:t>Податкове навантаження з податку на прибуток за звітний рік</w:t>
      </w:r>
      <w:r w:rsidR="006C2560" w:rsidRPr="001C68A8">
        <w:rPr>
          <w:sz w:val="26"/>
          <w:szCs w:val="26"/>
          <w:lang w:val="uk-UA" w:eastAsia="uk-UA"/>
        </w:rPr>
        <w:t xml:space="preserve"> з</w:t>
      </w:r>
      <w:r w:rsidR="001C68A8" w:rsidRPr="001C68A8">
        <w:rPr>
          <w:sz w:val="26"/>
          <w:szCs w:val="26"/>
          <w:lang w:val="uk-UA" w:eastAsia="uk-UA"/>
        </w:rPr>
        <w:t xml:space="preserve">меншилось </w:t>
      </w:r>
      <w:r w:rsidR="006570C3" w:rsidRPr="001C68A8">
        <w:rPr>
          <w:sz w:val="26"/>
          <w:szCs w:val="26"/>
          <w:lang w:val="uk-UA" w:eastAsia="uk-UA"/>
        </w:rPr>
        <w:t>проти минулого року н</w:t>
      </w:r>
      <w:r w:rsidRPr="001C68A8">
        <w:rPr>
          <w:sz w:val="26"/>
          <w:szCs w:val="26"/>
          <w:lang w:val="uk-UA" w:eastAsia="uk-UA"/>
        </w:rPr>
        <w:t xml:space="preserve">а </w:t>
      </w:r>
      <w:r w:rsidR="001C68A8" w:rsidRPr="001C68A8">
        <w:rPr>
          <w:sz w:val="26"/>
          <w:szCs w:val="26"/>
          <w:lang w:val="uk-UA" w:eastAsia="uk-UA"/>
        </w:rPr>
        <w:t>2</w:t>
      </w:r>
      <w:r w:rsidR="006570C3" w:rsidRPr="001C68A8">
        <w:rPr>
          <w:sz w:val="26"/>
          <w:szCs w:val="26"/>
          <w:lang w:val="uk-UA" w:eastAsia="uk-UA"/>
        </w:rPr>
        <w:t>,8</w:t>
      </w:r>
      <w:r w:rsidRPr="001C68A8">
        <w:rPr>
          <w:sz w:val="26"/>
          <w:szCs w:val="26"/>
          <w:lang w:val="uk-UA" w:eastAsia="uk-UA"/>
        </w:rPr>
        <w:t xml:space="preserve"> </w:t>
      </w:r>
      <w:proofErr w:type="spellStart"/>
      <w:r w:rsidRPr="001C68A8">
        <w:rPr>
          <w:sz w:val="26"/>
          <w:szCs w:val="26"/>
          <w:lang w:val="uk-UA" w:eastAsia="uk-UA"/>
        </w:rPr>
        <w:t>пункт</w:t>
      </w:r>
      <w:r w:rsidR="006F78A2" w:rsidRPr="001C68A8">
        <w:rPr>
          <w:sz w:val="26"/>
          <w:szCs w:val="26"/>
          <w:lang w:val="uk-UA" w:eastAsia="uk-UA"/>
        </w:rPr>
        <w:t>а</w:t>
      </w:r>
      <w:proofErr w:type="spellEnd"/>
      <w:r w:rsidRPr="001C68A8">
        <w:rPr>
          <w:sz w:val="26"/>
          <w:szCs w:val="26"/>
          <w:lang w:val="uk-UA" w:eastAsia="uk-UA"/>
        </w:rPr>
        <w:t xml:space="preserve"> </w:t>
      </w:r>
      <w:r w:rsidR="001C68A8" w:rsidRPr="001C68A8">
        <w:rPr>
          <w:sz w:val="26"/>
          <w:szCs w:val="26"/>
          <w:lang w:val="uk-UA" w:eastAsia="uk-UA"/>
        </w:rPr>
        <w:t xml:space="preserve">внаслідок зниження обсягів робіт, послуг, що призвело до </w:t>
      </w:r>
      <w:r w:rsidR="001C68A8" w:rsidRPr="001C68A8">
        <w:rPr>
          <w:sz w:val="26"/>
          <w:szCs w:val="26"/>
          <w:lang w:val="uk-UA" w:eastAsia="uk-UA"/>
        </w:rPr>
        <w:lastRenderedPageBreak/>
        <w:t>зменшення чистого доходу від реалізації продукці</w:t>
      </w:r>
      <w:r w:rsidR="00D81631">
        <w:rPr>
          <w:sz w:val="26"/>
          <w:szCs w:val="26"/>
          <w:lang w:val="uk-UA" w:eastAsia="uk-UA"/>
        </w:rPr>
        <w:t>ї</w:t>
      </w:r>
      <w:r w:rsidR="001C68A8" w:rsidRPr="001C68A8">
        <w:rPr>
          <w:sz w:val="26"/>
          <w:szCs w:val="26"/>
          <w:lang w:val="uk-UA" w:eastAsia="uk-UA"/>
        </w:rPr>
        <w:t>, і збільшення витрат від операційних курсових різниць, які вплинули на об'єкт оподаткування при нарахуванні податку на прибуток.</w:t>
      </w:r>
    </w:p>
    <w:p w:rsidR="00E91DF0" w:rsidRDefault="00E91DF0" w:rsidP="00107A54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</w:p>
    <w:p w:rsidR="001538FF" w:rsidRPr="00B41199" w:rsidRDefault="001538FF" w:rsidP="00B41199">
      <w:pPr>
        <w:pStyle w:val="ae"/>
        <w:numPr>
          <w:ilvl w:val="0"/>
          <w:numId w:val="12"/>
        </w:numPr>
        <w:tabs>
          <w:tab w:val="left" w:pos="426"/>
          <w:tab w:val="left" w:pos="993"/>
        </w:tabs>
        <w:spacing w:line="360" w:lineRule="exact"/>
        <w:ind w:hanging="77"/>
        <w:jc w:val="both"/>
        <w:rPr>
          <w:b/>
          <w:sz w:val="28"/>
          <w:szCs w:val="28"/>
          <w:lang w:val="uk-UA"/>
        </w:rPr>
      </w:pPr>
      <w:r w:rsidRPr="00B41199">
        <w:rPr>
          <w:b/>
          <w:sz w:val="28"/>
          <w:szCs w:val="28"/>
          <w:lang w:val="uk-UA"/>
        </w:rPr>
        <w:t>Рух грошових коштів</w:t>
      </w:r>
    </w:p>
    <w:p w:rsidR="002E4AC3" w:rsidRDefault="002E4AC3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874206" w:rsidRDefault="00E70367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  <w:r w:rsidRPr="00E70367">
        <w:rPr>
          <w:bCs/>
          <w:sz w:val="26"/>
          <w:szCs w:val="26"/>
          <w:lang w:val="uk-UA" w:eastAsia="uk-UA"/>
        </w:rPr>
        <w:t xml:space="preserve">Грошові кошти на кінець звітного періоду становлять </w:t>
      </w:r>
      <w:r w:rsidR="001C4DD4">
        <w:rPr>
          <w:bCs/>
          <w:sz w:val="26"/>
          <w:szCs w:val="26"/>
          <w:lang w:val="uk-UA" w:eastAsia="uk-UA"/>
        </w:rPr>
        <w:t>68 559</w:t>
      </w:r>
      <w:r w:rsidRPr="00E70367">
        <w:rPr>
          <w:bCs/>
          <w:sz w:val="26"/>
          <w:szCs w:val="26"/>
          <w:lang w:val="uk-UA" w:eastAsia="uk-UA"/>
        </w:rPr>
        <w:t xml:space="preserve"> тис. грн, чистий грошовий потік </w:t>
      </w:r>
      <w:r w:rsidR="001C4DD4">
        <w:rPr>
          <w:bCs/>
          <w:sz w:val="26"/>
          <w:szCs w:val="26"/>
          <w:lang w:val="uk-UA" w:eastAsia="uk-UA"/>
        </w:rPr>
        <w:t xml:space="preserve">становить 4 434 </w:t>
      </w:r>
      <w:r w:rsidRPr="00E70367">
        <w:rPr>
          <w:bCs/>
          <w:sz w:val="26"/>
          <w:szCs w:val="26"/>
          <w:lang w:val="uk-UA" w:eastAsia="uk-UA"/>
        </w:rPr>
        <w:t>тис. грн</w:t>
      </w:r>
      <w:r w:rsidR="001C4DD4">
        <w:rPr>
          <w:bCs/>
          <w:sz w:val="26"/>
          <w:szCs w:val="26"/>
          <w:lang w:val="uk-UA" w:eastAsia="uk-UA"/>
        </w:rPr>
        <w:t>, що нижче запланованого внаслідок зменшення на</w:t>
      </w:r>
      <w:r w:rsidRPr="00E70367">
        <w:rPr>
          <w:bCs/>
          <w:sz w:val="26"/>
          <w:szCs w:val="26"/>
          <w:lang w:val="uk-UA" w:eastAsia="uk-UA"/>
        </w:rPr>
        <w:t>дходжень грошових коштів через зниження обсягів переробки вантажів</w:t>
      </w:r>
      <w:r>
        <w:rPr>
          <w:bCs/>
          <w:sz w:val="26"/>
          <w:szCs w:val="26"/>
          <w:lang w:val="uk-UA" w:eastAsia="uk-UA"/>
        </w:rPr>
        <w:t>.</w:t>
      </w:r>
    </w:p>
    <w:p w:rsidR="00E70367" w:rsidRPr="001538FF" w:rsidRDefault="00E70367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1538FF" w:rsidRPr="00B41199" w:rsidRDefault="001538FF" w:rsidP="00B41199">
      <w:pPr>
        <w:pStyle w:val="ae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line="360" w:lineRule="exact"/>
        <w:ind w:right="282" w:hanging="77"/>
        <w:jc w:val="both"/>
        <w:rPr>
          <w:b/>
          <w:sz w:val="28"/>
          <w:szCs w:val="26"/>
          <w:lang w:val="uk-UA"/>
        </w:rPr>
      </w:pPr>
      <w:r w:rsidRPr="00B41199">
        <w:rPr>
          <w:b/>
          <w:sz w:val="28"/>
          <w:szCs w:val="26"/>
          <w:lang w:val="uk-UA"/>
        </w:rPr>
        <w:t>Інвестиційна діяльність підприємства</w:t>
      </w:r>
    </w:p>
    <w:p w:rsidR="002E4AC3" w:rsidRPr="001E7597" w:rsidRDefault="002E4AC3" w:rsidP="002E4AC3">
      <w:pPr>
        <w:pStyle w:val="ae"/>
        <w:tabs>
          <w:tab w:val="left" w:pos="426"/>
          <w:tab w:val="left" w:pos="709"/>
          <w:tab w:val="left" w:pos="993"/>
        </w:tabs>
        <w:spacing w:line="360" w:lineRule="exact"/>
        <w:ind w:left="567" w:right="282"/>
        <w:jc w:val="both"/>
        <w:rPr>
          <w:b/>
          <w:sz w:val="28"/>
          <w:szCs w:val="26"/>
          <w:lang w:val="uk-UA"/>
        </w:rPr>
      </w:pPr>
    </w:p>
    <w:p w:rsidR="001538FF" w:rsidRDefault="001538FF" w:rsidP="001538FF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Станом на 01.</w:t>
      </w:r>
      <w:r>
        <w:rPr>
          <w:sz w:val="26"/>
          <w:szCs w:val="26"/>
          <w:lang w:val="uk-UA"/>
        </w:rPr>
        <w:t>0</w:t>
      </w:r>
      <w:r w:rsidR="00FE2AF4">
        <w:rPr>
          <w:sz w:val="26"/>
          <w:szCs w:val="26"/>
          <w:lang w:val="uk-UA"/>
        </w:rPr>
        <w:t>1</w:t>
      </w:r>
      <w:r w:rsidRPr="001560D9">
        <w:rPr>
          <w:sz w:val="26"/>
          <w:szCs w:val="26"/>
          <w:lang w:val="uk-UA"/>
        </w:rPr>
        <w:t>.20</w:t>
      </w:r>
      <w:r w:rsidR="00E70367">
        <w:rPr>
          <w:sz w:val="26"/>
          <w:szCs w:val="26"/>
          <w:lang w:val="uk-UA"/>
        </w:rPr>
        <w:t>20</w:t>
      </w:r>
      <w:r w:rsidRPr="001560D9">
        <w:rPr>
          <w:sz w:val="26"/>
          <w:szCs w:val="26"/>
          <w:lang w:val="uk-UA"/>
        </w:rPr>
        <w:t xml:space="preserve"> року </w:t>
      </w:r>
      <w:r w:rsidR="00A73678">
        <w:rPr>
          <w:sz w:val="26"/>
          <w:szCs w:val="26"/>
          <w:lang w:val="uk-UA"/>
        </w:rPr>
        <w:t xml:space="preserve">ДП </w:t>
      </w:r>
      <w:r w:rsidR="00A73678" w:rsidRPr="00CA2B2B">
        <w:rPr>
          <w:sz w:val="26"/>
          <w:szCs w:val="26"/>
          <w:lang w:val="uk-UA"/>
        </w:rPr>
        <w:t>“</w:t>
      </w:r>
      <w:r w:rsidR="002E4AC3">
        <w:rPr>
          <w:sz w:val="26"/>
          <w:szCs w:val="26"/>
          <w:lang w:val="uk-UA"/>
        </w:rPr>
        <w:t xml:space="preserve">СК </w:t>
      </w:r>
      <w:r w:rsidR="00924E92" w:rsidRPr="00A01076">
        <w:rPr>
          <w:sz w:val="26"/>
          <w:szCs w:val="26"/>
          <w:lang w:val="uk-UA"/>
        </w:rPr>
        <w:t>“</w:t>
      </w:r>
      <w:r w:rsidR="002E4AC3">
        <w:rPr>
          <w:sz w:val="26"/>
          <w:szCs w:val="26"/>
          <w:lang w:val="uk-UA"/>
        </w:rPr>
        <w:t>Ольвія</w:t>
      </w:r>
      <w:r w:rsidR="00924E92" w:rsidRPr="00A01076">
        <w:rPr>
          <w:sz w:val="26"/>
          <w:szCs w:val="26"/>
          <w:lang w:val="uk-UA"/>
        </w:rPr>
        <w:t>”</w:t>
      </w:r>
      <w:r w:rsidRPr="001560D9">
        <w:rPr>
          <w:sz w:val="26"/>
          <w:szCs w:val="26"/>
          <w:lang w:val="uk-UA"/>
        </w:rPr>
        <w:t xml:space="preserve"> має основних фондів на </w:t>
      </w:r>
      <w:r w:rsidRPr="00AD2A2B">
        <w:rPr>
          <w:sz w:val="26"/>
          <w:szCs w:val="26"/>
          <w:lang w:val="uk-UA"/>
        </w:rPr>
        <w:t xml:space="preserve">суму </w:t>
      </w:r>
      <w:r w:rsidR="003D09E4">
        <w:rPr>
          <w:sz w:val="26"/>
          <w:szCs w:val="26"/>
          <w:lang w:val="uk-UA"/>
        </w:rPr>
        <w:t>839</w:t>
      </w:r>
      <w:r w:rsidR="0068108D">
        <w:rPr>
          <w:sz w:val="26"/>
          <w:szCs w:val="26"/>
          <w:lang w:val="uk-UA"/>
        </w:rPr>
        <w:t> </w:t>
      </w:r>
      <w:r w:rsidR="003D09E4">
        <w:rPr>
          <w:sz w:val="26"/>
          <w:szCs w:val="26"/>
          <w:lang w:val="uk-UA"/>
        </w:rPr>
        <w:t>7</w:t>
      </w:r>
      <w:r w:rsidR="0068108D">
        <w:rPr>
          <w:sz w:val="26"/>
          <w:szCs w:val="26"/>
          <w:lang w:val="uk-UA"/>
        </w:rPr>
        <w:t>2</w:t>
      </w:r>
      <w:r w:rsidR="003D09E4">
        <w:rPr>
          <w:sz w:val="26"/>
          <w:szCs w:val="26"/>
          <w:lang w:val="uk-UA"/>
        </w:rPr>
        <w:t>0</w:t>
      </w:r>
      <w:r w:rsidR="00BD7CAD">
        <w:rPr>
          <w:sz w:val="26"/>
          <w:szCs w:val="26"/>
          <w:lang w:val="uk-UA"/>
        </w:rPr>
        <w:t> </w:t>
      </w:r>
      <w:r w:rsidRPr="00AD2A2B">
        <w:rPr>
          <w:sz w:val="26"/>
          <w:szCs w:val="26"/>
          <w:lang w:val="uk-UA"/>
        </w:rPr>
        <w:t>тис. грн.</w:t>
      </w:r>
      <w:r>
        <w:rPr>
          <w:sz w:val="26"/>
          <w:szCs w:val="26"/>
          <w:lang w:val="uk-UA"/>
        </w:rPr>
        <w:t xml:space="preserve"> </w:t>
      </w:r>
      <w:r w:rsidRPr="00AD2A2B">
        <w:rPr>
          <w:sz w:val="26"/>
          <w:szCs w:val="26"/>
          <w:lang w:val="uk-UA"/>
        </w:rPr>
        <w:t xml:space="preserve">Знос основних фондів </w:t>
      </w:r>
      <w:r w:rsidRPr="008A7353">
        <w:rPr>
          <w:sz w:val="26"/>
          <w:szCs w:val="26"/>
          <w:lang w:val="uk-UA"/>
        </w:rPr>
        <w:t xml:space="preserve">складає </w:t>
      </w:r>
      <w:r w:rsidR="001C68A8">
        <w:rPr>
          <w:sz w:val="26"/>
          <w:szCs w:val="26"/>
          <w:lang w:val="uk-UA"/>
        </w:rPr>
        <w:t>61,0</w:t>
      </w:r>
      <w:r w:rsidRPr="008A7353">
        <w:rPr>
          <w:sz w:val="26"/>
          <w:szCs w:val="26"/>
          <w:lang w:val="uk-UA"/>
        </w:rPr>
        <w:t xml:space="preserve"> %. Відповідно форми № 2 – інвестиції (квартальна) загальна сума фактично освоєних у 201</w:t>
      </w:r>
      <w:r w:rsidR="00E70367">
        <w:rPr>
          <w:sz w:val="26"/>
          <w:szCs w:val="26"/>
          <w:lang w:val="uk-UA"/>
        </w:rPr>
        <w:t>9</w:t>
      </w:r>
      <w:r w:rsidRPr="008A7353">
        <w:rPr>
          <w:sz w:val="26"/>
          <w:szCs w:val="26"/>
          <w:lang w:val="uk-UA"/>
        </w:rPr>
        <w:t xml:space="preserve"> ро</w:t>
      </w:r>
      <w:r w:rsidR="00C129E5">
        <w:rPr>
          <w:sz w:val="26"/>
          <w:szCs w:val="26"/>
          <w:lang w:val="uk-UA"/>
        </w:rPr>
        <w:t>ці</w:t>
      </w:r>
      <w:r w:rsidRPr="008A7353">
        <w:rPr>
          <w:sz w:val="26"/>
          <w:szCs w:val="26"/>
          <w:lang w:val="uk-UA"/>
        </w:rPr>
        <w:t xml:space="preserve"> капітальних вкладень за рахунок </w:t>
      </w:r>
      <w:r w:rsidR="008A7353">
        <w:rPr>
          <w:sz w:val="26"/>
          <w:szCs w:val="26"/>
          <w:lang w:val="uk-UA"/>
        </w:rPr>
        <w:t>власних коштів (</w:t>
      </w:r>
      <w:r w:rsidRPr="008A7353">
        <w:rPr>
          <w:sz w:val="26"/>
          <w:szCs w:val="26"/>
          <w:lang w:val="uk-UA"/>
        </w:rPr>
        <w:t>амортизаційн</w:t>
      </w:r>
      <w:r w:rsidR="008A7353">
        <w:rPr>
          <w:sz w:val="26"/>
          <w:szCs w:val="26"/>
          <w:lang w:val="uk-UA"/>
        </w:rPr>
        <w:t>і</w:t>
      </w:r>
      <w:r w:rsidRPr="008A7353">
        <w:rPr>
          <w:sz w:val="26"/>
          <w:szCs w:val="26"/>
          <w:lang w:val="uk-UA"/>
        </w:rPr>
        <w:t xml:space="preserve"> відрахуван</w:t>
      </w:r>
      <w:r w:rsidR="008A7353">
        <w:rPr>
          <w:sz w:val="26"/>
          <w:szCs w:val="26"/>
          <w:lang w:val="uk-UA"/>
        </w:rPr>
        <w:t>ня)</w:t>
      </w:r>
      <w:r w:rsidRPr="008A7353">
        <w:rPr>
          <w:sz w:val="26"/>
          <w:szCs w:val="26"/>
          <w:lang w:val="uk-UA"/>
        </w:rPr>
        <w:t xml:space="preserve"> </w:t>
      </w:r>
      <w:r w:rsidRPr="000B42C2">
        <w:rPr>
          <w:sz w:val="26"/>
          <w:szCs w:val="26"/>
          <w:lang w:val="uk-UA"/>
        </w:rPr>
        <w:t xml:space="preserve">складає </w:t>
      </w:r>
      <w:r w:rsidR="0068108D">
        <w:rPr>
          <w:sz w:val="26"/>
          <w:szCs w:val="26"/>
          <w:lang w:val="uk-UA"/>
        </w:rPr>
        <w:t>25 </w:t>
      </w:r>
      <w:r w:rsidR="00FB2FC7">
        <w:rPr>
          <w:sz w:val="26"/>
          <w:szCs w:val="26"/>
          <w:lang w:val="uk-UA"/>
        </w:rPr>
        <w:t>517</w:t>
      </w:r>
      <w:r w:rsidR="00BA7C01" w:rsidRPr="000B42C2">
        <w:rPr>
          <w:sz w:val="26"/>
          <w:szCs w:val="26"/>
          <w:lang w:val="uk-UA"/>
        </w:rPr>
        <w:t> тис. </w:t>
      </w:r>
      <w:r w:rsidRPr="000B42C2">
        <w:rPr>
          <w:sz w:val="26"/>
          <w:szCs w:val="26"/>
          <w:lang w:val="uk-UA"/>
        </w:rPr>
        <w:t>грн.</w:t>
      </w:r>
    </w:p>
    <w:p w:rsidR="001538FF" w:rsidRDefault="001538FF" w:rsidP="00C92239">
      <w:pPr>
        <w:spacing w:before="240" w:after="120" w:line="360" w:lineRule="exact"/>
        <w:jc w:val="right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Пооб’єктне розшифрування придбання основних фонд</w:t>
      </w:r>
      <w:r w:rsidR="00B12D1D">
        <w:rPr>
          <w:sz w:val="26"/>
          <w:szCs w:val="26"/>
          <w:lang w:val="uk-UA"/>
        </w:rPr>
        <w:t>ів                    (тис. грн</w:t>
      </w:r>
      <w:r w:rsidRPr="001560D9">
        <w:rPr>
          <w:sz w:val="26"/>
          <w:szCs w:val="26"/>
          <w:lang w:val="uk-UA"/>
        </w:rPr>
        <w:t>)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982"/>
        <w:gridCol w:w="938"/>
        <w:gridCol w:w="1361"/>
        <w:gridCol w:w="986"/>
      </w:tblGrid>
      <w:tr w:rsidR="000B42C2" w:rsidRPr="000B42C2" w:rsidTr="00D51CEB">
        <w:trPr>
          <w:trHeight w:val="428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both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 </w:t>
            </w:r>
          </w:p>
        </w:tc>
        <w:tc>
          <w:tcPr>
            <w:tcW w:w="3281" w:type="dxa"/>
            <w:gridSpan w:val="3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2019 рік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Звіт за 2018р.</w:t>
            </w:r>
          </w:p>
        </w:tc>
      </w:tr>
      <w:tr w:rsidR="000B42C2" w:rsidRPr="000B42C2" w:rsidTr="00D51CEB">
        <w:trPr>
          <w:trHeight w:val="831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план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звіт</w:t>
            </w:r>
          </w:p>
        </w:tc>
        <w:tc>
          <w:tcPr>
            <w:tcW w:w="1361" w:type="dxa"/>
            <w:shd w:val="clear" w:color="auto" w:fill="auto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18"/>
                <w:lang w:val="uk-UA" w:eastAsia="uk-UA"/>
              </w:rPr>
              <w:t>виконання плану, %</w:t>
            </w:r>
          </w:p>
        </w:tc>
        <w:tc>
          <w:tcPr>
            <w:tcW w:w="986" w:type="dxa"/>
            <w:vMerge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sz w:val="24"/>
                <w:szCs w:val="24"/>
                <w:lang w:val="uk-UA" w:eastAsia="uk-UA"/>
              </w:rPr>
            </w:pPr>
          </w:p>
        </w:tc>
      </w:tr>
      <w:tr w:rsidR="000B42C2" w:rsidRPr="000B42C2" w:rsidTr="00D51CEB">
        <w:trPr>
          <w:trHeight w:val="250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lang w:val="uk-UA" w:eastAsia="uk-UA"/>
              </w:rPr>
            </w:pPr>
            <w:r w:rsidRPr="000B42C2">
              <w:rPr>
                <w:lang w:val="uk-UA" w:eastAsia="uk-UA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lang w:val="uk-UA" w:eastAsia="uk-UA"/>
              </w:rPr>
            </w:pPr>
            <w:r w:rsidRPr="000B42C2">
              <w:rPr>
                <w:lang w:val="uk-UA" w:eastAsia="uk-UA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lang w:val="uk-UA" w:eastAsia="uk-UA"/>
              </w:rPr>
            </w:pPr>
            <w:r w:rsidRPr="000B42C2">
              <w:rPr>
                <w:lang w:val="uk-UA" w:eastAsia="uk-UA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lang w:val="uk-UA" w:eastAsia="uk-UA"/>
              </w:rPr>
            </w:pPr>
            <w:r w:rsidRPr="000B42C2">
              <w:rPr>
                <w:lang w:val="uk-UA" w:eastAsia="uk-UA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jc w:val="center"/>
              <w:rPr>
                <w:lang w:val="uk-UA" w:eastAsia="uk-UA"/>
              </w:rPr>
            </w:pPr>
            <w:r w:rsidRPr="000B42C2">
              <w:rPr>
                <w:lang w:val="uk-UA" w:eastAsia="uk-UA"/>
              </w:rPr>
              <w:t>5</w:t>
            </w:r>
          </w:p>
        </w:tc>
      </w:tr>
      <w:tr w:rsidR="000B42C2" w:rsidRPr="000B42C2" w:rsidTr="00D51CEB">
        <w:trPr>
          <w:trHeight w:val="397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 xml:space="preserve">Капітальні інвестиції,  усього 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356F72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31000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D91DF9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25</w:t>
            </w:r>
            <w:r w:rsidR="00D91DF9">
              <w:rPr>
                <w:b/>
                <w:bCs/>
                <w:sz w:val="24"/>
                <w:szCs w:val="24"/>
                <w:lang w:val="uk-UA" w:eastAsia="uk-UA"/>
              </w:rPr>
              <w:t>517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D91DF9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8</w:t>
            </w:r>
            <w:r w:rsidR="00D91DF9">
              <w:rPr>
                <w:b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37309</w:t>
            </w:r>
          </w:p>
        </w:tc>
      </w:tr>
      <w:tr w:rsidR="000B42C2" w:rsidRPr="000B42C2" w:rsidTr="00D51CEB">
        <w:trPr>
          <w:trHeight w:val="220"/>
          <w:jc w:val="center"/>
        </w:trPr>
        <w:tc>
          <w:tcPr>
            <w:tcW w:w="10370" w:type="dxa"/>
            <w:gridSpan w:val="5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sz w:val="22"/>
                <w:szCs w:val="22"/>
                <w:lang w:val="uk-UA" w:eastAsia="uk-UA"/>
              </w:rPr>
            </w:pPr>
            <w:r w:rsidRPr="000B42C2">
              <w:rPr>
                <w:sz w:val="22"/>
                <w:szCs w:val="24"/>
                <w:lang w:val="uk-UA" w:eastAsia="uk-UA"/>
              </w:rPr>
              <w:t xml:space="preserve">в </w:t>
            </w:r>
            <w:proofErr w:type="spellStart"/>
            <w:r w:rsidRPr="000B42C2">
              <w:rPr>
                <w:sz w:val="22"/>
                <w:szCs w:val="24"/>
                <w:lang w:val="uk-UA" w:eastAsia="uk-UA"/>
              </w:rPr>
              <w:t>т.ч</w:t>
            </w:r>
            <w:proofErr w:type="spellEnd"/>
            <w:r w:rsidRPr="000B42C2">
              <w:rPr>
                <w:sz w:val="22"/>
                <w:szCs w:val="24"/>
                <w:lang w:val="uk-UA" w:eastAsia="uk-UA"/>
              </w:rPr>
              <w:t>.:</w:t>
            </w:r>
          </w:p>
        </w:tc>
      </w:tr>
      <w:tr w:rsidR="000B42C2" w:rsidRPr="000B42C2" w:rsidTr="00D51CEB">
        <w:trPr>
          <w:trHeight w:val="397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1.Капітальне будівництво: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FB2FC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32</w:t>
            </w:r>
            <w:r w:rsidR="00FB2FC7">
              <w:rPr>
                <w:b/>
                <w:bCs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325</w:t>
            </w:r>
          </w:p>
        </w:tc>
      </w:tr>
      <w:tr w:rsidR="000B42C2" w:rsidRPr="000B42C2" w:rsidTr="00D51CEB">
        <w:trPr>
          <w:trHeight w:val="271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Будівництво автомобільних ваг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FB2FC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3254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109</w:t>
            </w:r>
          </w:p>
        </w:tc>
      </w:tr>
      <w:tr w:rsidR="000B42C2" w:rsidRPr="000B42C2" w:rsidTr="00D51CEB">
        <w:trPr>
          <w:trHeight w:val="271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 xml:space="preserve">Будівництво залізничної колії в тилу допоміжного </w:t>
            </w:r>
            <w:proofErr w:type="spellStart"/>
            <w:r w:rsidRPr="000B42C2">
              <w:rPr>
                <w:bCs/>
                <w:sz w:val="24"/>
                <w:szCs w:val="24"/>
                <w:lang w:val="uk-UA" w:eastAsia="uk-UA"/>
              </w:rPr>
              <w:t>причала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216</w:t>
            </w:r>
          </w:p>
        </w:tc>
      </w:tr>
      <w:tr w:rsidR="000B42C2" w:rsidRPr="000B42C2" w:rsidTr="00D51CEB">
        <w:trPr>
          <w:trHeight w:val="413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2. Придбання основних фондів: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3700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FB2FC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  <w:r w:rsidR="00FB2FC7">
              <w:rPr>
                <w:b/>
                <w:bCs/>
                <w:sz w:val="24"/>
                <w:szCs w:val="24"/>
                <w:lang w:val="uk-UA" w:eastAsia="uk-UA"/>
              </w:rPr>
              <w:t>14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FB2FC7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</w:t>
            </w:r>
            <w:r w:rsidR="00FB2FC7">
              <w:rPr>
                <w:b/>
                <w:sz w:val="24"/>
                <w:szCs w:val="24"/>
                <w:lang w:val="uk-UA" w:eastAsia="uk-UA"/>
              </w:rPr>
              <w:t>66,0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22261</w:t>
            </w:r>
          </w:p>
        </w:tc>
      </w:tr>
      <w:tr w:rsidR="000B42C2" w:rsidRPr="000B42C2" w:rsidTr="00D51CEB">
        <w:trPr>
          <w:trHeight w:val="178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Серверне обладнання, обчислювальна техніка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445F88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445F88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20,9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1472</w:t>
            </w:r>
          </w:p>
        </w:tc>
      </w:tr>
      <w:tr w:rsidR="000B42C2" w:rsidRPr="000B42C2" w:rsidTr="00D51CEB">
        <w:trPr>
          <w:trHeight w:val="323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Залізобетонні панелі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2400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490435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4600</w:t>
            </w:r>
          </w:p>
        </w:tc>
      </w:tr>
      <w:tr w:rsidR="000B42C2" w:rsidRPr="000B42C2" w:rsidTr="00D51CEB">
        <w:trPr>
          <w:trHeight w:val="217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Трактор – 1 од.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17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Інші ОЗ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445F88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708</w:t>
            </w:r>
          </w:p>
        </w:tc>
      </w:tr>
      <w:tr w:rsidR="00786F1D" w:rsidRPr="000B42C2" w:rsidTr="005E0004">
        <w:trPr>
          <w:trHeight w:val="217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Автобус міського типу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786F1D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17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Грейфер для портального крану – 4 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1249</w:t>
            </w:r>
          </w:p>
        </w:tc>
      </w:tr>
      <w:tr w:rsidR="000B42C2" w:rsidRPr="000B42C2" w:rsidTr="00D51CEB">
        <w:trPr>
          <w:trHeight w:val="217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Гідравлічний перевантажувач “TEREX FUCHS” MHL 360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12005</w:t>
            </w:r>
          </w:p>
        </w:tc>
      </w:tr>
      <w:tr w:rsidR="000B42C2" w:rsidRPr="000B42C2" w:rsidTr="00D51CEB">
        <w:trPr>
          <w:trHeight w:val="228"/>
          <w:jc w:val="center"/>
        </w:trPr>
        <w:tc>
          <w:tcPr>
            <w:tcW w:w="6103" w:type="dxa"/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Лотки для навалювального вантажу в/п 15 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396</w:t>
            </w:r>
          </w:p>
        </w:tc>
      </w:tr>
      <w:tr w:rsidR="000B42C2" w:rsidRPr="000B42C2" w:rsidTr="00D51CEB">
        <w:trPr>
          <w:trHeight w:val="217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Твердопаливний котел – 3 од.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214</w:t>
            </w:r>
          </w:p>
        </w:tc>
      </w:tr>
      <w:tr w:rsidR="000B42C2" w:rsidRPr="000B42C2" w:rsidTr="00D51CEB">
        <w:trPr>
          <w:trHeight w:val="172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Автонавантажувач в/п 1,5 т – 4 од.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1354</w:t>
            </w:r>
          </w:p>
        </w:tc>
      </w:tr>
      <w:tr w:rsidR="000B42C2" w:rsidRPr="000B42C2" w:rsidTr="00D51CEB">
        <w:trPr>
          <w:trHeight w:val="161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Колонки для АЗС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192</w:t>
            </w:r>
          </w:p>
        </w:tc>
      </w:tr>
      <w:tr w:rsidR="000B42C2" w:rsidRPr="000B42C2" w:rsidTr="00D51CEB">
        <w:trPr>
          <w:trHeight w:val="138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 xml:space="preserve">Естакада для автомобілів в/п 30 </w:t>
            </w:r>
            <w:proofErr w:type="spellStart"/>
            <w:r w:rsidRPr="000B42C2">
              <w:rPr>
                <w:sz w:val="24"/>
                <w:szCs w:val="24"/>
                <w:lang w:val="uk-UA" w:eastAsia="uk-UA"/>
              </w:rPr>
              <w:t>тн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86F1D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786F1D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786F1D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71</w:t>
            </w:r>
          </w:p>
        </w:tc>
      </w:tr>
      <w:tr w:rsidR="000B42C2" w:rsidRPr="000B42C2" w:rsidTr="00D51CEB">
        <w:trPr>
          <w:trHeight w:val="612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3. Придбання інших необоротних матеріальних активів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D91DF9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  <w:r w:rsidR="00786F1D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D91DF9" w:rsidP="00D91DF9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70,4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565</w:t>
            </w:r>
          </w:p>
        </w:tc>
      </w:tr>
      <w:tr w:rsidR="000B42C2" w:rsidRPr="000B42C2" w:rsidTr="00D51CEB">
        <w:trPr>
          <w:trHeight w:val="397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4. Придбання нематеріальних активів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965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241,3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164</w:t>
            </w:r>
          </w:p>
        </w:tc>
      </w:tr>
      <w:tr w:rsidR="000B42C2" w:rsidRPr="000B42C2" w:rsidTr="00D51CEB">
        <w:trPr>
          <w:trHeight w:val="271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Прикладне програмне забезпечення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241,3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</w:t>
            </w:r>
          </w:p>
        </w:tc>
      </w:tr>
      <w:tr w:rsidR="000B42C2" w:rsidRPr="000B42C2" w:rsidTr="00D51CEB">
        <w:trPr>
          <w:trHeight w:val="118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Дозвіл на спец. водокористування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141</w:t>
            </w:r>
          </w:p>
        </w:tc>
      </w:tr>
      <w:tr w:rsidR="000B42C2" w:rsidRPr="000B42C2" w:rsidTr="00D51CEB">
        <w:trPr>
          <w:trHeight w:val="724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 xml:space="preserve">5. Модернізація, модифікація (добудова, дообладнання, реконструкція) основних засобів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2400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D91DF9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="00FB2FC7"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  <w:r w:rsidR="00D91DF9">
              <w:rPr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FB2FC7" w:rsidP="00FB2FC7">
            <w:pPr>
              <w:ind w:right="27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36,3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2835</w:t>
            </w:r>
          </w:p>
        </w:tc>
      </w:tr>
      <w:tr w:rsidR="000B42C2" w:rsidRPr="000B42C2" w:rsidTr="00D51CEB">
        <w:trPr>
          <w:trHeight w:val="246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Паспортизація будівель (первинна) та проектні роботи з реконструкції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13</w:t>
            </w:r>
          </w:p>
        </w:tc>
      </w:tr>
      <w:tr w:rsidR="000B42C2" w:rsidRPr="000B42C2" w:rsidTr="00D51CEB">
        <w:trPr>
          <w:trHeight w:val="234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sz w:val="24"/>
                <w:szCs w:val="28"/>
                <w:lang w:val="uk-UA" w:eastAsia="uk-UA"/>
              </w:rPr>
            </w:pPr>
            <w:r w:rsidRPr="000B42C2">
              <w:rPr>
                <w:sz w:val="24"/>
                <w:szCs w:val="28"/>
                <w:lang w:val="uk-UA" w:eastAsia="uk-UA"/>
              </w:rPr>
              <w:t>Модернізація систем опалення будівель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3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sz w:val="24"/>
                <w:szCs w:val="28"/>
                <w:lang w:val="uk-UA" w:eastAsia="uk-UA"/>
              </w:rPr>
            </w:pPr>
            <w:r w:rsidRPr="000B42C2">
              <w:rPr>
                <w:sz w:val="24"/>
                <w:szCs w:val="28"/>
                <w:lang w:val="uk-UA" w:eastAsia="uk-UA"/>
              </w:rPr>
              <w:t>Модернізація обладнання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1104</w:t>
            </w:r>
          </w:p>
        </w:tc>
      </w:tr>
      <w:tr w:rsidR="00786F1D" w:rsidRPr="000B42C2" w:rsidTr="005E0004">
        <w:trPr>
          <w:trHeight w:val="23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rPr>
                <w:sz w:val="24"/>
                <w:szCs w:val="28"/>
                <w:lang w:val="uk-UA" w:eastAsia="uk-UA"/>
              </w:rPr>
            </w:pPr>
            <w:r w:rsidRPr="000B42C2">
              <w:rPr>
                <w:sz w:val="24"/>
                <w:szCs w:val="28"/>
                <w:lang w:val="uk-UA" w:eastAsia="uk-UA"/>
              </w:rPr>
              <w:t>Реконструкція БСТБ-70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35</w:t>
            </w:r>
            <w:r w:rsidR="00D91DF9">
              <w:rPr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43</w:t>
            </w:r>
          </w:p>
        </w:tc>
      </w:tr>
      <w:tr w:rsidR="00786F1D" w:rsidRPr="000B42C2" w:rsidTr="005E0004">
        <w:trPr>
          <w:trHeight w:val="23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rPr>
                <w:sz w:val="24"/>
                <w:szCs w:val="28"/>
                <w:lang w:val="uk-UA" w:eastAsia="uk-UA"/>
              </w:rPr>
            </w:pPr>
            <w:r w:rsidRPr="000B42C2">
              <w:rPr>
                <w:sz w:val="24"/>
                <w:szCs w:val="28"/>
                <w:lang w:val="uk-UA" w:eastAsia="uk-UA"/>
              </w:rPr>
              <w:t>Дообладнання системи обліку електроустаткування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1D" w:rsidRPr="000B42C2" w:rsidRDefault="00786F1D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80</w:t>
            </w:r>
          </w:p>
        </w:tc>
      </w:tr>
      <w:tr w:rsidR="00FB2FC7" w:rsidRPr="000B42C2" w:rsidTr="005E0004">
        <w:trPr>
          <w:trHeight w:val="23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7" w:rsidRPr="000B42C2" w:rsidRDefault="00FB2FC7" w:rsidP="005E0004">
            <w:pPr>
              <w:ind w:right="27"/>
              <w:rPr>
                <w:sz w:val="24"/>
                <w:szCs w:val="28"/>
                <w:lang w:val="uk-UA" w:eastAsia="uk-UA"/>
              </w:rPr>
            </w:pPr>
            <w:r>
              <w:rPr>
                <w:sz w:val="24"/>
                <w:szCs w:val="28"/>
                <w:lang w:val="uk-UA" w:eastAsia="uk-UA"/>
              </w:rPr>
              <w:t>Модернізація ОЗ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7" w:rsidRPr="000B42C2" w:rsidRDefault="00FB2FC7" w:rsidP="005E0004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7" w:rsidRDefault="00FB2FC7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7" w:rsidRPr="000B42C2" w:rsidRDefault="00FB2FC7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7" w:rsidRPr="000B42C2" w:rsidRDefault="00FB2FC7" w:rsidP="005E0004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46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Реконструкція вагонних залізничних ваг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235</w:t>
            </w:r>
          </w:p>
        </w:tc>
      </w:tr>
      <w:tr w:rsidR="000B42C2" w:rsidRPr="000B42C2" w:rsidTr="00D51CEB">
        <w:trPr>
          <w:trHeight w:val="234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sz w:val="24"/>
                <w:szCs w:val="28"/>
                <w:lang w:val="uk-UA" w:eastAsia="uk-UA"/>
              </w:rPr>
            </w:pPr>
            <w:r w:rsidRPr="000B42C2">
              <w:rPr>
                <w:sz w:val="24"/>
                <w:szCs w:val="28"/>
                <w:lang w:val="uk-UA" w:eastAsia="uk-UA"/>
              </w:rPr>
              <w:t>Реконструкція навісного складу під критий склад підлогового зберігання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1360</w:t>
            </w:r>
          </w:p>
        </w:tc>
      </w:tr>
      <w:tr w:rsidR="000B42C2" w:rsidRPr="000B42C2" w:rsidTr="00D51CEB">
        <w:trPr>
          <w:trHeight w:val="397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27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6. Капітальний ремонт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23450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D91DF9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1354</w:t>
            </w:r>
            <w:r w:rsidR="00D91DF9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57,8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/>
                <w:bCs/>
                <w:sz w:val="24"/>
                <w:szCs w:val="24"/>
                <w:lang w:val="uk-UA" w:eastAsia="uk-UA"/>
              </w:rPr>
              <w:t>11159</w:t>
            </w:r>
          </w:p>
        </w:tc>
      </w:tr>
      <w:tr w:rsidR="000B42C2" w:rsidRPr="000B42C2" w:rsidTr="00D51CEB">
        <w:trPr>
          <w:trHeight w:val="325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Капітальний ремонт портальних кранів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6000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3463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57,7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2891</w:t>
            </w:r>
          </w:p>
        </w:tc>
      </w:tr>
      <w:tr w:rsidR="000B42C2" w:rsidRPr="000B42C2" w:rsidTr="00D51CEB">
        <w:trPr>
          <w:trHeight w:val="264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Капітальний ремонт прожекторних щогл – 10 од.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1400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321</w:t>
            </w:r>
          </w:p>
        </w:tc>
      </w:tr>
      <w:tr w:rsidR="000B42C2" w:rsidRPr="000B42C2" w:rsidTr="00D51CEB">
        <w:trPr>
          <w:trHeight w:val="267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0B42C2">
              <w:rPr>
                <w:bCs/>
                <w:sz w:val="23"/>
                <w:szCs w:val="23"/>
                <w:lang w:val="uk-UA" w:eastAsia="uk-UA"/>
              </w:rPr>
              <w:t>Капітальний ремонт електропостачання кранових колонок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1000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60,1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454</w:t>
            </w:r>
          </w:p>
        </w:tc>
      </w:tr>
      <w:tr w:rsidR="000B42C2" w:rsidRPr="000B42C2" w:rsidTr="00D51CEB">
        <w:trPr>
          <w:trHeight w:val="260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Утеплення фасаду та покрівлі будівель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5300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30,5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2191</w:t>
            </w:r>
          </w:p>
        </w:tc>
      </w:tr>
      <w:tr w:rsidR="000B42C2" w:rsidRPr="000B42C2" w:rsidTr="00D51CEB">
        <w:trPr>
          <w:trHeight w:val="264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786F1D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 xml:space="preserve">Доковий ремонт м/б </w:t>
            </w:r>
            <w:r w:rsidR="00786F1D">
              <w:rPr>
                <w:sz w:val="24"/>
                <w:szCs w:val="24"/>
                <w:lang w:val="uk-UA" w:eastAsia="uk-UA"/>
              </w:rPr>
              <w:t>"Витязь"/"</w:t>
            </w:r>
            <w:proofErr w:type="spellStart"/>
            <w:r w:rsidRPr="000B42C2">
              <w:rPr>
                <w:sz w:val="24"/>
                <w:szCs w:val="24"/>
                <w:lang w:val="uk-UA" w:eastAsia="uk-UA"/>
              </w:rPr>
              <w:t>Капитан</w:t>
            </w:r>
            <w:proofErr w:type="spellEnd"/>
            <w:r w:rsidRPr="000B42C2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B42C2">
              <w:rPr>
                <w:sz w:val="24"/>
                <w:szCs w:val="24"/>
                <w:lang w:val="uk-UA" w:eastAsia="uk-UA"/>
              </w:rPr>
              <w:t>Гисич</w:t>
            </w:r>
            <w:proofErr w:type="spellEnd"/>
            <w:r w:rsidR="00786F1D">
              <w:rPr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786F1D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>6000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5122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85,4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3247</w:t>
            </w:r>
          </w:p>
        </w:tc>
      </w:tr>
      <w:tr w:rsidR="000B42C2" w:rsidRPr="000B42C2" w:rsidTr="00D51CEB">
        <w:trPr>
          <w:trHeight w:val="26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Капітальний ремонт залізничних ваг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64"/>
          <w:jc w:val="center"/>
        </w:trPr>
        <w:tc>
          <w:tcPr>
            <w:tcW w:w="6103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Капітальний ремонт грейферів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250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260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70367" w:rsidRPr="000B42C2" w:rsidRDefault="00490435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104,0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6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Капітальний ремонт автобусів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B42C2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6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Капітальний ремонт підкранових колій, з/д колій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1500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60"/>
          <w:jc w:val="center"/>
        </w:trPr>
        <w:tc>
          <w:tcPr>
            <w:tcW w:w="6103" w:type="dxa"/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Капітальний ремонт складських площадок 3 та 4 причалів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1000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0B42C2" w:rsidRPr="000B42C2" w:rsidTr="00D51CEB">
        <w:trPr>
          <w:trHeight w:val="26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67" w:rsidRPr="000B42C2" w:rsidRDefault="00E70367" w:rsidP="00E70367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Ремонт складських будівель порту, покрівлі складів, навісів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0B42C2">
              <w:rPr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786F1D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248</w:t>
            </w:r>
            <w:r w:rsidR="00D91DF9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7" w:rsidRPr="000B42C2" w:rsidRDefault="00E70367" w:rsidP="00E70367">
            <w:pPr>
              <w:ind w:right="27"/>
              <w:jc w:val="center"/>
              <w:rPr>
                <w:sz w:val="24"/>
                <w:szCs w:val="24"/>
                <w:lang w:val="uk-UA" w:eastAsia="uk-UA"/>
              </w:rPr>
            </w:pPr>
            <w:r w:rsidRPr="000B42C2">
              <w:rPr>
                <w:sz w:val="24"/>
                <w:szCs w:val="24"/>
                <w:lang w:val="uk-UA" w:eastAsia="uk-UA"/>
              </w:rPr>
              <w:t>2055</w:t>
            </w:r>
          </w:p>
        </w:tc>
      </w:tr>
    </w:tbl>
    <w:p w:rsidR="0045004E" w:rsidRDefault="0045004E" w:rsidP="00E90D63">
      <w:pPr>
        <w:spacing w:line="360" w:lineRule="exact"/>
        <w:ind w:right="282" w:firstLine="567"/>
        <w:jc w:val="both"/>
        <w:rPr>
          <w:sz w:val="26"/>
          <w:szCs w:val="26"/>
          <w:lang w:val="uk-UA"/>
        </w:rPr>
      </w:pP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 xml:space="preserve">План капітальних інвестицій виконаний на </w:t>
      </w:r>
      <w:r w:rsidR="00490435">
        <w:rPr>
          <w:sz w:val="26"/>
          <w:szCs w:val="26"/>
          <w:lang w:val="uk-UA"/>
        </w:rPr>
        <w:t>8</w:t>
      </w:r>
      <w:r w:rsidR="00D91DF9">
        <w:rPr>
          <w:sz w:val="26"/>
          <w:szCs w:val="26"/>
          <w:lang w:val="uk-UA"/>
        </w:rPr>
        <w:t>2,3</w:t>
      </w:r>
      <w:r w:rsidRPr="000B42C2">
        <w:rPr>
          <w:sz w:val="26"/>
          <w:szCs w:val="26"/>
          <w:lang w:val="uk-UA"/>
        </w:rPr>
        <w:t xml:space="preserve"> %. Часткове виконання плану з капітальних інвестицій відбулося з наступних причин: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Придбання ОЗ: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серверне обладнання, обчислювальна техніка – придбання відбувається за потребою;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9C37C6">
        <w:rPr>
          <w:sz w:val="26"/>
          <w:szCs w:val="26"/>
          <w:lang w:val="uk-UA"/>
        </w:rPr>
        <w:t xml:space="preserve">- залізобетонні панелі – </w:t>
      </w:r>
      <w:r w:rsidR="009C37C6" w:rsidRPr="009C37C6">
        <w:rPr>
          <w:sz w:val="26"/>
          <w:szCs w:val="26"/>
          <w:lang w:val="uk-UA"/>
        </w:rPr>
        <w:t>заключено договір № 236Т-2019 від 05.12.2019 на суму 3 085,0 тис. грн (з ПДВ), поставка товару очікується в період з грудня 2019 по квітень 2020 року</w:t>
      </w:r>
      <w:r w:rsidRPr="009C37C6">
        <w:rPr>
          <w:sz w:val="26"/>
          <w:szCs w:val="26"/>
          <w:lang w:val="uk-UA"/>
        </w:rPr>
        <w:t>.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Модернізація, модифікація основних засобів: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модернізація систем опалення будинків – у зв'язку з фінансово-економічним станом підприємства виконання вказаного пункту відкладено.</w:t>
      </w:r>
    </w:p>
    <w:p w:rsidR="00465D53" w:rsidRDefault="00E70367" w:rsidP="00465D53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Капітальний ремонт:</w:t>
      </w:r>
    </w:p>
    <w:p w:rsidR="004B4C90" w:rsidRDefault="004B4C90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капітальний ремонт портальних кранів –</w:t>
      </w:r>
      <w:r w:rsidR="006C10E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викон</w:t>
      </w:r>
      <w:r w:rsidR="006C10E6">
        <w:rPr>
          <w:sz w:val="26"/>
          <w:szCs w:val="26"/>
          <w:lang w:val="uk-UA"/>
        </w:rPr>
        <w:t>ано ремонт 5 портальних кранів, на ремонт ще трьох портальних кранів заключено договори на суму 1 323,5 тис. грн (без ПДВ)</w:t>
      </w:r>
      <w:r w:rsidR="00465D53">
        <w:rPr>
          <w:sz w:val="26"/>
          <w:szCs w:val="26"/>
          <w:lang w:val="uk-UA"/>
        </w:rPr>
        <w:t>;</w:t>
      </w:r>
    </w:p>
    <w:p w:rsidR="00465D53" w:rsidRPr="000B42C2" w:rsidRDefault="00465D53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утеплення фасаду та покрівлі будівель – здійснено роботи по 2-м об'єктам, замість утеплення 6-ти об'єктів</w:t>
      </w:r>
      <w:r w:rsidR="00CC4FFC">
        <w:rPr>
          <w:sz w:val="26"/>
          <w:szCs w:val="26"/>
          <w:lang w:val="uk-UA"/>
        </w:rPr>
        <w:t xml:space="preserve"> заключено договори на ремонт покрівельного </w:t>
      </w:r>
      <w:r w:rsidR="00CC4FFC">
        <w:rPr>
          <w:sz w:val="26"/>
          <w:szCs w:val="26"/>
          <w:lang w:val="uk-UA"/>
        </w:rPr>
        <w:lastRenderedPageBreak/>
        <w:t>покриття складів генеральних вантажів № 4 та № 6</w:t>
      </w:r>
      <w:r>
        <w:rPr>
          <w:sz w:val="26"/>
          <w:szCs w:val="26"/>
          <w:lang w:val="uk-UA"/>
        </w:rPr>
        <w:t xml:space="preserve"> </w:t>
      </w:r>
      <w:r w:rsidR="00CC4FFC">
        <w:rPr>
          <w:sz w:val="26"/>
          <w:szCs w:val="26"/>
          <w:lang w:val="uk-UA"/>
        </w:rPr>
        <w:t>на суму 6 993,6 тис. грн (без ПДВ);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капітальний ремонт складських площадок 3 та 4 причалів</w:t>
      </w:r>
      <w:r w:rsidR="00BB2CBE">
        <w:rPr>
          <w:sz w:val="26"/>
          <w:szCs w:val="26"/>
          <w:lang w:val="uk-UA"/>
        </w:rPr>
        <w:t>, залізничних ваг, прожекторних щогл</w:t>
      </w:r>
      <w:r w:rsidRPr="000B42C2">
        <w:rPr>
          <w:sz w:val="26"/>
          <w:szCs w:val="26"/>
          <w:lang w:val="uk-UA"/>
        </w:rPr>
        <w:t xml:space="preserve"> – у зв'язку з фінансово-економічним станом підприємства, виконання вказан</w:t>
      </w:r>
      <w:r w:rsidR="002D78CA">
        <w:rPr>
          <w:sz w:val="26"/>
          <w:szCs w:val="26"/>
          <w:lang w:val="uk-UA"/>
        </w:rPr>
        <w:t>их</w:t>
      </w:r>
      <w:r w:rsidRPr="000B42C2">
        <w:rPr>
          <w:sz w:val="26"/>
          <w:szCs w:val="26"/>
          <w:lang w:val="uk-UA"/>
        </w:rPr>
        <w:t xml:space="preserve"> пункт</w:t>
      </w:r>
      <w:r w:rsidR="002D78CA">
        <w:rPr>
          <w:sz w:val="26"/>
          <w:szCs w:val="26"/>
          <w:lang w:val="uk-UA"/>
        </w:rPr>
        <w:t>ів</w:t>
      </w:r>
      <w:r w:rsidRPr="000B42C2">
        <w:rPr>
          <w:sz w:val="26"/>
          <w:szCs w:val="26"/>
          <w:lang w:val="uk-UA"/>
        </w:rPr>
        <w:t xml:space="preserve"> відкладено;</w:t>
      </w:r>
    </w:p>
    <w:p w:rsidR="00E70367" w:rsidRPr="000B42C2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0B42C2">
        <w:rPr>
          <w:sz w:val="26"/>
          <w:szCs w:val="26"/>
          <w:lang w:val="uk-UA"/>
        </w:rPr>
        <w:t>- капітальний ремонт автобусів</w:t>
      </w:r>
      <w:r w:rsidR="00BB2CBE">
        <w:rPr>
          <w:sz w:val="26"/>
          <w:szCs w:val="26"/>
          <w:lang w:val="uk-UA"/>
        </w:rPr>
        <w:t>, підкранових колій, з/д колій</w:t>
      </w:r>
      <w:r w:rsidRPr="000B42C2">
        <w:rPr>
          <w:sz w:val="26"/>
          <w:szCs w:val="26"/>
          <w:lang w:val="uk-UA"/>
        </w:rPr>
        <w:t xml:space="preserve"> – </w:t>
      </w:r>
      <w:r w:rsidR="00BB2CBE">
        <w:rPr>
          <w:sz w:val="26"/>
          <w:szCs w:val="26"/>
          <w:lang w:val="uk-UA"/>
        </w:rPr>
        <w:t xml:space="preserve">закуповуються матеріали та виконується </w:t>
      </w:r>
      <w:r w:rsidRPr="000B42C2">
        <w:rPr>
          <w:sz w:val="26"/>
          <w:szCs w:val="26"/>
          <w:lang w:val="uk-UA"/>
        </w:rPr>
        <w:t>ремонт силами працівників підприємства.</w:t>
      </w:r>
    </w:p>
    <w:p w:rsidR="00E70367" w:rsidRPr="00E70367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E70367" w:rsidRPr="00E70367" w:rsidRDefault="00E70367" w:rsidP="00E70367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  <w:r w:rsidRPr="00E70367">
        <w:rPr>
          <w:sz w:val="26"/>
          <w:szCs w:val="26"/>
          <w:lang w:val="uk-UA"/>
        </w:rPr>
        <w:t>Плану з інвестиційних проектів на 2019 рік  підприємство не має.</w:t>
      </w:r>
    </w:p>
    <w:p w:rsidR="006F1238" w:rsidRPr="00526315" w:rsidRDefault="006F1238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801799" w:rsidRDefault="00801799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506FA3" w:rsidRDefault="00506FA3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506FA3" w:rsidRDefault="00506FA3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506FA3" w:rsidRDefault="00506FA3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102E34" w:rsidRPr="00526315" w:rsidRDefault="00102E34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1538FF" w:rsidRPr="005070DD" w:rsidRDefault="000B42C2" w:rsidP="000B42C2">
      <w:pPr>
        <w:pStyle w:val="a7"/>
        <w:spacing w:line="360" w:lineRule="exact"/>
        <w:ind w:left="142" w:firstLine="99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1538FF" w:rsidRPr="005070DD">
        <w:rPr>
          <w:sz w:val="26"/>
          <w:szCs w:val="26"/>
          <w:lang w:val="uk-UA"/>
        </w:rPr>
        <w:t xml:space="preserve">иректор </w:t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 w:rsidRPr="005070DD">
        <w:rPr>
          <w:sz w:val="26"/>
          <w:szCs w:val="26"/>
          <w:lang w:val="uk-UA"/>
        </w:rPr>
        <w:tab/>
      </w:r>
      <w:r w:rsidR="001538FF">
        <w:rPr>
          <w:sz w:val="26"/>
          <w:szCs w:val="26"/>
          <w:lang w:val="uk-UA"/>
        </w:rPr>
        <w:t xml:space="preserve">     </w:t>
      </w:r>
      <w:r w:rsidR="00337A3A">
        <w:rPr>
          <w:sz w:val="26"/>
          <w:szCs w:val="26"/>
          <w:lang w:val="uk-UA"/>
        </w:rPr>
        <w:t>Р.М. Олейник</w:t>
      </w:r>
      <w:r w:rsidR="001538FF" w:rsidRPr="005070DD">
        <w:rPr>
          <w:sz w:val="26"/>
          <w:szCs w:val="26"/>
          <w:lang w:val="uk-UA"/>
        </w:rPr>
        <w:t xml:space="preserve"> </w:t>
      </w:r>
    </w:p>
    <w:p w:rsidR="001C504E" w:rsidRDefault="001C504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1C504E" w:rsidRDefault="001C504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6F1238" w:rsidRDefault="006F1238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6F1238" w:rsidRDefault="006F1238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6F1238" w:rsidRDefault="006F1238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6F1238" w:rsidRDefault="006F1238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506FA3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A5B2E" w:rsidRDefault="005A5B2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506FA3" w:rsidRDefault="001538FF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  <w:bookmarkStart w:id="0" w:name="_GoBack"/>
      <w:bookmarkEnd w:id="0"/>
      <w:proofErr w:type="spellStart"/>
      <w:r w:rsidRPr="00927DC3">
        <w:rPr>
          <w:sz w:val="16"/>
          <w:szCs w:val="16"/>
          <w:lang w:val="uk-UA" w:eastAsia="uk-UA"/>
        </w:rPr>
        <w:t>Вик</w:t>
      </w:r>
      <w:proofErr w:type="spellEnd"/>
      <w:r w:rsidRPr="00927DC3">
        <w:rPr>
          <w:sz w:val="16"/>
          <w:szCs w:val="16"/>
          <w:lang w:val="uk-UA" w:eastAsia="uk-UA"/>
        </w:rPr>
        <w:t xml:space="preserve">.:  </w:t>
      </w:r>
      <w:r w:rsidR="000B42C2">
        <w:rPr>
          <w:sz w:val="16"/>
          <w:szCs w:val="16"/>
          <w:lang w:val="uk-UA" w:eastAsia="uk-UA"/>
        </w:rPr>
        <w:t>Штефан В.М.</w:t>
      </w:r>
    </w:p>
    <w:p w:rsidR="00631331" w:rsidRPr="000B42C2" w:rsidRDefault="001538FF" w:rsidP="005259D3">
      <w:pPr>
        <w:pStyle w:val="a7"/>
        <w:ind w:left="-142" w:right="284" w:firstLine="851"/>
        <w:jc w:val="both"/>
        <w:rPr>
          <w:sz w:val="16"/>
          <w:szCs w:val="16"/>
          <w:lang w:eastAsia="uk-UA"/>
        </w:rPr>
      </w:pPr>
      <w:r w:rsidRPr="00927DC3">
        <w:rPr>
          <w:sz w:val="16"/>
          <w:szCs w:val="16"/>
          <w:lang w:val="uk-UA" w:eastAsia="uk-UA"/>
        </w:rPr>
        <w:t xml:space="preserve">(0512) </w:t>
      </w:r>
      <w:r w:rsidR="00FE2AF4" w:rsidRPr="000B42C2">
        <w:rPr>
          <w:sz w:val="16"/>
          <w:szCs w:val="16"/>
          <w:lang w:eastAsia="uk-UA"/>
        </w:rPr>
        <w:t>77</w:t>
      </w:r>
      <w:r w:rsidRPr="00927DC3">
        <w:rPr>
          <w:sz w:val="16"/>
          <w:szCs w:val="16"/>
          <w:lang w:val="uk-UA" w:eastAsia="uk-UA"/>
        </w:rPr>
        <w:t>-</w:t>
      </w:r>
      <w:r w:rsidR="00FE2AF4" w:rsidRPr="000B42C2">
        <w:rPr>
          <w:sz w:val="16"/>
          <w:szCs w:val="16"/>
          <w:lang w:eastAsia="uk-UA"/>
        </w:rPr>
        <w:t>61</w:t>
      </w:r>
      <w:r w:rsidRPr="00927DC3">
        <w:rPr>
          <w:sz w:val="16"/>
          <w:szCs w:val="16"/>
          <w:lang w:val="uk-UA" w:eastAsia="uk-UA"/>
        </w:rPr>
        <w:t>-</w:t>
      </w:r>
      <w:r w:rsidR="00FE2AF4" w:rsidRPr="000B42C2">
        <w:rPr>
          <w:sz w:val="16"/>
          <w:szCs w:val="16"/>
          <w:lang w:eastAsia="uk-UA"/>
        </w:rPr>
        <w:t>21</w:t>
      </w:r>
    </w:p>
    <w:sectPr w:rsidR="00631331" w:rsidRPr="000B42C2" w:rsidSect="00E70367">
      <w:footerReference w:type="default" r:id="rId8"/>
      <w:pgSz w:w="11906" w:h="16838" w:code="9"/>
      <w:pgMar w:top="851" w:right="849" w:bottom="426" w:left="993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6E" w:rsidRDefault="00B7646E">
      <w:r>
        <w:separator/>
      </w:r>
    </w:p>
  </w:endnote>
  <w:endnote w:type="continuationSeparator" w:id="0">
    <w:p w:rsidR="00B7646E" w:rsidRDefault="00B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E" w:rsidRPr="00BC4FFE" w:rsidRDefault="00B7646E" w:rsidP="00BC4FFE">
    <w:pPr>
      <w:pStyle w:val="a5"/>
      <w:jc w:val="right"/>
      <w:rPr>
        <w:lang w:val="uk-UA"/>
      </w:rPr>
    </w:pPr>
    <w:r w:rsidRPr="00BC4FFE">
      <w:rPr>
        <w:sz w:val="22"/>
      </w:rPr>
      <w:fldChar w:fldCharType="begin"/>
    </w:r>
    <w:r w:rsidRPr="00BC4FFE">
      <w:rPr>
        <w:sz w:val="22"/>
      </w:rPr>
      <w:instrText>PAGE   \* MERGEFORMAT</w:instrText>
    </w:r>
    <w:r w:rsidRPr="00BC4FFE">
      <w:rPr>
        <w:sz w:val="22"/>
      </w:rPr>
      <w:fldChar w:fldCharType="separate"/>
    </w:r>
    <w:r w:rsidR="009151E9">
      <w:rPr>
        <w:noProof/>
        <w:sz w:val="22"/>
      </w:rPr>
      <w:t>16</w:t>
    </w:r>
    <w:r w:rsidRPr="00BC4FF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6E" w:rsidRDefault="00B7646E">
      <w:r>
        <w:separator/>
      </w:r>
    </w:p>
  </w:footnote>
  <w:footnote w:type="continuationSeparator" w:id="0">
    <w:p w:rsidR="00B7646E" w:rsidRDefault="00B7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3D"/>
    <w:multiLevelType w:val="hybridMultilevel"/>
    <w:tmpl w:val="342CF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A62"/>
    <w:multiLevelType w:val="hybridMultilevel"/>
    <w:tmpl w:val="E6B661FE"/>
    <w:lvl w:ilvl="0" w:tplc="7A4E69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FEF"/>
    <w:multiLevelType w:val="singleLevel"/>
    <w:tmpl w:val="4CA2353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0E3E1934"/>
    <w:multiLevelType w:val="hybridMultilevel"/>
    <w:tmpl w:val="116CB75C"/>
    <w:lvl w:ilvl="0" w:tplc="B80891BA">
      <w:start w:val="5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4" w15:restartNumberingAfterBreak="0">
    <w:nsid w:val="12766032"/>
    <w:multiLevelType w:val="multilevel"/>
    <w:tmpl w:val="0B949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FA35643"/>
    <w:multiLevelType w:val="hybridMultilevel"/>
    <w:tmpl w:val="08A88ABC"/>
    <w:lvl w:ilvl="0" w:tplc="2B9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E9228A"/>
    <w:multiLevelType w:val="hybridMultilevel"/>
    <w:tmpl w:val="5CC2DD32"/>
    <w:lvl w:ilvl="0" w:tplc="1E30A02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</w:abstractNum>
  <w:abstractNum w:abstractNumId="7" w15:restartNumberingAfterBreak="0">
    <w:nsid w:val="24935509"/>
    <w:multiLevelType w:val="multilevel"/>
    <w:tmpl w:val="6010CB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8" w15:restartNumberingAfterBreak="0">
    <w:nsid w:val="26E44572"/>
    <w:multiLevelType w:val="hybridMultilevel"/>
    <w:tmpl w:val="B650D186"/>
    <w:lvl w:ilvl="0" w:tplc="1E30A026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2B9ED826">
      <w:start w:val="1"/>
      <w:numFmt w:val="bullet"/>
      <w:lvlText w:val=""/>
      <w:lvlJc w:val="left"/>
      <w:pPr>
        <w:ind w:left="408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92641D4"/>
    <w:multiLevelType w:val="hybridMultilevel"/>
    <w:tmpl w:val="7AF4824C"/>
    <w:lvl w:ilvl="0" w:tplc="033EC202">
      <w:start w:val="6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1" w:hanging="360"/>
      </w:pPr>
    </w:lvl>
    <w:lvl w:ilvl="2" w:tplc="0422001B" w:tentative="1">
      <w:start w:val="1"/>
      <w:numFmt w:val="lowerRoman"/>
      <w:lvlText w:val="%3."/>
      <w:lvlJc w:val="right"/>
      <w:pPr>
        <w:ind w:left="3241" w:hanging="180"/>
      </w:pPr>
    </w:lvl>
    <w:lvl w:ilvl="3" w:tplc="0422000F" w:tentative="1">
      <w:start w:val="1"/>
      <w:numFmt w:val="decimal"/>
      <w:lvlText w:val="%4."/>
      <w:lvlJc w:val="left"/>
      <w:pPr>
        <w:ind w:left="3961" w:hanging="360"/>
      </w:pPr>
    </w:lvl>
    <w:lvl w:ilvl="4" w:tplc="04220019" w:tentative="1">
      <w:start w:val="1"/>
      <w:numFmt w:val="lowerLetter"/>
      <w:lvlText w:val="%5."/>
      <w:lvlJc w:val="left"/>
      <w:pPr>
        <w:ind w:left="4681" w:hanging="360"/>
      </w:pPr>
    </w:lvl>
    <w:lvl w:ilvl="5" w:tplc="0422001B" w:tentative="1">
      <w:start w:val="1"/>
      <w:numFmt w:val="lowerRoman"/>
      <w:lvlText w:val="%6."/>
      <w:lvlJc w:val="right"/>
      <w:pPr>
        <w:ind w:left="5401" w:hanging="180"/>
      </w:pPr>
    </w:lvl>
    <w:lvl w:ilvl="6" w:tplc="0422000F" w:tentative="1">
      <w:start w:val="1"/>
      <w:numFmt w:val="decimal"/>
      <w:lvlText w:val="%7."/>
      <w:lvlJc w:val="left"/>
      <w:pPr>
        <w:ind w:left="6121" w:hanging="360"/>
      </w:pPr>
    </w:lvl>
    <w:lvl w:ilvl="7" w:tplc="04220019" w:tentative="1">
      <w:start w:val="1"/>
      <w:numFmt w:val="lowerLetter"/>
      <w:lvlText w:val="%8."/>
      <w:lvlJc w:val="left"/>
      <w:pPr>
        <w:ind w:left="6841" w:hanging="360"/>
      </w:pPr>
    </w:lvl>
    <w:lvl w:ilvl="8" w:tplc="0422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0" w15:restartNumberingAfterBreak="0">
    <w:nsid w:val="2A8E459C"/>
    <w:multiLevelType w:val="hybridMultilevel"/>
    <w:tmpl w:val="DCA2B158"/>
    <w:lvl w:ilvl="0" w:tplc="D500F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A56C21"/>
    <w:multiLevelType w:val="multilevel"/>
    <w:tmpl w:val="10481F5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141F2"/>
    <w:multiLevelType w:val="hybridMultilevel"/>
    <w:tmpl w:val="6CC2C28A"/>
    <w:lvl w:ilvl="0" w:tplc="10C4735E">
      <w:start w:val="4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BA5210"/>
    <w:multiLevelType w:val="hybridMultilevel"/>
    <w:tmpl w:val="892A8614"/>
    <w:lvl w:ilvl="0" w:tplc="998C3772">
      <w:start w:val="6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B0F"/>
    <w:multiLevelType w:val="hybridMultilevel"/>
    <w:tmpl w:val="61DCA796"/>
    <w:lvl w:ilvl="0" w:tplc="7FE2A7E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15" w15:restartNumberingAfterBreak="0">
    <w:nsid w:val="587F3FD0"/>
    <w:multiLevelType w:val="multilevel"/>
    <w:tmpl w:val="919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CF7440"/>
    <w:multiLevelType w:val="hybridMultilevel"/>
    <w:tmpl w:val="32D6CAEE"/>
    <w:lvl w:ilvl="0" w:tplc="FC0AA882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7" w15:restartNumberingAfterBreak="0">
    <w:nsid w:val="6217695B"/>
    <w:multiLevelType w:val="hybridMultilevel"/>
    <w:tmpl w:val="7A881CC0"/>
    <w:lvl w:ilvl="0" w:tplc="D186B8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CB52E54"/>
    <w:multiLevelType w:val="hybridMultilevel"/>
    <w:tmpl w:val="4F4C99AA"/>
    <w:lvl w:ilvl="0" w:tplc="DF86D6AE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 w15:restartNumberingAfterBreak="0">
    <w:nsid w:val="73955BCB"/>
    <w:multiLevelType w:val="hybridMultilevel"/>
    <w:tmpl w:val="620AA336"/>
    <w:lvl w:ilvl="0" w:tplc="5CCA224E">
      <w:start w:val="8"/>
      <w:numFmt w:val="decimal"/>
      <w:lvlText w:val="%1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20" w15:restartNumberingAfterBreak="0">
    <w:nsid w:val="7C2F739E"/>
    <w:multiLevelType w:val="hybridMultilevel"/>
    <w:tmpl w:val="AB94D3C2"/>
    <w:lvl w:ilvl="0" w:tplc="2B9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6"/>
  </w:num>
  <w:num w:numId="5">
    <w:abstractNumId w:val="11"/>
  </w:num>
  <w:num w:numId="6">
    <w:abstractNumId w:val="3"/>
  </w:num>
  <w:num w:numId="7">
    <w:abstractNumId w:val="19"/>
  </w:num>
  <w:num w:numId="8">
    <w:abstractNumId w:val="18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5"/>
  </w:num>
  <w:num w:numId="17">
    <w:abstractNumId w:val="20"/>
  </w:num>
  <w:num w:numId="18">
    <w:abstractNumId w:val="8"/>
  </w:num>
  <w:num w:numId="19">
    <w:abstractNumId w:val="1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B"/>
    <w:rsid w:val="0000139A"/>
    <w:rsid w:val="00001DC7"/>
    <w:rsid w:val="00001DCC"/>
    <w:rsid w:val="00002D8E"/>
    <w:rsid w:val="00003315"/>
    <w:rsid w:val="0000344B"/>
    <w:rsid w:val="00004AA8"/>
    <w:rsid w:val="00005783"/>
    <w:rsid w:val="000063DE"/>
    <w:rsid w:val="000063F1"/>
    <w:rsid w:val="000064E0"/>
    <w:rsid w:val="000064EA"/>
    <w:rsid w:val="00007760"/>
    <w:rsid w:val="00010FBE"/>
    <w:rsid w:val="000113E7"/>
    <w:rsid w:val="0001187A"/>
    <w:rsid w:val="000119C2"/>
    <w:rsid w:val="00011E46"/>
    <w:rsid w:val="00011F07"/>
    <w:rsid w:val="00015B32"/>
    <w:rsid w:val="00015C75"/>
    <w:rsid w:val="00016130"/>
    <w:rsid w:val="000162A3"/>
    <w:rsid w:val="00017CE0"/>
    <w:rsid w:val="000200A0"/>
    <w:rsid w:val="0002081D"/>
    <w:rsid w:val="000215E6"/>
    <w:rsid w:val="00021E2B"/>
    <w:rsid w:val="00022DC9"/>
    <w:rsid w:val="00022E6F"/>
    <w:rsid w:val="00023026"/>
    <w:rsid w:val="000235AB"/>
    <w:rsid w:val="00023D32"/>
    <w:rsid w:val="00023D76"/>
    <w:rsid w:val="00023E0D"/>
    <w:rsid w:val="000241FA"/>
    <w:rsid w:val="000242B6"/>
    <w:rsid w:val="00024434"/>
    <w:rsid w:val="00024807"/>
    <w:rsid w:val="000255E4"/>
    <w:rsid w:val="00025926"/>
    <w:rsid w:val="00025F21"/>
    <w:rsid w:val="00026160"/>
    <w:rsid w:val="00033048"/>
    <w:rsid w:val="00033D18"/>
    <w:rsid w:val="00033D7A"/>
    <w:rsid w:val="00033D8D"/>
    <w:rsid w:val="0003431A"/>
    <w:rsid w:val="00034AC4"/>
    <w:rsid w:val="00034E3E"/>
    <w:rsid w:val="00036443"/>
    <w:rsid w:val="00036ECE"/>
    <w:rsid w:val="00040484"/>
    <w:rsid w:val="000409D3"/>
    <w:rsid w:val="00041014"/>
    <w:rsid w:val="000414C3"/>
    <w:rsid w:val="00042752"/>
    <w:rsid w:val="00042ED6"/>
    <w:rsid w:val="00043114"/>
    <w:rsid w:val="00043143"/>
    <w:rsid w:val="0004349E"/>
    <w:rsid w:val="00043CAF"/>
    <w:rsid w:val="0004443E"/>
    <w:rsid w:val="0004465B"/>
    <w:rsid w:val="0004481D"/>
    <w:rsid w:val="00044F97"/>
    <w:rsid w:val="0004548C"/>
    <w:rsid w:val="00046A32"/>
    <w:rsid w:val="00046B43"/>
    <w:rsid w:val="000470CB"/>
    <w:rsid w:val="00050B35"/>
    <w:rsid w:val="000522B6"/>
    <w:rsid w:val="00052368"/>
    <w:rsid w:val="00052894"/>
    <w:rsid w:val="00054586"/>
    <w:rsid w:val="0005521F"/>
    <w:rsid w:val="00055483"/>
    <w:rsid w:val="00055DD6"/>
    <w:rsid w:val="000561A6"/>
    <w:rsid w:val="00056881"/>
    <w:rsid w:val="00056C64"/>
    <w:rsid w:val="00057207"/>
    <w:rsid w:val="00060079"/>
    <w:rsid w:val="000600F1"/>
    <w:rsid w:val="000604E2"/>
    <w:rsid w:val="00062D2A"/>
    <w:rsid w:val="00063477"/>
    <w:rsid w:val="00063990"/>
    <w:rsid w:val="000639EB"/>
    <w:rsid w:val="00063AF5"/>
    <w:rsid w:val="00063B19"/>
    <w:rsid w:val="00064089"/>
    <w:rsid w:val="000649D3"/>
    <w:rsid w:val="00066F33"/>
    <w:rsid w:val="00066FB3"/>
    <w:rsid w:val="00070389"/>
    <w:rsid w:val="00070A58"/>
    <w:rsid w:val="00071A71"/>
    <w:rsid w:val="000728AA"/>
    <w:rsid w:val="00073376"/>
    <w:rsid w:val="00073635"/>
    <w:rsid w:val="00073DED"/>
    <w:rsid w:val="00074130"/>
    <w:rsid w:val="000747BF"/>
    <w:rsid w:val="00074D9F"/>
    <w:rsid w:val="00074F0C"/>
    <w:rsid w:val="00075B98"/>
    <w:rsid w:val="00075BDB"/>
    <w:rsid w:val="00077514"/>
    <w:rsid w:val="00077814"/>
    <w:rsid w:val="00077968"/>
    <w:rsid w:val="00077FF7"/>
    <w:rsid w:val="00080182"/>
    <w:rsid w:val="0008038E"/>
    <w:rsid w:val="000806B1"/>
    <w:rsid w:val="000807DC"/>
    <w:rsid w:val="00080A28"/>
    <w:rsid w:val="00081157"/>
    <w:rsid w:val="00081968"/>
    <w:rsid w:val="00083E49"/>
    <w:rsid w:val="00083FED"/>
    <w:rsid w:val="0008620D"/>
    <w:rsid w:val="00086A1E"/>
    <w:rsid w:val="00086EA1"/>
    <w:rsid w:val="00086F7F"/>
    <w:rsid w:val="000870CA"/>
    <w:rsid w:val="00090E08"/>
    <w:rsid w:val="00091426"/>
    <w:rsid w:val="000922E7"/>
    <w:rsid w:val="000926C5"/>
    <w:rsid w:val="00092E40"/>
    <w:rsid w:val="0009422C"/>
    <w:rsid w:val="00094258"/>
    <w:rsid w:val="000957A3"/>
    <w:rsid w:val="0009654E"/>
    <w:rsid w:val="000A08CE"/>
    <w:rsid w:val="000A09EC"/>
    <w:rsid w:val="000A0A55"/>
    <w:rsid w:val="000A0C90"/>
    <w:rsid w:val="000A1345"/>
    <w:rsid w:val="000A18B6"/>
    <w:rsid w:val="000A1BAC"/>
    <w:rsid w:val="000A303E"/>
    <w:rsid w:val="000A3315"/>
    <w:rsid w:val="000A40EC"/>
    <w:rsid w:val="000A4714"/>
    <w:rsid w:val="000A478D"/>
    <w:rsid w:val="000A490B"/>
    <w:rsid w:val="000A4A09"/>
    <w:rsid w:val="000A4AE8"/>
    <w:rsid w:val="000A521F"/>
    <w:rsid w:val="000A5390"/>
    <w:rsid w:val="000B05A5"/>
    <w:rsid w:val="000B0923"/>
    <w:rsid w:val="000B0FA9"/>
    <w:rsid w:val="000B30B2"/>
    <w:rsid w:val="000B42C2"/>
    <w:rsid w:val="000B4534"/>
    <w:rsid w:val="000B455B"/>
    <w:rsid w:val="000B4648"/>
    <w:rsid w:val="000B49CB"/>
    <w:rsid w:val="000B50EF"/>
    <w:rsid w:val="000B550A"/>
    <w:rsid w:val="000B5580"/>
    <w:rsid w:val="000B65AF"/>
    <w:rsid w:val="000B6817"/>
    <w:rsid w:val="000B70CD"/>
    <w:rsid w:val="000B7D0F"/>
    <w:rsid w:val="000C00C1"/>
    <w:rsid w:val="000C3ADC"/>
    <w:rsid w:val="000C3C55"/>
    <w:rsid w:val="000C4AA3"/>
    <w:rsid w:val="000C5002"/>
    <w:rsid w:val="000C548B"/>
    <w:rsid w:val="000C583D"/>
    <w:rsid w:val="000C5B05"/>
    <w:rsid w:val="000C6212"/>
    <w:rsid w:val="000C6D66"/>
    <w:rsid w:val="000C73E3"/>
    <w:rsid w:val="000D012C"/>
    <w:rsid w:val="000D01E2"/>
    <w:rsid w:val="000D056D"/>
    <w:rsid w:val="000D1022"/>
    <w:rsid w:val="000D1782"/>
    <w:rsid w:val="000D185E"/>
    <w:rsid w:val="000D24FC"/>
    <w:rsid w:val="000D2557"/>
    <w:rsid w:val="000D2C59"/>
    <w:rsid w:val="000D3055"/>
    <w:rsid w:val="000D360F"/>
    <w:rsid w:val="000D3711"/>
    <w:rsid w:val="000D3D52"/>
    <w:rsid w:val="000D4680"/>
    <w:rsid w:val="000D4780"/>
    <w:rsid w:val="000D5085"/>
    <w:rsid w:val="000D57B6"/>
    <w:rsid w:val="000D5E32"/>
    <w:rsid w:val="000D6BE3"/>
    <w:rsid w:val="000D6CCE"/>
    <w:rsid w:val="000E080A"/>
    <w:rsid w:val="000E0ADC"/>
    <w:rsid w:val="000E123D"/>
    <w:rsid w:val="000E2050"/>
    <w:rsid w:val="000E2D11"/>
    <w:rsid w:val="000E2D6F"/>
    <w:rsid w:val="000E2F19"/>
    <w:rsid w:val="000E55BF"/>
    <w:rsid w:val="000E5660"/>
    <w:rsid w:val="000E609B"/>
    <w:rsid w:val="000E66A4"/>
    <w:rsid w:val="000E7930"/>
    <w:rsid w:val="000E7DC5"/>
    <w:rsid w:val="000F0981"/>
    <w:rsid w:val="000F170C"/>
    <w:rsid w:val="000F2EB9"/>
    <w:rsid w:val="000F35D3"/>
    <w:rsid w:val="000F37FD"/>
    <w:rsid w:val="000F3913"/>
    <w:rsid w:val="000F3953"/>
    <w:rsid w:val="000F4B77"/>
    <w:rsid w:val="000F5B12"/>
    <w:rsid w:val="000F65AD"/>
    <w:rsid w:val="000F6B03"/>
    <w:rsid w:val="000F70E9"/>
    <w:rsid w:val="000F77E6"/>
    <w:rsid w:val="000F7CE7"/>
    <w:rsid w:val="001000AE"/>
    <w:rsid w:val="00100A14"/>
    <w:rsid w:val="0010105B"/>
    <w:rsid w:val="00101ECB"/>
    <w:rsid w:val="001024D7"/>
    <w:rsid w:val="00102E34"/>
    <w:rsid w:val="00103694"/>
    <w:rsid w:val="001048F0"/>
    <w:rsid w:val="00106045"/>
    <w:rsid w:val="00106F26"/>
    <w:rsid w:val="001071F9"/>
    <w:rsid w:val="00107460"/>
    <w:rsid w:val="00107A54"/>
    <w:rsid w:val="00110336"/>
    <w:rsid w:val="001110C6"/>
    <w:rsid w:val="00112515"/>
    <w:rsid w:val="001125E4"/>
    <w:rsid w:val="0011391E"/>
    <w:rsid w:val="00114363"/>
    <w:rsid w:val="00114DC3"/>
    <w:rsid w:val="00115D8B"/>
    <w:rsid w:val="00116508"/>
    <w:rsid w:val="0012079D"/>
    <w:rsid w:val="0012136C"/>
    <w:rsid w:val="00121A65"/>
    <w:rsid w:val="00121B38"/>
    <w:rsid w:val="00122943"/>
    <w:rsid w:val="001230C6"/>
    <w:rsid w:val="001230FC"/>
    <w:rsid w:val="001235C9"/>
    <w:rsid w:val="00123B46"/>
    <w:rsid w:val="0012450F"/>
    <w:rsid w:val="00124849"/>
    <w:rsid w:val="00124A22"/>
    <w:rsid w:val="00125BD8"/>
    <w:rsid w:val="001264CA"/>
    <w:rsid w:val="00126B96"/>
    <w:rsid w:val="00126D47"/>
    <w:rsid w:val="00127021"/>
    <w:rsid w:val="0012711E"/>
    <w:rsid w:val="00127277"/>
    <w:rsid w:val="00127362"/>
    <w:rsid w:val="001274F6"/>
    <w:rsid w:val="00127604"/>
    <w:rsid w:val="00131768"/>
    <w:rsid w:val="00131DD3"/>
    <w:rsid w:val="0013214B"/>
    <w:rsid w:val="001324E9"/>
    <w:rsid w:val="00133784"/>
    <w:rsid w:val="00133812"/>
    <w:rsid w:val="00133A89"/>
    <w:rsid w:val="00133EE7"/>
    <w:rsid w:val="00134BC9"/>
    <w:rsid w:val="00134C07"/>
    <w:rsid w:val="001351DF"/>
    <w:rsid w:val="001356B3"/>
    <w:rsid w:val="00136098"/>
    <w:rsid w:val="001367A5"/>
    <w:rsid w:val="00136FA9"/>
    <w:rsid w:val="001376B8"/>
    <w:rsid w:val="00140089"/>
    <w:rsid w:val="00140100"/>
    <w:rsid w:val="00140458"/>
    <w:rsid w:val="00141C28"/>
    <w:rsid w:val="001435EF"/>
    <w:rsid w:val="00143B02"/>
    <w:rsid w:val="00143C6E"/>
    <w:rsid w:val="00144689"/>
    <w:rsid w:val="00144D93"/>
    <w:rsid w:val="00146E73"/>
    <w:rsid w:val="00147F7F"/>
    <w:rsid w:val="001500F6"/>
    <w:rsid w:val="001504E6"/>
    <w:rsid w:val="001515C9"/>
    <w:rsid w:val="00151E04"/>
    <w:rsid w:val="001527F4"/>
    <w:rsid w:val="00153499"/>
    <w:rsid w:val="001538FF"/>
    <w:rsid w:val="00154368"/>
    <w:rsid w:val="0015437B"/>
    <w:rsid w:val="00155004"/>
    <w:rsid w:val="0015596F"/>
    <w:rsid w:val="001560D9"/>
    <w:rsid w:val="00156826"/>
    <w:rsid w:val="001570FB"/>
    <w:rsid w:val="00160166"/>
    <w:rsid w:val="001601CD"/>
    <w:rsid w:val="0016103A"/>
    <w:rsid w:val="00161262"/>
    <w:rsid w:val="00162061"/>
    <w:rsid w:val="00162FF1"/>
    <w:rsid w:val="001639BC"/>
    <w:rsid w:val="001643A9"/>
    <w:rsid w:val="00164803"/>
    <w:rsid w:val="0016627E"/>
    <w:rsid w:val="001667C1"/>
    <w:rsid w:val="0017016F"/>
    <w:rsid w:val="0017094B"/>
    <w:rsid w:val="00170CD8"/>
    <w:rsid w:val="0017116F"/>
    <w:rsid w:val="00172B66"/>
    <w:rsid w:val="001730DB"/>
    <w:rsid w:val="00173823"/>
    <w:rsid w:val="00174BAA"/>
    <w:rsid w:val="0017577B"/>
    <w:rsid w:val="00175927"/>
    <w:rsid w:val="00176770"/>
    <w:rsid w:val="0017715D"/>
    <w:rsid w:val="00177207"/>
    <w:rsid w:val="00177A6B"/>
    <w:rsid w:val="001811D4"/>
    <w:rsid w:val="00181340"/>
    <w:rsid w:val="0018161A"/>
    <w:rsid w:val="001851E9"/>
    <w:rsid w:val="001853E4"/>
    <w:rsid w:val="001856CB"/>
    <w:rsid w:val="00186114"/>
    <w:rsid w:val="001866B8"/>
    <w:rsid w:val="00187487"/>
    <w:rsid w:val="0018750B"/>
    <w:rsid w:val="00191A39"/>
    <w:rsid w:val="00192158"/>
    <w:rsid w:val="00192B65"/>
    <w:rsid w:val="00193A81"/>
    <w:rsid w:val="001945DF"/>
    <w:rsid w:val="001949FE"/>
    <w:rsid w:val="001956C4"/>
    <w:rsid w:val="00195C4E"/>
    <w:rsid w:val="00196770"/>
    <w:rsid w:val="0019687C"/>
    <w:rsid w:val="00196D03"/>
    <w:rsid w:val="00196D95"/>
    <w:rsid w:val="00197BB8"/>
    <w:rsid w:val="001A0575"/>
    <w:rsid w:val="001A05B7"/>
    <w:rsid w:val="001A08B2"/>
    <w:rsid w:val="001A0A92"/>
    <w:rsid w:val="001A0FF7"/>
    <w:rsid w:val="001A265F"/>
    <w:rsid w:val="001A30DB"/>
    <w:rsid w:val="001A3720"/>
    <w:rsid w:val="001A3B2F"/>
    <w:rsid w:val="001A49AA"/>
    <w:rsid w:val="001A4C51"/>
    <w:rsid w:val="001A5098"/>
    <w:rsid w:val="001A55B7"/>
    <w:rsid w:val="001A60B8"/>
    <w:rsid w:val="001A676F"/>
    <w:rsid w:val="001A6C11"/>
    <w:rsid w:val="001A7E30"/>
    <w:rsid w:val="001B02E1"/>
    <w:rsid w:val="001B164A"/>
    <w:rsid w:val="001B1AFE"/>
    <w:rsid w:val="001B1F8F"/>
    <w:rsid w:val="001B2CEC"/>
    <w:rsid w:val="001B347D"/>
    <w:rsid w:val="001B388B"/>
    <w:rsid w:val="001B3A3C"/>
    <w:rsid w:val="001B3BD6"/>
    <w:rsid w:val="001B3CD2"/>
    <w:rsid w:val="001B45A8"/>
    <w:rsid w:val="001B4AE6"/>
    <w:rsid w:val="001B68E9"/>
    <w:rsid w:val="001B74A4"/>
    <w:rsid w:val="001B7C37"/>
    <w:rsid w:val="001C2101"/>
    <w:rsid w:val="001C25D4"/>
    <w:rsid w:val="001C2C84"/>
    <w:rsid w:val="001C3A30"/>
    <w:rsid w:val="001C4DD4"/>
    <w:rsid w:val="001C4F20"/>
    <w:rsid w:val="001C504E"/>
    <w:rsid w:val="001C5826"/>
    <w:rsid w:val="001C5B97"/>
    <w:rsid w:val="001C68A8"/>
    <w:rsid w:val="001C7CBB"/>
    <w:rsid w:val="001D0433"/>
    <w:rsid w:val="001D115E"/>
    <w:rsid w:val="001D1480"/>
    <w:rsid w:val="001D1DB0"/>
    <w:rsid w:val="001D1EB2"/>
    <w:rsid w:val="001D1FA9"/>
    <w:rsid w:val="001D34DC"/>
    <w:rsid w:val="001D3F2F"/>
    <w:rsid w:val="001D45C1"/>
    <w:rsid w:val="001D5EE7"/>
    <w:rsid w:val="001D6AAD"/>
    <w:rsid w:val="001E0BF6"/>
    <w:rsid w:val="001E0CE3"/>
    <w:rsid w:val="001E1B03"/>
    <w:rsid w:val="001E344A"/>
    <w:rsid w:val="001E47A1"/>
    <w:rsid w:val="001E586F"/>
    <w:rsid w:val="001E639F"/>
    <w:rsid w:val="001E676A"/>
    <w:rsid w:val="001E6E13"/>
    <w:rsid w:val="001E7427"/>
    <w:rsid w:val="001E7597"/>
    <w:rsid w:val="001E775D"/>
    <w:rsid w:val="001E7B71"/>
    <w:rsid w:val="001F01CE"/>
    <w:rsid w:val="001F0632"/>
    <w:rsid w:val="001F0877"/>
    <w:rsid w:val="001F0893"/>
    <w:rsid w:val="001F1D36"/>
    <w:rsid w:val="001F3C78"/>
    <w:rsid w:val="001F47A1"/>
    <w:rsid w:val="001F481C"/>
    <w:rsid w:val="001F4A3A"/>
    <w:rsid w:val="001F4EB8"/>
    <w:rsid w:val="001F5319"/>
    <w:rsid w:val="001F57DE"/>
    <w:rsid w:val="001F60E7"/>
    <w:rsid w:val="001F6520"/>
    <w:rsid w:val="001F724F"/>
    <w:rsid w:val="002004AE"/>
    <w:rsid w:val="00203909"/>
    <w:rsid w:val="00203BD6"/>
    <w:rsid w:val="00203DC7"/>
    <w:rsid w:val="002047D2"/>
    <w:rsid w:val="00205C3E"/>
    <w:rsid w:val="00206818"/>
    <w:rsid w:val="00206BFA"/>
    <w:rsid w:val="002071F6"/>
    <w:rsid w:val="00207BCC"/>
    <w:rsid w:val="00210458"/>
    <w:rsid w:val="00211527"/>
    <w:rsid w:val="002117C6"/>
    <w:rsid w:val="0021182B"/>
    <w:rsid w:val="00212B61"/>
    <w:rsid w:val="00213379"/>
    <w:rsid w:val="002144A1"/>
    <w:rsid w:val="00214D90"/>
    <w:rsid w:val="00214F09"/>
    <w:rsid w:val="002179DC"/>
    <w:rsid w:val="002202C1"/>
    <w:rsid w:val="00220702"/>
    <w:rsid w:val="0022107E"/>
    <w:rsid w:val="00221F5D"/>
    <w:rsid w:val="00222251"/>
    <w:rsid w:val="002226C0"/>
    <w:rsid w:val="00222851"/>
    <w:rsid w:val="00224632"/>
    <w:rsid w:val="00224A0D"/>
    <w:rsid w:val="00226E4B"/>
    <w:rsid w:val="00230568"/>
    <w:rsid w:val="00234126"/>
    <w:rsid w:val="00237488"/>
    <w:rsid w:val="0023781C"/>
    <w:rsid w:val="00240AC1"/>
    <w:rsid w:val="00240F12"/>
    <w:rsid w:val="00241151"/>
    <w:rsid w:val="00241AB5"/>
    <w:rsid w:val="00242A44"/>
    <w:rsid w:val="002433F9"/>
    <w:rsid w:val="002449A2"/>
    <w:rsid w:val="00245ACF"/>
    <w:rsid w:val="00246292"/>
    <w:rsid w:val="00246416"/>
    <w:rsid w:val="00246F62"/>
    <w:rsid w:val="002477D6"/>
    <w:rsid w:val="00250321"/>
    <w:rsid w:val="0025206E"/>
    <w:rsid w:val="002521FD"/>
    <w:rsid w:val="002524C4"/>
    <w:rsid w:val="00252AB5"/>
    <w:rsid w:val="002532C6"/>
    <w:rsid w:val="002547EE"/>
    <w:rsid w:val="0025562A"/>
    <w:rsid w:val="002562A0"/>
    <w:rsid w:val="00257589"/>
    <w:rsid w:val="00257BF4"/>
    <w:rsid w:val="002605E9"/>
    <w:rsid w:val="00261894"/>
    <w:rsid w:val="00261A14"/>
    <w:rsid w:val="002624C5"/>
    <w:rsid w:val="0026304F"/>
    <w:rsid w:val="00264D98"/>
    <w:rsid w:val="00266E6B"/>
    <w:rsid w:val="00266EC6"/>
    <w:rsid w:val="002670EC"/>
    <w:rsid w:val="00270F08"/>
    <w:rsid w:val="002711D7"/>
    <w:rsid w:val="00271AEB"/>
    <w:rsid w:val="00271C7C"/>
    <w:rsid w:val="0027223F"/>
    <w:rsid w:val="002725E0"/>
    <w:rsid w:val="002733AA"/>
    <w:rsid w:val="002735DD"/>
    <w:rsid w:val="00273FE0"/>
    <w:rsid w:val="00274B2F"/>
    <w:rsid w:val="00274E67"/>
    <w:rsid w:val="00275459"/>
    <w:rsid w:val="00275A0B"/>
    <w:rsid w:val="002771FB"/>
    <w:rsid w:val="00277242"/>
    <w:rsid w:val="00277DFC"/>
    <w:rsid w:val="00280F07"/>
    <w:rsid w:val="002819CD"/>
    <w:rsid w:val="00281F08"/>
    <w:rsid w:val="00282846"/>
    <w:rsid w:val="00283F81"/>
    <w:rsid w:val="00284653"/>
    <w:rsid w:val="002846B2"/>
    <w:rsid w:val="002848D0"/>
    <w:rsid w:val="00285451"/>
    <w:rsid w:val="00285681"/>
    <w:rsid w:val="00285C97"/>
    <w:rsid w:val="00285D69"/>
    <w:rsid w:val="00285E0F"/>
    <w:rsid w:val="002865D8"/>
    <w:rsid w:val="00286CCD"/>
    <w:rsid w:val="00287694"/>
    <w:rsid w:val="00290594"/>
    <w:rsid w:val="002920C6"/>
    <w:rsid w:val="00292767"/>
    <w:rsid w:val="00292831"/>
    <w:rsid w:val="0029383D"/>
    <w:rsid w:val="002948CA"/>
    <w:rsid w:val="00294ABE"/>
    <w:rsid w:val="00294FDF"/>
    <w:rsid w:val="00296A07"/>
    <w:rsid w:val="00296A74"/>
    <w:rsid w:val="00296F0E"/>
    <w:rsid w:val="0029706B"/>
    <w:rsid w:val="002973FD"/>
    <w:rsid w:val="00297AD0"/>
    <w:rsid w:val="002A0325"/>
    <w:rsid w:val="002A06BE"/>
    <w:rsid w:val="002A0A00"/>
    <w:rsid w:val="002A0AF4"/>
    <w:rsid w:val="002A1B9B"/>
    <w:rsid w:val="002A1F6D"/>
    <w:rsid w:val="002A2941"/>
    <w:rsid w:val="002A2AB1"/>
    <w:rsid w:val="002A2E92"/>
    <w:rsid w:val="002A39F6"/>
    <w:rsid w:val="002A461D"/>
    <w:rsid w:val="002A557D"/>
    <w:rsid w:val="002A680B"/>
    <w:rsid w:val="002A6F6C"/>
    <w:rsid w:val="002A757B"/>
    <w:rsid w:val="002A7815"/>
    <w:rsid w:val="002A7EB3"/>
    <w:rsid w:val="002A7EE7"/>
    <w:rsid w:val="002B0BB5"/>
    <w:rsid w:val="002B1304"/>
    <w:rsid w:val="002B16BB"/>
    <w:rsid w:val="002B1AEB"/>
    <w:rsid w:val="002B1C44"/>
    <w:rsid w:val="002B2DD3"/>
    <w:rsid w:val="002B30E3"/>
    <w:rsid w:val="002B33ED"/>
    <w:rsid w:val="002B3C51"/>
    <w:rsid w:val="002B4B48"/>
    <w:rsid w:val="002B4F40"/>
    <w:rsid w:val="002B5F6E"/>
    <w:rsid w:val="002C05E0"/>
    <w:rsid w:val="002C0CF4"/>
    <w:rsid w:val="002C0CF6"/>
    <w:rsid w:val="002C0DDE"/>
    <w:rsid w:val="002C1663"/>
    <w:rsid w:val="002C2182"/>
    <w:rsid w:val="002C2473"/>
    <w:rsid w:val="002C3A98"/>
    <w:rsid w:val="002C5856"/>
    <w:rsid w:val="002C5C74"/>
    <w:rsid w:val="002C662F"/>
    <w:rsid w:val="002C67E7"/>
    <w:rsid w:val="002C68E3"/>
    <w:rsid w:val="002C6DB2"/>
    <w:rsid w:val="002C6F2D"/>
    <w:rsid w:val="002C6F9F"/>
    <w:rsid w:val="002D0C9C"/>
    <w:rsid w:val="002D17B4"/>
    <w:rsid w:val="002D2CF0"/>
    <w:rsid w:val="002D2E9F"/>
    <w:rsid w:val="002D334F"/>
    <w:rsid w:val="002D3BD4"/>
    <w:rsid w:val="002D535E"/>
    <w:rsid w:val="002D5659"/>
    <w:rsid w:val="002D625D"/>
    <w:rsid w:val="002D634C"/>
    <w:rsid w:val="002D644D"/>
    <w:rsid w:val="002D676D"/>
    <w:rsid w:val="002D75FF"/>
    <w:rsid w:val="002D78CA"/>
    <w:rsid w:val="002D7BAA"/>
    <w:rsid w:val="002D7D46"/>
    <w:rsid w:val="002E0E50"/>
    <w:rsid w:val="002E30F0"/>
    <w:rsid w:val="002E34FE"/>
    <w:rsid w:val="002E3BCD"/>
    <w:rsid w:val="002E4870"/>
    <w:rsid w:val="002E4AC3"/>
    <w:rsid w:val="002E4AD5"/>
    <w:rsid w:val="002E4C71"/>
    <w:rsid w:val="002E5599"/>
    <w:rsid w:val="002E6D12"/>
    <w:rsid w:val="002F0072"/>
    <w:rsid w:val="002F0970"/>
    <w:rsid w:val="002F1531"/>
    <w:rsid w:val="002F2237"/>
    <w:rsid w:val="002F461B"/>
    <w:rsid w:val="002F4F3D"/>
    <w:rsid w:val="002F5BC6"/>
    <w:rsid w:val="0030128E"/>
    <w:rsid w:val="00301D5D"/>
    <w:rsid w:val="00302D50"/>
    <w:rsid w:val="00303C04"/>
    <w:rsid w:val="0030402E"/>
    <w:rsid w:val="0030405E"/>
    <w:rsid w:val="003044C0"/>
    <w:rsid w:val="003059E2"/>
    <w:rsid w:val="00305C4D"/>
    <w:rsid w:val="003068B2"/>
    <w:rsid w:val="00306E7B"/>
    <w:rsid w:val="00307672"/>
    <w:rsid w:val="00307DB1"/>
    <w:rsid w:val="00307E20"/>
    <w:rsid w:val="00311244"/>
    <w:rsid w:val="00311828"/>
    <w:rsid w:val="00311BEB"/>
    <w:rsid w:val="003124B9"/>
    <w:rsid w:val="0031276B"/>
    <w:rsid w:val="00314E5D"/>
    <w:rsid w:val="003152D6"/>
    <w:rsid w:val="00315EBB"/>
    <w:rsid w:val="003174B6"/>
    <w:rsid w:val="00317644"/>
    <w:rsid w:val="003179FC"/>
    <w:rsid w:val="003201F5"/>
    <w:rsid w:val="00320C75"/>
    <w:rsid w:val="00320CCC"/>
    <w:rsid w:val="00323552"/>
    <w:rsid w:val="0032381C"/>
    <w:rsid w:val="00324CD2"/>
    <w:rsid w:val="00325FEF"/>
    <w:rsid w:val="00326F14"/>
    <w:rsid w:val="00327EC6"/>
    <w:rsid w:val="00330872"/>
    <w:rsid w:val="00330A98"/>
    <w:rsid w:val="00330EE4"/>
    <w:rsid w:val="00331E86"/>
    <w:rsid w:val="003328C1"/>
    <w:rsid w:val="0033331F"/>
    <w:rsid w:val="003335BF"/>
    <w:rsid w:val="0033360C"/>
    <w:rsid w:val="003338D5"/>
    <w:rsid w:val="00333E2D"/>
    <w:rsid w:val="00334F51"/>
    <w:rsid w:val="00335BCE"/>
    <w:rsid w:val="00335DE6"/>
    <w:rsid w:val="00337928"/>
    <w:rsid w:val="00337A3A"/>
    <w:rsid w:val="00337CFF"/>
    <w:rsid w:val="0034009B"/>
    <w:rsid w:val="00340A7E"/>
    <w:rsid w:val="00341558"/>
    <w:rsid w:val="00341725"/>
    <w:rsid w:val="00341ACB"/>
    <w:rsid w:val="0034375A"/>
    <w:rsid w:val="00343D24"/>
    <w:rsid w:val="00344EE3"/>
    <w:rsid w:val="003455E4"/>
    <w:rsid w:val="00346F16"/>
    <w:rsid w:val="00346F2C"/>
    <w:rsid w:val="00347AE2"/>
    <w:rsid w:val="003501E7"/>
    <w:rsid w:val="003503E9"/>
    <w:rsid w:val="003508BD"/>
    <w:rsid w:val="00352263"/>
    <w:rsid w:val="00352F2D"/>
    <w:rsid w:val="00353A0A"/>
    <w:rsid w:val="00353D68"/>
    <w:rsid w:val="00354308"/>
    <w:rsid w:val="00355377"/>
    <w:rsid w:val="003562EB"/>
    <w:rsid w:val="00356DAF"/>
    <w:rsid w:val="00356F72"/>
    <w:rsid w:val="003572D4"/>
    <w:rsid w:val="00357FA3"/>
    <w:rsid w:val="00360B31"/>
    <w:rsid w:val="00360C68"/>
    <w:rsid w:val="00360D14"/>
    <w:rsid w:val="00361267"/>
    <w:rsid w:val="00361502"/>
    <w:rsid w:val="00362682"/>
    <w:rsid w:val="003630B8"/>
    <w:rsid w:val="003634B6"/>
    <w:rsid w:val="00363C03"/>
    <w:rsid w:val="00363F19"/>
    <w:rsid w:val="00363FDA"/>
    <w:rsid w:val="00364876"/>
    <w:rsid w:val="00364AC5"/>
    <w:rsid w:val="00364F03"/>
    <w:rsid w:val="00365FCA"/>
    <w:rsid w:val="00367175"/>
    <w:rsid w:val="0036723D"/>
    <w:rsid w:val="003672EC"/>
    <w:rsid w:val="0036754E"/>
    <w:rsid w:val="00367A6A"/>
    <w:rsid w:val="00371173"/>
    <w:rsid w:val="003715AE"/>
    <w:rsid w:val="00372882"/>
    <w:rsid w:val="003733C8"/>
    <w:rsid w:val="00373BE7"/>
    <w:rsid w:val="003752A7"/>
    <w:rsid w:val="003753D1"/>
    <w:rsid w:val="00376505"/>
    <w:rsid w:val="00376D3D"/>
    <w:rsid w:val="0038188A"/>
    <w:rsid w:val="003826D7"/>
    <w:rsid w:val="00383177"/>
    <w:rsid w:val="00384547"/>
    <w:rsid w:val="00384CD3"/>
    <w:rsid w:val="00384E1C"/>
    <w:rsid w:val="0038577C"/>
    <w:rsid w:val="00386349"/>
    <w:rsid w:val="0038650D"/>
    <w:rsid w:val="003868FE"/>
    <w:rsid w:val="00386F30"/>
    <w:rsid w:val="0038770D"/>
    <w:rsid w:val="0038798D"/>
    <w:rsid w:val="00390530"/>
    <w:rsid w:val="00390643"/>
    <w:rsid w:val="003909A4"/>
    <w:rsid w:val="00390BDE"/>
    <w:rsid w:val="00390C14"/>
    <w:rsid w:val="00391BB9"/>
    <w:rsid w:val="0039251D"/>
    <w:rsid w:val="00392B76"/>
    <w:rsid w:val="00393436"/>
    <w:rsid w:val="00393867"/>
    <w:rsid w:val="003940D9"/>
    <w:rsid w:val="003949E7"/>
    <w:rsid w:val="00394D20"/>
    <w:rsid w:val="00396449"/>
    <w:rsid w:val="003972D6"/>
    <w:rsid w:val="003A01A3"/>
    <w:rsid w:val="003A1197"/>
    <w:rsid w:val="003A1250"/>
    <w:rsid w:val="003A142B"/>
    <w:rsid w:val="003A2F7D"/>
    <w:rsid w:val="003A304D"/>
    <w:rsid w:val="003A3057"/>
    <w:rsid w:val="003A4548"/>
    <w:rsid w:val="003A5E06"/>
    <w:rsid w:val="003A60D2"/>
    <w:rsid w:val="003A69F7"/>
    <w:rsid w:val="003A77A5"/>
    <w:rsid w:val="003A7825"/>
    <w:rsid w:val="003B0280"/>
    <w:rsid w:val="003B02F5"/>
    <w:rsid w:val="003B0C5E"/>
    <w:rsid w:val="003B2A10"/>
    <w:rsid w:val="003B2D37"/>
    <w:rsid w:val="003B37C2"/>
    <w:rsid w:val="003B5032"/>
    <w:rsid w:val="003B601D"/>
    <w:rsid w:val="003B6972"/>
    <w:rsid w:val="003C00FF"/>
    <w:rsid w:val="003C1470"/>
    <w:rsid w:val="003C1D2F"/>
    <w:rsid w:val="003C20BD"/>
    <w:rsid w:val="003C21FA"/>
    <w:rsid w:val="003C347F"/>
    <w:rsid w:val="003C4142"/>
    <w:rsid w:val="003C535C"/>
    <w:rsid w:val="003C5EA9"/>
    <w:rsid w:val="003C72FF"/>
    <w:rsid w:val="003C7AF3"/>
    <w:rsid w:val="003D03E7"/>
    <w:rsid w:val="003D0441"/>
    <w:rsid w:val="003D07EC"/>
    <w:rsid w:val="003D0953"/>
    <w:rsid w:val="003D09E4"/>
    <w:rsid w:val="003D145A"/>
    <w:rsid w:val="003D34A9"/>
    <w:rsid w:val="003D483D"/>
    <w:rsid w:val="003D4D33"/>
    <w:rsid w:val="003D5242"/>
    <w:rsid w:val="003D6D56"/>
    <w:rsid w:val="003E03B4"/>
    <w:rsid w:val="003E0424"/>
    <w:rsid w:val="003E0CD5"/>
    <w:rsid w:val="003E2756"/>
    <w:rsid w:val="003E292C"/>
    <w:rsid w:val="003E32F8"/>
    <w:rsid w:val="003E3E5F"/>
    <w:rsid w:val="003E4662"/>
    <w:rsid w:val="003E47B8"/>
    <w:rsid w:val="003E4CDB"/>
    <w:rsid w:val="003E4D2D"/>
    <w:rsid w:val="003E4FB6"/>
    <w:rsid w:val="003E55D7"/>
    <w:rsid w:val="003E5BD3"/>
    <w:rsid w:val="003E5C9A"/>
    <w:rsid w:val="003E6159"/>
    <w:rsid w:val="003E6EA1"/>
    <w:rsid w:val="003E766E"/>
    <w:rsid w:val="003E7E2E"/>
    <w:rsid w:val="003F0186"/>
    <w:rsid w:val="003F05E3"/>
    <w:rsid w:val="003F068A"/>
    <w:rsid w:val="003F07A1"/>
    <w:rsid w:val="003F0F6D"/>
    <w:rsid w:val="003F155F"/>
    <w:rsid w:val="003F15E5"/>
    <w:rsid w:val="003F1B31"/>
    <w:rsid w:val="003F1B49"/>
    <w:rsid w:val="003F2ED2"/>
    <w:rsid w:val="003F4B26"/>
    <w:rsid w:val="003F5A6F"/>
    <w:rsid w:val="003F5C95"/>
    <w:rsid w:val="003F6B90"/>
    <w:rsid w:val="004003AE"/>
    <w:rsid w:val="00400406"/>
    <w:rsid w:val="00400569"/>
    <w:rsid w:val="0040117E"/>
    <w:rsid w:val="0040197E"/>
    <w:rsid w:val="00401A36"/>
    <w:rsid w:val="00402D34"/>
    <w:rsid w:val="004046AF"/>
    <w:rsid w:val="00404B7B"/>
    <w:rsid w:val="004054B1"/>
    <w:rsid w:val="0040637F"/>
    <w:rsid w:val="00406710"/>
    <w:rsid w:val="00407720"/>
    <w:rsid w:val="004100B1"/>
    <w:rsid w:val="004101D7"/>
    <w:rsid w:val="0041037E"/>
    <w:rsid w:val="004106CC"/>
    <w:rsid w:val="004109ED"/>
    <w:rsid w:val="0041172D"/>
    <w:rsid w:val="00412AB8"/>
    <w:rsid w:val="00412E30"/>
    <w:rsid w:val="0041316E"/>
    <w:rsid w:val="00413BDD"/>
    <w:rsid w:val="004140B9"/>
    <w:rsid w:val="004144B4"/>
    <w:rsid w:val="004147D3"/>
    <w:rsid w:val="0041555E"/>
    <w:rsid w:val="00415F7B"/>
    <w:rsid w:val="0041628A"/>
    <w:rsid w:val="00416596"/>
    <w:rsid w:val="00416AC7"/>
    <w:rsid w:val="00417608"/>
    <w:rsid w:val="00421EE7"/>
    <w:rsid w:val="00422CB1"/>
    <w:rsid w:val="00422E8E"/>
    <w:rsid w:val="00422F48"/>
    <w:rsid w:val="0042339D"/>
    <w:rsid w:val="00423557"/>
    <w:rsid w:val="00424CAE"/>
    <w:rsid w:val="00427CC9"/>
    <w:rsid w:val="00430673"/>
    <w:rsid w:val="00430FBF"/>
    <w:rsid w:val="004325BF"/>
    <w:rsid w:val="00432CC5"/>
    <w:rsid w:val="00432E74"/>
    <w:rsid w:val="00433C83"/>
    <w:rsid w:val="00434163"/>
    <w:rsid w:val="0043446A"/>
    <w:rsid w:val="00437505"/>
    <w:rsid w:val="004377E7"/>
    <w:rsid w:val="00440524"/>
    <w:rsid w:val="0044144B"/>
    <w:rsid w:val="00442409"/>
    <w:rsid w:val="004425CC"/>
    <w:rsid w:val="00442695"/>
    <w:rsid w:val="004427FB"/>
    <w:rsid w:val="00442BE8"/>
    <w:rsid w:val="0044371C"/>
    <w:rsid w:val="00443DC1"/>
    <w:rsid w:val="00444239"/>
    <w:rsid w:val="00444883"/>
    <w:rsid w:val="00445F88"/>
    <w:rsid w:val="00446553"/>
    <w:rsid w:val="00446A9B"/>
    <w:rsid w:val="00446B5A"/>
    <w:rsid w:val="00447340"/>
    <w:rsid w:val="00447433"/>
    <w:rsid w:val="00447B82"/>
    <w:rsid w:val="00447D78"/>
    <w:rsid w:val="0045004E"/>
    <w:rsid w:val="00450C5F"/>
    <w:rsid w:val="00450F1F"/>
    <w:rsid w:val="0045241E"/>
    <w:rsid w:val="00453E62"/>
    <w:rsid w:val="00454229"/>
    <w:rsid w:val="00455023"/>
    <w:rsid w:val="004551EC"/>
    <w:rsid w:val="004556F2"/>
    <w:rsid w:val="00455DEA"/>
    <w:rsid w:val="004563C6"/>
    <w:rsid w:val="00456995"/>
    <w:rsid w:val="0045743F"/>
    <w:rsid w:val="004618FA"/>
    <w:rsid w:val="00462191"/>
    <w:rsid w:val="00463001"/>
    <w:rsid w:val="00464DC4"/>
    <w:rsid w:val="00465270"/>
    <w:rsid w:val="00465838"/>
    <w:rsid w:val="00465D53"/>
    <w:rsid w:val="00465EF9"/>
    <w:rsid w:val="00467226"/>
    <w:rsid w:val="0046751A"/>
    <w:rsid w:val="00467597"/>
    <w:rsid w:val="004676EE"/>
    <w:rsid w:val="00470102"/>
    <w:rsid w:val="00470E0F"/>
    <w:rsid w:val="0047202D"/>
    <w:rsid w:val="00472B6B"/>
    <w:rsid w:val="00473F81"/>
    <w:rsid w:val="00474569"/>
    <w:rsid w:val="00475380"/>
    <w:rsid w:val="004800B0"/>
    <w:rsid w:val="00480168"/>
    <w:rsid w:val="004811B4"/>
    <w:rsid w:val="00483A79"/>
    <w:rsid w:val="00483EBB"/>
    <w:rsid w:val="004840D4"/>
    <w:rsid w:val="0048428B"/>
    <w:rsid w:val="00484DCC"/>
    <w:rsid w:val="00484DFC"/>
    <w:rsid w:val="00485895"/>
    <w:rsid w:val="0048589C"/>
    <w:rsid w:val="00486047"/>
    <w:rsid w:val="00486253"/>
    <w:rsid w:val="00486333"/>
    <w:rsid w:val="00487DD0"/>
    <w:rsid w:val="0049031C"/>
    <w:rsid w:val="00490435"/>
    <w:rsid w:val="00490765"/>
    <w:rsid w:val="00490CD2"/>
    <w:rsid w:val="004925CB"/>
    <w:rsid w:val="00492E99"/>
    <w:rsid w:val="00492EE1"/>
    <w:rsid w:val="0049312E"/>
    <w:rsid w:val="004932A6"/>
    <w:rsid w:val="00493FBF"/>
    <w:rsid w:val="0049539F"/>
    <w:rsid w:val="00495543"/>
    <w:rsid w:val="004958B1"/>
    <w:rsid w:val="00496CC3"/>
    <w:rsid w:val="00497AD2"/>
    <w:rsid w:val="00497F4C"/>
    <w:rsid w:val="004A0559"/>
    <w:rsid w:val="004A0DD0"/>
    <w:rsid w:val="004A11C8"/>
    <w:rsid w:val="004A2E54"/>
    <w:rsid w:val="004A5C6D"/>
    <w:rsid w:val="004A78F2"/>
    <w:rsid w:val="004B0C57"/>
    <w:rsid w:val="004B1951"/>
    <w:rsid w:val="004B242F"/>
    <w:rsid w:val="004B29C3"/>
    <w:rsid w:val="004B4BB9"/>
    <w:rsid w:val="004B4C90"/>
    <w:rsid w:val="004B6BC6"/>
    <w:rsid w:val="004B771F"/>
    <w:rsid w:val="004C1512"/>
    <w:rsid w:val="004C1B4A"/>
    <w:rsid w:val="004C1FE7"/>
    <w:rsid w:val="004C4A2B"/>
    <w:rsid w:val="004C4BD7"/>
    <w:rsid w:val="004C58F8"/>
    <w:rsid w:val="004C5C09"/>
    <w:rsid w:val="004C5DA8"/>
    <w:rsid w:val="004C71B6"/>
    <w:rsid w:val="004C72AF"/>
    <w:rsid w:val="004C7BAC"/>
    <w:rsid w:val="004D0792"/>
    <w:rsid w:val="004D1255"/>
    <w:rsid w:val="004D26A6"/>
    <w:rsid w:val="004D2A17"/>
    <w:rsid w:val="004D2B54"/>
    <w:rsid w:val="004D3AB1"/>
    <w:rsid w:val="004D3EFC"/>
    <w:rsid w:val="004D4089"/>
    <w:rsid w:val="004D4223"/>
    <w:rsid w:val="004D430C"/>
    <w:rsid w:val="004D4AF9"/>
    <w:rsid w:val="004D4B05"/>
    <w:rsid w:val="004D4EBF"/>
    <w:rsid w:val="004D5384"/>
    <w:rsid w:val="004D5606"/>
    <w:rsid w:val="004D5CDB"/>
    <w:rsid w:val="004D67D4"/>
    <w:rsid w:val="004D7F3A"/>
    <w:rsid w:val="004D7F6B"/>
    <w:rsid w:val="004E044E"/>
    <w:rsid w:val="004E0CBA"/>
    <w:rsid w:val="004E1970"/>
    <w:rsid w:val="004E334E"/>
    <w:rsid w:val="004E3DFA"/>
    <w:rsid w:val="004E550B"/>
    <w:rsid w:val="004E671E"/>
    <w:rsid w:val="004E68F1"/>
    <w:rsid w:val="004E7EB3"/>
    <w:rsid w:val="004F02B5"/>
    <w:rsid w:val="004F035B"/>
    <w:rsid w:val="004F0953"/>
    <w:rsid w:val="004F2B97"/>
    <w:rsid w:val="004F4D5A"/>
    <w:rsid w:val="004F52F1"/>
    <w:rsid w:val="004F5431"/>
    <w:rsid w:val="004F555B"/>
    <w:rsid w:val="004F5AE6"/>
    <w:rsid w:val="004F5FE0"/>
    <w:rsid w:val="004F66B8"/>
    <w:rsid w:val="004F756F"/>
    <w:rsid w:val="004F7BE6"/>
    <w:rsid w:val="00500178"/>
    <w:rsid w:val="005008D6"/>
    <w:rsid w:val="00501EDC"/>
    <w:rsid w:val="005026B3"/>
    <w:rsid w:val="00502B87"/>
    <w:rsid w:val="005032F8"/>
    <w:rsid w:val="00503367"/>
    <w:rsid w:val="00503887"/>
    <w:rsid w:val="00504074"/>
    <w:rsid w:val="005043A2"/>
    <w:rsid w:val="00506143"/>
    <w:rsid w:val="00506AB2"/>
    <w:rsid w:val="00506FA3"/>
    <w:rsid w:val="005070A6"/>
    <w:rsid w:val="005070DD"/>
    <w:rsid w:val="005076FC"/>
    <w:rsid w:val="00510AEE"/>
    <w:rsid w:val="00511006"/>
    <w:rsid w:val="005112BB"/>
    <w:rsid w:val="00512B3F"/>
    <w:rsid w:val="005139CC"/>
    <w:rsid w:val="00515224"/>
    <w:rsid w:val="00516B75"/>
    <w:rsid w:val="0052011D"/>
    <w:rsid w:val="0052048E"/>
    <w:rsid w:val="005205D6"/>
    <w:rsid w:val="00522E3C"/>
    <w:rsid w:val="005234D6"/>
    <w:rsid w:val="005240F3"/>
    <w:rsid w:val="00524B70"/>
    <w:rsid w:val="005250B2"/>
    <w:rsid w:val="005253AB"/>
    <w:rsid w:val="005257EE"/>
    <w:rsid w:val="00525883"/>
    <w:rsid w:val="005259D3"/>
    <w:rsid w:val="00525FDB"/>
    <w:rsid w:val="00526315"/>
    <w:rsid w:val="005265C3"/>
    <w:rsid w:val="00526AAD"/>
    <w:rsid w:val="00526AF2"/>
    <w:rsid w:val="00526F86"/>
    <w:rsid w:val="00527E56"/>
    <w:rsid w:val="00532343"/>
    <w:rsid w:val="00532C5B"/>
    <w:rsid w:val="00533E12"/>
    <w:rsid w:val="00534B14"/>
    <w:rsid w:val="00534D7A"/>
    <w:rsid w:val="005352D9"/>
    <w:rsid w:val="005359CF"/>
    <w:rsid w:val="00535F73"/>
    <w:rsid w:val="005361B5"/>
    <w:rsid w:val="00536E65"/>
    <w:rsid w:val="00537370"/>
    <w:rsid w:val="0053745A"/>
    <w:rsid w:val="00537B5F"/>
    <w:rsid w:val="005405B5"/>
    <w:rsid w:val="00540776"/>
    <w:rsid w:val="00540DA6"/>
    <w:rsid w:val="00541905"/>
    <w:rsid w:val="00541954"/>
    <w:rsid w:val="0054205B"/>
    <w:rsid w:val="005428AA"/>
    <w:rsid w:val="00543E2B"/>
    <w:rsid w:val="00545250"/>
    <w:rsid w:val="0054555C"/>
    <w:rsid w:val="005457D2"/>
    <w:rsid w:val="00545E1B"/>
    <w:rsid w:val="0054710B"/>
    <w:rsid w:val="00551FCA"/>
    <w:rsid w:val="00552A7E"/>
    <w:rsid w:val="00553F44"/>
    <w:rsid w:val="005542F7"/>
    <w:rsid w:val="0055472B"/>
    <w:rsid w:val="00554B89"/>
    <w:rsid w:val="005555E5"/>
    <w:rsid w:val="0055649A"/>
    <w:rsid w:val="00556D74"/>
    <w:rsid w:val="005579CD"/>
    <w:rsid w:val="005606ED"/>
    <w:rsid w:val="00561C23"/>
    <w:rsid w:val="00561D67"/>
    <w:rsid w:val="005628E2"/>
    <w:rsid w:val="00562BAC"/>
    <w:rsid w:val="00563188"/>
    <w:rsid w:val="005636DC"/>
    <w:rsid w:val="00563709"/>
    <w:rsid w:val="005637CC"/>
    <w:rsid w:val="0056391F"/>
    <w:rsid w:val="00564AFE"/>
    <w:rsid w:val="0056556E"/>
    <w:rsid w:val="00565A2B"/>
    <w:rsid w:val="00565B7C"/>
    <w:rsid w:val="005669F9"/>
    <w:rsid w:val="00567A9C"/>
    <w:rsid w:val="00570249"/>
    <w:rsid w:val="00571397"/>
    <w:rsid w:val="00571855"/>
    <w:rsid w:val="00572CD9"/>
    <w:rsid w:val="00572D1E"/>
    <w:rsid w:val="005736E9"/>
    <w:rsid w:val="00573CC7"/>
    <w:rsid w:val="00573D4E"/>
    <w:rsid w:val="00574839"/>
    <w:rsid w:val="00575452"/>
    <w:rsid w:val="00575D80"/>
    <w:rsid w:val="005761C1"/>
    <w:rsid w:val="0057690B"/>
    <w:rsid w:val="00577374"/>
    <w:rsid w:val="00577B2A"/>
    <w:rsid w:val="00577FD0"/>
    <w:rsid w:val="00580280"/>
    <w:rsid w:val="0058201A"/>
    <w:rsid w:val="0058247D"/>
    <w:rsid w:val="005824E5"/>
    <w:rsid w:val="00582978"/>
    <w:rsid w:val="005829B4"/>
    <w:rsid w:val="00582F9E"/>
    <w:rsid w:val="00583FEF"/>
    <w:rsid w:val="005848C7"/>
    <w:rsid w:val="0058581E"/>
    <w:rsid w:val="00585FBA"/>
    <w:rsid w:val="00586B90"/>
    <w:rsid w:val="00587C4A"/>
    <w:rsid w:val="005907AF"/>
    <w:rsid w:val="00590DA0"/>
    <w:rsid w:val="005918B0"/>
    <w:rsid w:val="00591C1C"/>
    <w:rsid w:val="00592369"/>
    <w:rsid w:val="005927BF"/>
    <w:rsid w:val="00592EA8"/>
    <w:rsid w:val="00596241"/>
    <w:rsid w:val="0059661C"/>
    <w:rsid w:val="00596704"/>
    <w:rsid w:val="0059675E"/>
    <w:rsid w:val="00596E4B"/>
    <w:rsid w:val="00596F98"/>
    <w:rsid w:val="0059711D"/>
    <w:rsid w:val="005973FD"/>
    <w:rsid w:val="005A0303"/>
    <w:rsid w:val="005A05FF"/>
    <w:rsid w:val="005A0796"/>
    <w:rsid w:val="005A0A00"/>
    <w:rsid w:val="005A1018"/>
    <w:rsid w:val="005A2463"/>
    <w:rsid w:val="005A2B73"/>
    <w:rsid w:val="005A312F"/>
    <w:rsid w:val="005A3735"/>
    <w:rsid w:val="005A385B"/>
    <w:rsid w:val="005A451B"/>
    <w:rsid w:val="005A4B4D"/>
    <w:rsid w:val="005A4C71"/>
    <w:rsid w:val="005A4CB4"/>
    <w:rsid w:val="005A4F2F"/>
    <w:rsid w:val="005A5B2E"/>
    <w:rsid w:val="005A6052"/>
    <w:rsid w:val="005A61F8"/>
    <w:rsid w:val="005A6CD2"/>
    <w:rsid w:val="005B22A0"/>
    <w:rsid w:val="005B3F02"/>
    <w:rsid w:val="005B4CCF"/>
    <w:rsid w:val="005B53C5"/>
    <w:rsid w:val="005B5EAA"/>
    <w:rsid w:val="005B61C8"/>
    <w:rsid w:val="005B67D6"/>
    <w:rsid w:val="005B6AFC"/>
    <w:rsid w:val="005B6FEF"/>
    <w:rsid w:val="005B7133"/>
    <w:rsid w:val="005B7C40"/>
    <w:rsid w:val="005B7FAA"/>
    <w:rsid w:val="005C1469"/>
    <w:rsid w:val="005C21CB"/>
    <w:rsid w:val="005C21F2"/>
    <w:rsid w:val="005C271D"/>
    <w:rsid w:val="005C2A31"/>
    <w:rsid w:val="005C370C"/>
    <w:rsid w:val="005C4E9B"/>
    <w:rsid w:val="005C5B71"/>
    <w:rsid w:val="005C5FDF"/>
    <w:rsid w:val="005D0246"/>
    <w:rsid w:val="005D153F"/>
    <w:rsid w:val="005D1F73"/>
    <w:rsid w:val="005D2770"/>
    <w:rsid w:val="005D29C8"/>
    <w:rsid w:val="005D5A0A"/>
    <w:rsid w:val="005D5B02"/>
    <w:rsid w:val="005D5EEA"/>
    <w:rsid w:val="005D610B"/>
    <w:rsid w:val="005D725E"/>
    <w:rsid w:val="005D771C"/>
    <w:rsid w:val="005D7758"/>
    <w:rsid w:val="005E0004"/>
    <w:rsid w:val="005E03FC"/>
    <w:rsid w:val="005E0522"/>
    <w:rsid w:val="005E166F"/>
    <w:rsid w:val="005E2CBB"/>
    <w:rsid w:val="005E4085"/>
    <w:rsid w:val="005E42B2"/>
    <w:rsid w:val="005E4CD1"/>
    <w:rsid w:val="005E5A29"/>
    <w:rsid w:val="005F2E6C"/>
    <w:rsid w:val="005F31E0"/>
    <w:rsid w:val="005F362C"/>
    <w:rsid w:val="005F36FF"/>
    <w:rsid w:val="005F3716"/>
    <w:rsid w:val="005F39C0"/>
    <w:rsid w:val="005F3FA1"/>
    <w:rsid w:val="005F5BE3"/>
    <w:rsid w:val="00600CB9"/>
    <w:rsid w:val="00600F7C"/>
    <w:rsid w:val="006017DB"/>
    <w:rsid w:val="00603323"/>
    <w:rsid w:val="00603CAE"/>
    <w:rsid w:val="006042A9"/>
    <w:rsid w:val="0060514E"/>
    <w:rsid w:val="00606727"/>
    <w:rsid w:val="0060684B"/>
    <w:rsid w:val="00606EAA"/>
    <w:rsid w:val="00610D8D"/>
    <w:rsid w:val="00610EF5"/>
    <w:rsid w:val="0061156E"/>
    <w:rsid w:val="00611EBB"/>
    <w:rsid w:val="0061234B"/>
    <w:rsid w:val="006133E5"/>
    <w:rsid w:val="0061344F"/>
    <w:rsid w:val="00613880"/>
    <w:rsid w:val="0061465A"/>
    <w:rsid w:val="00614C08"/>
    <w:rsid w:val="006158F5"/>
    <w:rsid w:val="00615F2F"/>
    <w:rsid w:val="006169FF"/>
    <w:rsid w:val="00616CF5"/>
    <w:rsid w:val="00616D7F"/>
    <w:rsid w:val="006170B3"/>
    <w:rsid w:val="00621E8C"/>
    <w:rsid w:val="006228A6"/>
    <w:rsid w:val="00622C8D"/>
    <w:rsid w:val="006233DD"/>
    <w:rsid w:val="00624812"/>
    <w:rsid w:val="006249E2"/>
    <w:rsid w:val="00624AB1"/>
    <w:rsid w:val="00624E11"/>
    <w:rsid w:val="00625FF2"/>
    <w:rsid w:val="00626355"/>
    <w:rsid w:val="006263A9"/>
    <w:rsid w:val="006264E2"/>
    <w:rsid w:val="00630974"/>
    <w:rsid w:val="00630C3D"/>
    <w:rsid w:val="00631331"/>
    <w:rsid w:val="0063211C"/>
    <w:rsid w:val="00632176"/>
    <w:rsid w:val="00632FC9"/>
    <w:rsid w:val="00633867"/>
    <w:rsid w:val="00633900"/>
    <w:rsid w:val="00634CF6"/>
    <w:rsid w:val="00634DE4"/>
    <w:rsid w:val="0063537A"/>
    <w:rsid w:val="0063752D"/>
    <w:rsid w:val="00637D1D"/>
    <w:rsid w:val="00640950"/>
    <w:rsid w:val="006417F1"/>
    <w:rsid w:val="006419F5"/>
    <w:rsid w:val="00643C1F"/>
    <w:rsid w:val="00643C2B"/>
    <w:rsid w:val="00644601"/>
    <w:rsid w:val="0064569F"/>
    <w:rsid w:val="00645767"/>
    <w:rsid w:val="0064585F"/>
    <w:rsid w:val="00645B38"/>
    <w:rsid w:val="00645E41"/>
    <w:rsid w:val="00645E78"/>
    <w:rsid w:val="0064660A"/>
    <w:rsid w:val="00646A1D"/>
    <w:rsid w:val="006472FE"/>
    <w:rsid w:val="006477FA"/>
    <w:rsid w:val="00647F7A"/>
    <w:rsid w:val="00647FB6"/>
    <w:rsid w:val="00650763"/>
    <w:rsid w:val="0065125C"/>
    <w:rsid w:val="006514F5"/>
    <w:rsid w:val="00651966"/>
    <w:rsid w:val="00651C4C"/>
    <w:rsid w:val="00652C28"/>
    <w:rsid w:val="006536B7"/>
    <w:rsid w:val="00653FB5"/>
    <w:rsid w:val="00654743"/>
    <w:rsid w:val="00654AE9"/>
    <w:rsid w:val="00654D0E"/>
    <w:rsid w:val="0065503A"/>
    <w:rsid w:val="006564E7"/>
    <w:rsid w:val="006567A4"/>
    <w:rsid w:val="0065681C"/>
    <w:rsid w:val="00656BC8"/>
    <w:rsid w:val="006570C3"/>
    <w:rsid w:val="00657312"/>
    <w:rsid w:val="00657B9A"/>
    <w:rsid w:val="00657BA7"/>
    <w:rsid w:val="00660C4E"/>
    <w:rsid w:val="00662D24"/>
    <w:rsid w:val="00662D94"/>
    <w:rsid w:val="00663EC7"/>
    <w:rsid w:val="00664DA2"/>
    <w:rsid w:val="00665560"/>
    <w:rsid w:val="00665E8F"/>
    <w:rsid w:val="006667BE"/>
    <w:rsid w:val="00667457"/>
    <w:rsid w:val="0067005F"/>
    <w:rsid w:val="00670136"/>
    <w:rsid w:val="006706D5"/>
    <w:rsid w:val="0067089C"/>
    <w:rsid w:val="00670F9B"/>
    <w:rsid w:val="00671141"/>
    <w:rsid w:val="00671323"/>
    <w:rsid w:val="00671F17"/>
    <w:rsid w:val="006720C8"/>
    <w:rsid w:val="00672E21"/>
    <w:rsid w:val="006734A4"/>
    <w:rsid w:val="00673DCE"/>
    <w:rsid w:val="00674991"/>
    <w:rsid w:val="00674D77"/>
    <w:rsid w:val="00675166"/>
    <w:rsid w:val="00675A60"/>
    <w:rsid w:val="00676B64"/>
    <w:rsid w:val="00677848"/>
    <w:rsid w:val="0067788C"/>
    <w:rsid w:val="006805C5"/>
    <w:rsid w:val="0068108D"/>
    <w:rsid w:val="00681539"/>
    <w:rsid w:val="006815F2"/>
    <w:rsid w:val="006829DB"/>
    <w:rsid w:val="00682F02"/>
    <w:rsid w:val="006832B9"/>
    <w:rsid w:val="00684593"/>
    <w:rsid w:val="006849D1"/>
    <w:rsid w:val="00684C48"/>
    <w:rsid w:val="00684CC8"/>
    <w:rsid w:val="00684F95"/>
    <w:rsid w:val="006854DD"/>
    <w:rsid w:val="0068678E"/>
    <w:rsid w:val="0068688E"/>
    <w:rsid w:val="00687C76"/>
    <w:rsid w:val="0069069A"/>
    <w:rsid w:val="006945B5"/>
    <w:rsid w:val="00695298"/>
    <w:rsid w:val="006955EF"/>
    <w:rsid w:val="00696600"/>
    <w:rsid w:val="00697728"/>
    <w:rsid w:val="00697EAB"/>
    <w:rsid w:val="006A042F"/>
    <w:rsid w:val="006A115C"/>
    <w:rsid w:val="006A1869"/>
    <w:rsid w:val="006A2CAD"/>
    <w:rsid w:val="006A3E02"/>
    <w:rsid w:val="006A3E10"/>
    <w:rsid w:val="006A47C2"/>
    <w:rsid w:val="006A4C15"/>
    <w:rsid w:val="006A56E9"/>
    <w:rsid w:val="006A6184"/>
    <w:rsid w:val="006A6EF3"/>
    <w:rsid w:val="006A72CA"/>
    <w:rsid w:val="006A77FA"/>
    <w:rsid w:val="006A7A47"/>
    <w:rsid w:val="006A7BAF"/>
    <w:rsid w:val="006B0A07"/>
    <w:rsid w:val="006B0CBF"/>
    <w:rsid w:val="006B17E8"/>
    <w:rsid w:val="006B1ADB"/>
    <w:rsid w:val="006B2284"/>
    <w:rsid w:val="006B2701"/>
    <w:rsid w:val="006B2C6F"/>
    <w:rsid w:val="006B3338"/>
    <w:rsid w:val="006B3811"/>
    <w:rsid w:val="006B4E56"/>
    <w:rsid w:val="006B4EDE"/>
    <w:rsid w:val="006B55CE"/>
    <w:rsid w:val="006B5848"/>
    <w:rsid w:val="006B5B23"/>
    <w:rsid w:val="006B67A9"/>
    <w:rsid w:val="006C0BC0"/>
    <w:rsid w:val="006C1020"/>
    <w:rsid w:val="006C10E6"/>
    <w:rsid w:val="006C237D"/>
    <w:rsid w:val="006C2560"/>
    <w:rsid w:val="006C2884"/>
    <w:rsid w:val="006C383B"/>
    <w:rsid w:val="006C4016"/>
    <w:rsid w:val="006C4921"/>
    <w:rsid w:val="006C4C42"/>
    <w:rsid w:val="006C69CD"/>
    <w:rsid w:val="006D069F"/>
    <w:rsid w:val="006D2964"/>
    <w:rsid w:val="006D3A98"/>
    <w:rsid w:val="006D46C4"/>
    <w:rsid w:val="006D5CDF"/>
    <w:rsid w:val="006D684B"/>
    <w:rsid w:val="006D6C55"/>
    <w:rsid w:val="006D7BE6"/>
    <w:rsid w:val="006E089F"/>
    <w:rsid w:val="006E09C6"/>
    <w:rsid w:val="006E0C0B"/>
    <w:rsid w:val="006E0C28"/>
    <w:rsid w:val="006E0D71"/>
    <w:rsid w:val="006E1504"/>
    <w:rsid w:val="006E2A6D"/>
    <w:rsid w:val="006E2B37"/>
    <w:rsid w:val="006E2FFB"/>
    <w:rsid w:val="006E408A"/>
    <w:rsid w:val="006E4208"/>
    <w:rsid w:val="006E4DF1"/>
    <w:rsid w:val="006E53CF"/>
    <w:rsid w:val="006E5443"/>
    <w:rsid w:val="006E5465"/>
    <w:rsid w:val="006E54F4"/>
    <w:rsid w:val="006E55B0"/>
    <w:rsid w:val="006E731E"/>
    <w:rsid w:val="006E7334"/>
    <w:rsid w:val="006E7487"/>
    <w:rsid w:val="006E7FBF"/>
    <w:rsid w:val="006F0BA5"/>
    <w:rsid w:val="006F10A2"/>
    <w:rsid w:val="006F1238"/>
    <w:rsid w:val="006F23B6"/>
    <w:rsid w:val="006F29EB"/>
    <w:rsid w:val="006F2AD8"/>
    <w:rsid w:val="006F2F0A"/>
    <w:rsid w:val="006F33B3"/>
    <w:rsid w:val="006F34DA"/>
    <w:rsid w:val="006F3D92"/>
    <w:rsid w:val="006F4B18"/>
    <w:rsid w:val="006F5E6E"/>
    <w:rsid w:val="006F69FF"/>
    <w:rsid w:val="006F6ED5"/>
    <w:rsid w:val="006F78A2"/>
    <w:rsid w:val="006F7BD4"/>
    <w:rsid w:val="00700F7A"/>
    <w:rsid w:val="0070143D"/>
    <w:rsid w:val="00701E6A"/>
    <w:rsid w:val="007031CD"/>
    <w:rsid w:val="007037B1"/>
    <w:rsid w:val="00703B00"/>
    <w:rsid w:val="00704861"/>
    <w:rsid w:val="007050DF"/>
    <w:rsid w:val="00705A8E"/>
    <w:rsid w:val="007071FF"/>
    <w:rsid w:val="007073D3"/>
    <w:rsid w:val="0070794F"/>
    <w:rsid w:val="00710E4B"/>
    <w:rsid w:val="00712189"/>
    <w:rsid w:val="007123BD"/>
    <w:rsid w:val="00712464"/>
    <w:rsid w:val="0071290E"/>
    <w:rsid w:val="007138B3"/>
    <w:rsid w:val="00716898"/>
    <w:rsid w:val="00717F98"/>
    <w:rsid w:val="00720927"/>
    <w:rsid w:val="00720EA0"/>
    <w:rsid w:val="007214B8"/>
    <w:rsid w:val="007222FB"/>
    <w:rsid w:val="007226C2"/>
    <w:rsid w:val="0072447D"/>
    <w:rsid w:val="00725120"/>
    <w:rsid w:val="0072541B"/>
    <w:rsid w:val="00726388"/>
    <w:rsid w:val="00726D36"/>
    <w:rsid w:val="00727AAB"/>
    <w:rsid w:val="007302EE"/>
    <w:rsid w:val="00730788"/>
    <w:rsid w:val="00731A65"/>
    <w:rsid w:val="007323AE"/>
    <w:rsid w:val="00732CD2"/>
    <w:rsid w:val="00733494"/>
    <w:rsid w:val="007336F4"/>
    <w:rsid w:val="0073523E"/>
    <w:rsid w:val="0073594C"/>
    <w:rsid w:val="00736D94"/>
    <w:rsid w:val="00736F89"/>
    <w:rsid w:val="00740059"/>
    <w:rsid w:val="00740127"/>
    <w:rsid w:val="00740C6B"/>
    <w:rsid w:val="00742727"/>
    <w:rsid w:val="00742C7B"/>
    <w:rsid w:val="007435DC"/>
    <w:rsid w:val="00743855"/>
    <w:rsid w:val="007441A5"/>
    <w:rsid w:val="0074441C"/>
    <w:rsid w:val="00744590"/>
    <w:rsid w:val="00745A2C"/>
    <w:rsid w:val="00745A31"/>
    <w:rsid w:val="0074613C"/>
    <w:rsid w:val="00746330"/>
    <w:rsid w:val="0074784B"/>
    <w:rsid w:val="007478F5"/>
    <w:rsid w:val="00747BE0"/>
    <w:rsid w:val="00750084"/>
    <w:rsid w:val="00750A6D"/>
    <w:rsid w:val="00751977"/>
    <w:rsid w:val="007523FD"/>
    <w:rsid w:val="00752C60"/>
    <w:rsid w:val="0075312F"/>
    <w:rsid w:val="0075378A"/>
    <w:rsid w:val="0075403F"/>
    <w:rsid w:val="0075422A"/>
    <w:rsid w:val="007548F7"/>
    <w:rsid w:val="00754C6A"/>
    <w:rsid w:val="00754C74"/>
    <w:rsid w:val="007564C2"/>
    <w:rsid w:val="00756973"/>
    <w:rsid w:val="007571C0"/>
    <w:rsid w:val="00757B0F"/>
    <w:rsid w:val="0076044D"/>
    <w:rsid w:val="00760712"/>
    <w:rsid w:val="0076123A"/>
    <w:rsid w:val="0076140A"/>
    <w:rsid w:val="0076369A"/>
    <w:rsid w:val="00763842"/>
    <w:rsid w:val="007644BE"/>
    <w:rsid w:val="007645D6"/>
    <w:rsid w:val="00764B5A"/>
    <w:rsid w:val="00765017"/>
    <w:rsid w:val="007668EF"/>
    <w:rsid w:val="0077119B"/>
    <w:rsid w:val="007712C4"/>
    <w:rsid w:val="00771A3D"/>
    <w:rsid w:val="00772086"/>
    <w:rsid w:val="007727B5"/>
    <w:rsid w:val="00773081"/>
    <w:rsid w:val="0077399A"/>
    <w:rsid w:val="00773DA6"/>
    <w:rsid w:val="00773FD9"/>
    <w:rsid w:val="00774365"/>
    <w:rsid w:val="0077487D"/>
    <w:rsid w:val="00774C7F"/>
    <w:rsid w:val="007752F2"/>
    <w:rsid w:val="007754F2"/>
    <w:rsid w:val="00775578"/>
    <w:rsid w:val="00775E5D"/>
    <w:rsid w:val="00776E1B"/>
    <w:rsid w:val="00777128"/>
    <w:rsid w:val="0077724D"/>
    <w:rsid w:val="00777764"/>
    <w:rsid w:val="00777B72"/>
    <w:rsid w:val="00777DF9"/>
    <w:rsid w:val="00780410"/>
    <w:rsid w:val="00780EDD"/>
    <w:rsid w:val="00781E92"/>
    <w:rsid w:val="0078288D"/>
    <w:rsid w:val="00782C57"/>
    <w:rsid w:val="00782E14"/>
    <w:rsid w:val="00782E82"/>
    <w:rsid w:val="00782F16"/>
    <w:rsid w:val="00784195"/>
    <w:rsid w:val="007841E5"/>
    <w:rsid w:val="00784AD5"/>
    <w:rsid w:val="007857D0"/>
    <w:rsid w:val="007861DE"/>
    <w:rsid w:val="00786A2B"/>
    <w:rsid w:val="00786F1D"/>
    <w:rsid w:val="007875E2"/>
    <w:rsid w:val="0078770A"/>
    <w:rsid w:val="0079028C"/>
    <w:rsid w:val="00790CC2"/>
    <w:rsid w:val="007920BE"/>
    <w:rsid w:val="0079255D"/>
    <w:rsid w:val="00793100"/>
    <w:rsid w:val="007935C7"/>
    <w:rsid w:val="00795613"/>
    <w:rsid w:val="00795B62"/>
    <w:rsid w:val="007964DC"/>
    <w:rsid w:val="00797D2D"/>
    <w:rsid w:val="00797FD0"/>
    <w:rsid w:val="007A00A4"/>
    <w:rsid w:val="007A012A"/>
    <w:rsid w:val="007A066D"/>
    <w:rsid w:val="007A0E65"/>
    <w:rsid w:val="007A1513"/>
    <w:rsid w:val="007A164F"/>
    <w:rsid w:val="007A18A9"/>
    <w:rsid w:val="007A27E4"/>
    <w:rsid w:val="007A2B11"/>
    <w:rsid w:val="007A2D5F"/>
    <w:rsid w:val="007A3BE6"/>
    <w:rsid w:val="007A49AE"/>
    <w:rsid w:val="007A553A"/>
    <w:rsid w:val="007A6169"/>
    <w:rsid w:val="007A6936"/>
    <w:rsid w:val="007B1600"/>
    <w:rsid w:val="007B1A87"/>
    <w:rsid w:val="007B3790"/>
    <w:rsid w:val="007B3850"/>
    <w:rsid w:val="007B38BB"/>
    <w:rsid w:val="007B3940"/>
    <w:rsid w:val="007B4A98"/>
    <w:rsid w:val="007B4D8B"/>
    <w:rsid w:val="007B60C2"/>
    <w:rsid w:val="007B6A2B"/>
    <w:rsid w:val="007B73B5"/>
    <w:rsid w:val="007C0074"/>
    <w:rsid w:val="007C028B"/>
    <w:rsid w:val="007C1153"/>
    <w:rsid w:val="007C11EB"/>
    <w:rsid w:val="007C1CA2"/>
    <w:rsid w:val="007C1E4C"/>
    <w:rsid w:val="007C259B"/>
    <w:rsid w:val="007C2932"/>
    <w:rsid w:val="007C3588"/>
    <w:rsid w:val="007C37DC"/>
    <w:rsid w:val="007C4E8D"/>
    <w:rsid w:val="007C50BD"/>
    <w:rsid w:val="007C635D"/>
    <w:rsid w:val="007C699F"/>
    <w:rsid w:val="007C78A1"/>
    <w:rsid w:val="007C7ABF"/>
    <w:rsid w:val="007C7BD2"/>
    <w:rsid w:val="007D03C4"/>
    <w:rsid w:val="007D1156"/>
    <w:rsid w:val="007D1A50"/>
    <w:rsid w:val="007D1CD6"/>
    <w:rsid w:val="007D24C1"/>
    <w:rsid w:val="007D283D"/>
    <w:rsid w:val="007D29B1"/>
    <w:rsid w:val="007D32D4"/>
    <w:rsid w:val="007D456E"/>
    <w:rsid w:val="007D46AD"/>
    <w:rsid w:val="007D56E0"/>
    <w:rsid w:val="007D6C33"/>
    <w:rsid w:val="007D6FB6"/>
    <w:rsid w:val="007D788D"/>
    <w:rsid w:val="007D7EF3"/>
    <w:rsid w:val="007D7F49"/>
    <w:rsid w:val="007E0536"/>
    <w:rsid w:val="007E069A"/>
    <w:rsid w:val="007E092F"/>
    <w:rsid w:val="007E17C5"/>
    <w:rsid w:val="007E30BC"/>
    <w:rsid w:val="007E34EE"/>
    <w:rsid w:val="007E3B55"/>
    <w:rsid w:val="007E42E1"/>
    <w:rsid w:val="007E45FD"/>
    <w:rsid w:val="007E551F"/>
    <w:rsid w:val="007E59C0"/>
    <w:rsid w:val="007E5EB5"/>
    <w:rsid w:val="007E5F14"/>
    <w:rsid w:val="007E700D"/>
    <w:rsid w:val="007E7832"/>
    <w:rsid w:val="007E78B5"/>
    <w:rsid w:val="007E7E55"/>
    <w:rsid w:val="007F1B87"/>
    <w:rsid w:val="007F2B30"/>
    <w:rsid w:val="007F3A94"/>
    <w:rsid w:val="007F5CF5"/>
    <w:rsid w:val="007F5FB8"/>
    <w:rsid w:val="00800553"/>
    <w:rsid w:val="00800B8C"/>
    <w:rsid w:val="00801618"/>
    <w:rsid w:val="00801799"/>
    <w:rsid w:val="00802524"/>
    <w:rsid w:val="00802D40"/>
    <w:rsid w:val="0080325A"/>
    <w:rsid w:val="00804F9B"/>
    <w:rsid w:val="0080543B"/>
    <w:rsid w:val="00805797"/>
    <w:rsid w:val="00806AC6"/>
    <w:rsid w:val="00806B7C"/>
    <w:rsid w:val="008102D8"/>
    <w:rsid w:val="00810D77"/>
    <w:rsid w:val="00813684"/>
    <w:rsid w:val="00814591"/>
    <w:rsid w:val="00814F3B"/>
    <w:rsid w:val="008167E0"/>
    <w:rsid w:val="0081733C"/>
    <w:rsid w:val="00817A50"/>
    <w:rsid w:val="00820144"/>
    <w:rsid w:val="0082045A"/>
    <w:rsid w:val="00820A3E"/>
    <w:rsid w:val="00820D16"/>
    <w:rsid w:val="00820E28"/>
    <w:rsid w:val="00821FE1"/>
    <w:rsid w:val="00822086"/>
    <w:rsid w:val="0082252B"/>
    <w:rsid w:val="00822D92"/>
    <w:rsid w:val="00822E47"/>
    <w:rsid w:val="00823D43"/>
    <w:rsid w:val="00823DDE"/>
    <w:rsid w:val="00825F13"/>
    <w:rsid w:val="00825FB1"/>
    <w:rsid w:val="008265F2"/>
    <w:rsid w:val="00826BCE"/>
    <w:rsid w:val="00826EC0"/>
    <w:rsid w:val="00827200"/>
    <w:rsid w:val="008309D2"/>
    <w:rsid w:val="00830DE1"/>
    <w:rsid w:val="008313EC"/>
    <w:rsid w:val="0083144A"/>
    <w:rsid w:val="00831CB1"/>
    <w:rsid w:val="00831D15"/>
    <w:rsid w:val="00831EEC"/>
    <w:rsid w:val="008321E1"/>
    <w:rsid w:val="0083298E"/>
    <w:rsid w:val="00833121"/>
    <w:rsid w:val="00833300"/>
    <w:rsid w:val="00833478"/>
    <w:rsid w:val="00834517"/>
    <w:rsid w:val="008349E1"/>
    <w:rsid w:val="00835595"/>
    <w:rsid w:val="00836AA5"/>
    <w:rsid w:val="00837AFD"/>
    <w:rsid w:val="00840350"/>
    <w:rsid w:val="008416CA"/>
    <w:rsid w:val="008422B2"/>
    <w:rsid w:val="00842983"/>
    <w:rsid w:val="00843661"/>
    <w:rsid w:val="00844304"/>
    <w:rsid w:val="00844445"/>
    <w:rsid w:val="0084555B"/>
    <w:rsid w:val="008467B7"/>
    <w:rsid w:val="00846C0D"/>
    <w:rsid w:val="008504C2"/>
    <w:rsid w:val="00850B5D"/>
    <w:rsid w:val="00850CC4"/>
    <w:rsid w:val="00850D66"/>
    <w:rsid w:val="00853AFB"/>
    <w:rsid w:val="0085400C"/>
    <w:rsid w:val="00854895"/>
    <w:rsid w:val="00854D59"/>
    <w:rsid w:val="00856AEF"/>
    <w:rsid w:val="00856F9A"/>
    <w:rsid w:val="00857960"/>
    <w:rsid w:val="008602AB"/>
    <w:rsid w:val="008606AB"/>
    <w:rsid w:val="0086157B"/>
    <w:rsid w:val="00861B28"/>
    <w:rsid w:val="00862839"/>
    <w:rsid w:val="00862B8D"/>
    <w:rsid w:val="008659B0"/>
    <w:rsid w:val="008665B7"/>
    <w:rsid w:val="0086734C"/>
    <w:rsid w:val="00867666"/>
    <w:rsid w:val="00867DD3"/>
    <w:rsid w:val="00870130"/>
    <w:rsid w:val="008701A3"/>
    <w:rsid w:val="00870DF2"/>
    <w:rsid w:val="008712D9"/>
    <w:rsid w:val="0087321E"/>
    <w:rsid w:val="0087350B"/>
    <w:rsid w:val="00873CE3"/>
    <w:rsid w:val="00873E18"/>
    <w:rsid w:val="00874206"/>
    <w:rsid w:val="00874338"/>
    <w:rsid w:val="008745B1"/>
    <w:rsid w:val="00874843"/>
    <w:rsid w:val="00874999"/>
    <w:rsid w:val="008752AF"/>
    <w:rsid w:val="008754D2"/>
    <w:rsid w:val="008763E1"/>
    <w:rsid w:val="008765D1"/>
    <w:rsid w:val="00881056"/>
    <w:rsid w:val="00881085"/>
    <w:rsid w:val="0088141C"/>
    <w:rsid w:val="00881592"/>
    <w:rsid w:val="0088216A"/>
    <w:rsid w:val="0088261A"/>
    <w:rsid w:val="0088345E"/>
    <w:rsid w:val="0088438E"/>
    <w:rsid w:val="008848C3"/>
    <w:rsid w:val="00884F50"/>
    <w:rsid w:val="008859AE"/>
    <w:rsid w:val="00886128"/>
    <w:rsid w:val="0088615A"/>
    <w:rsid w:val="00886D88"/>
    <w:rsid w:val="00886F43"/>
    <w:rsid w:val="00887048"/>
    <w:rsid w:val="00887C64"/>
    <w:rsid w:val="00890008"/>
    <w:rsid w:val="00890F92"/>
    <w:rsid w:val="00891AC6"/>
    <w:rsid w:val="0089308D"/>
    <w:rsid w:val="0089345A"/>
    <w:rsid w:val="00893E0C"/>
    <w:rsid w:val="0089438D"/>
    <w:rsid w:val="00894DD4"/>
    <w:rsid w:val="00895F46"/>
    <w:rsid w:val="008A072F"/>
    <w:rsid w:val="008A089C"/>
    <w:rsid w:val="008A156C"/>
    <w:rsid w:val="008A1635"/>
    <w:rsid w:val="008A291F"/>
    <w:rsid w:val="008A2CDA"/>
    <w:rsid w:val="008A345B"/>
    <w:rsid w:val="008A3CA8"/>
    <w:rsid w:val="008A4134"/>
    <w:rsid w:val="008A418B"/>
    <w:rsid w:val="008A46E2"/>
    <w:rsid w:val="008A4A86"/>
    <w:rsid w:val="008A5003"/>
    <w:rsid w:val="008A5ACD"/>
    <w:rsid w:val="008A5DD1"/>
    <w:rsid w:val="008A6BC1"/>
    <w:rsid w:val="008A7353"/>
    <w:rsid w:val="008A737A"/>
    <w:rsid w:val="008A7933"/>
    <w:rsid w:val="008A7EEB"/>
    <w:rsid w:val="008A7FBF"/>
    <w:rsid w:val="008B096E"/>
    <w:rsid w:val="008B0B5C"/>
    <w:rsid w:val="008B184F"/>
    <w:rsid w:val="008B1C14"/>
    <w:rsid w:val="008B1FF8"/>
    <w:rsid w:val="008B2150"/>
    <w:rsid w:val="008B2DC8"/>
    <w:rsid w:val="008B375C"/>
    <w:rsid w:val="008B382A"/>
    <w:rsid w:val="008B4EEB"/>
    <w:rsid w:val="008B5182"/>
    <w:rsid w:val="008B57B5"/>
    <w:rsid w:val="008B624F"/>
    <w:rsid w:val="008B641C"/>
    <w:rsid w:val="008B758E"/>
    <w:rsid w:val="008B77A7"/>
    <w:rsid w:val="008B7AFD"/>
    <w:rsid w:val="008C000A"/>
    <w:rsid w:val="008C0809"/>
    <w:rsid w:val="008C090E"/>
    <w:rsid w:val="008C0FE9"/>
    <w:rsid w:val="008C1E45"/>
    <w:rsid w:val="008C34CC"/>
    <w:rsid w:val="008C548F"/>
    <w:rsid w:val="008C5C3F"/>
    <w:rsid w:val="008C5D7A"/>
    <w:rsid w:val="008C648F"/>
    <w:rsid w:val="008C6BB1"/>
    <w:rsid w:val="008D1332"/>
    <w:rsid w:val="008D1504"/>
    <w:rsid w:val="008D170D"/>
    <w:rsid w:val="008D17A6"/>
    <w:rsid w:val="008D203F"/>
    <w:rsid w:val="008D39E0"/>
    <w:rsid w:val="008D4B37"/>
    <w:rsid w:val="008D4C5C"/>
    <w:rsid w:val="008D4FFE"/>
    <w:rsid w:val="008D5440"/>
    <w:rsid w:val="008D5ABF"/>
    <w:rsid w:val="008D5DAF"/>
    <w:rsid w:val="008D762A"/>
    <w:rsid w:val="008D771C"/>
    <w:rsid w:val="008D7931"/>
    <w:rsid w:val="008E123C"/>
    <w:rsid w:val="008E16C5"/>
    <w:rsid w:val="008E2809"/>
    <w:rsid w:val="008E2A0F"/>
    <w:rsid w:val="008E31CE"/>
    <w:rsid w:val="008E3348"/>
    <w:rsid w:val="008E4371"/>
    <w:rsid w:val="008E58F4"/>
    <w:rsid w:val="008E5EEE"/>
    <w:rsid w:val="008E622B"/>
    <w:rsid w:val="008E7582"/>
    <w:rsid w:val="008E7740"/>
    <w:rsid w:val="008E787A"/>
    <w:rsid w:val="008F08E0"/>
    <w:rsid w:val="008F11FC"/>
    <w:rsid w:val="008F1E70"/>
    <w:rsid w:val="008F290C"/>
    <w:rsid w:val="008F29DA"/>
    <w:rsid w:val="008F35E7"/>
    <w:rsid w:val="008F3A97"/>
    <w:rsid w:val="008F3FE4"/>
    <w:rsid w:val="008F5704"/>
    <w:rsid w:val="008F69DB"/>
    <w:rsid w:val="008F7D37"/>
    <w:rsid w:val="00900309"/>
    <w:rsid w:val="00900CF3"/>
    <w:rsid w:val="00900F52"/>
    <w:rsid w:val="00901196"/>
    <w:rsid w:val="009016D1"/>
    <w:rsid w:val="009019DE"/>
    <w:rsid w:val="00901F61"/>
    <w:rsid w:val="0090287E"/>
    <w:rsid w:val="00902D8B"/>
    <w:rsid w:val="00904526"/>
    <w:rsid w:val="009046B6"/>
    <w:rsid w:val="00904739"/>
    <w:rsid w:val="009051A6"/>
    <w:rsid w:val="00905793"/>
    <w:rsid w:val="009060E3"/>
    <w:rsid w:val="00906267"/>
    <w:rsid w:val="0090632C"/>
    <w:rsid w:val="009068D8"/>
    <w:rsid w:val="00907D91"/>
    <w:rsid w:val="009115D8"/>
    <w:rsid w:val="009126A1"/>
    <w:rsid w:val="00914A5D"/>
    <w:rsid w:val="009151E9"/>
    <w:rsid w:val="0091564B"/>
    <w:rsid w:val="0091624F"/>
    <w:rsid w:val="009206AF"/>
    <w:rsid w:val="009211E7"/>
    <w:rsid w:val="009218C7"/>
    <w:rsid w:val="00921BB8"/>
    <w:rsid w:val="00922B79"/>
    <w:rsid w:val="0092402D"/>
    <w:rsid w:val="00924296"/>
    <w:rsid w:val="009248CA"/>
    <w:rsid w:val="00924E92"/>
    <w:rsid w:val="00925C71"/>
    <w:rsid w:val="00925F29"/>
    <w:rsid w:val="0092626B"/>
    <w:rsid w:val="00926C6A"/>
    <w:rsid w:val="00927917"/>
    <w:rsid w:val="00927DC3"/>
    <w:rsid w:val="00927FDA"/>
    <w:rsid w:val="009318C1"/>
    <w:rsid w:val="009350CA"/>
    <w:rsid w:val="00935163"/>
    <w:rsid w:val="009355EA"/>
    <w:rsid w:val="00935E04"/>
    <w:rsid w:val="00936667"/>
    <w:rsid w:val="00936C50"/>
    <w:rsid w:val="009407AD"/>
    <w:rsid w:val="00942104"/>
    <w:rsid w:val="0094389F"/>
    <w:rsid w:val="00944049"/>
    <w:rsid w:val="0094500F"/>
    <w:rsid w:val="00945237"/>
    <w:rsid w:val="00945BF2"/>
    <w:rsid w:val="009479F7"/>
    <w:rsid w:val="0095040D"/>
    <w:rsid w:val="00950800"/>
    <w:rsid w:val="0095152F"/>
    <w:rsid w:val="009515D4"/>
    <w:rsid w:val="009516ED"/>
    <w:rsid w:val="00952A15"/>
    <w:rsid w:val="00953C19"/>
    <w:rsid w:val="009542B6"/>
    <w:rsid w:val="0095446B"/>
    <w:rsid w:val="00954A4A"/>
    <w:rsid w:val="00954DF5"/>
    <w:rsid w:val="00955071"/>
    <w:rsid w:val="009610A4"/>
    <w:rsid w:val="00961140"/>
    <w:rsid w:val="00961352"/>
    <w:rsid w:val="009613E7"/>
    <w:rsid w:val="00962D40"/>
    <w:rsid w:val="00962F86"/>
    <w:rsid w:val="0096374A"/>
    <w:rsid w:val="00964BE7"/>
    <w:rsid w:val="00966800"/>
    <w:rsid w:val="00966D64"/>
    <w:rsid w:val="00967103"/>
    <w:rsid w:val="009678DC"/>
    <w:rsid w:val="009704F0"/>
    <w:rsid w:val="00971630"/>
    <w:rsid w:val="0097192D"/>
    <w:rsid w:val="00971E81"/>
    <w:rsid w:val="00972E5D"/>
    <w:rsid w:val="009735AD"/>
    <w:rsid w:val="00973625"/>
    <w:rsid w:val="0097397A"/>
    <w:rsid w:val="00973D18"/>
    <w:rsid w:val="00973E2F"/>
    <w:rsid w:val="00974674"/>
    <w:rsid w:val="0097492F"/>
    <w:rsid w:val="0097507E"/>
    <w:rsid w:val="0097560B"/>
    <w:rsid w:val="00975AAD"/>
    <w:rsid w:val="00975B74"/>
    <w:rsid w:val="0097630F"/>
    <w:rsid w:val="00976572"/>
    <w:rsid w:val="00976659"/>
    <w:rsid w:val="009766DD"/>
    <w:rsid w:val="009806E3"/>
    <w:rsid w:val="00982242"/>
    <w:rsid w:val="00982D2F"/>
    <w:rsid w:val="00982DCF"/>
    <w:rsid w:val="009834BA"/>
    <w:rsid w:val="00983DCF"/>
    <w:rsid w:val="00984DB7"/>
    <w:rsid w:val="0098525A"/>
    <w:rsid w:val="009852C7"/>
    <w:rsid w:val="00985636"/>
    <w:rsid w:val="009858CE"/>
    <w:rsid w:val="009864A1"/>
    <w:rsid w:val="00986D6C"/>
    <w:rsid w:val="00991903"/>
    <w:rsid w:val="00992344"/>
    <w:rsid w:val="009932B3"/>
    <w:rsid w:val="00993D7E"/>
    <w:rsid w:val="00994CA8"/>
    <w:rsid w:val="009952B9"/>
    <w:rsid w:val="009952C0"/>
    <w:rsid w:val="00996B92"/>
    <w:rsid w:val="00997717"/>
    <w:rsid w:val="009979FD"/>
    <w:rsid w:val="009A0232"/>
    <w:rsid w:val="009A055C"/>
    <w:rsid w:val="009A122D"/>
    <w:rsid w:val="009A160B"/>
    <w:rsid w:val="009A233D"/>
    <w:rsid w:val="009A2924"/>
    <w:rsid w:val="009A3224"/>
    <w:rsid w:val="009A3F93"/>
    <w:rsid w:val="009A416D"/>
    <w:rsid w:val="009A42C4"/>
    <w:rsid w:val="009A49DB"/>
    <w:rsid w:val="009A4E9A"/>
    <w:rsid w:val="009A578D"/>
    <w:rsid w:val="009A5A18"/>
    <w:rsid w:val="009A655B"/>
    <w:rsid w:val="009A7882"/>
    <w:rsid w:val="009A7FA7"/>
    <w:rsid w:val="009B00E4"/>
    <w:rsid w:val="009B0CFE"/>
    <w:rsid w:val="009B2101"/>
    <w:rsid w:val="009B3618"/>
    <w:rsid w:val="009B4993"/>
    <w:rsid w:val="009B4AD2"/>
    <w:rsid w:val="009B4BC4"/>
    <w:rsid w:val="009B4EC8"/>
    <w:rsid w:val="009B63E9"/>
    <w:rsid w:val="009B6D8B"/>
    <w:rsid w:val="009C0275"/>
    <w:rsid w:val="009C0454"/>
    <w:rsid w:val="009C0BC9"/>
    <w:rsid w:val="009C121F"/>
    <w:rsid w:val="009C15AB"/>
    <w:rsid w:val="009C362B"/>
    <w:rsid w:val="009C37C6"/>
    <w:rsid w:val="009C73CF"/>
    <w:rsid w:val="009C77F5"/>
    <w:rsid w:val="009D07CC"/>
    <w:rsid w:val="009D07DF"/>
    <w:rsid w:val="009D1145"/>
    <w:rsid w:val="009D2291"/>
    <w:rsid w:val="009D2E23"/>
    <w:rsid w:val="009D2FE6"/>
    <w:rsid w:val="009D39AD"/>
    <w:rsid w:val="009D3A5F"/>
    <w:rsid w:val="009D4777"/>
    <w:rsid w:val="009D516F"/>
    <w:rsid w:val="009D57D1"/>
    <w:rsid w:val="009D761D"/>
    <w:rsid w:val="009D79AC"/>
    <w:rsid w:val="009E0623"/>
    <w:rsid w:val="009E0907"/>
    <w:rsid w:val="009E1165"/>
    <w:rsid w:val="009E1A8B"/>
    <w:rsid w:val="009E30ED"/>
    <w:rsid w:val="009E3840"/>
    <w:rsid w:val="009E3FA6"/>
    <w:rsid w:val="009E4015"/>
    <w:rsid w:val="009E4CCA"/>
    <w:rsid w:val="009E543C"/>
    <w:rsid w:val="009E584C"/>
    <w:rsid w:val="009E5BE9"/>
    <w:rsid w:val="009F0C02"/>
    <w:rsid w:val="009F1D58"/>
    <w:rsid w:val="009F202C"/>
    <w:rsid w:val="009F3ED2"/>
    <w:rsid w:val="009F3F58"/>
    <w:rsid w:val="009F41CC"/>
    <w:rsid w:val="009F47F2"/>
    <w:rsid w:val="009F4A97"/>
    <w:rsid w:val="009F54B8"/>
    <w:rsid w:val="009F5C3C"/>
    <w:rsid w:val="009F76DC"/>
    <w:rsid w:val="009F7E8C"/>
    <w:rsid w:val="00A00E98"/>
    <w:rsid w:val="00A01076"/>
    <w:rsid w:val="00A01CDA"/>
    <w:rsid w:val="00A021A0"/>
    <w:rsid w:val="00A0269C"/>
    <w:rsid w:val="00A0277F"/>
    <w:rsid w:val="00A027F9"/>
    <w:rsid w:val="00A02800"/>
    <w:rsid w:val="00A0286B"/>
    <w:rsid w:val="00A03FBC"/>
    <w:rsid w:val="00A04755"/>
    <w:rsid w:val="00A052C0"/>
    <w:rsid w:val="00A063EF"/>
    <w:rsid w:val="00A10B5F"/>
    <w:rsid w:val="00A1138C"/>
    <w:rsid w:val="00A116DB"/>
    <w:rsid w:val="00A11780"/>
    <w:rsid w:val="00A11E48"/>
    <w:rsid w:val="00A13143"/>
    <w:rsid w:val="00A14F93"/>
    <w:rsid w:val="00A162DD"/>
    <w:rsid w:val="00A16F91"/>
    <w:rsid w:val="00A20DFF"/>
    <w:rsid w:val="00A21E4B"/>
    <w:rsid w:val="00A21E9B"/>
    <w:rsid w:val="00A22904"/>
    <w:rsid w:val="00A22DE8"/>
    <w:rsid w:val="00A22E17"/>
    <w:rsid w:val="00A22EC0"/>
    <w:rsid w:val="00A2321C"/>
    <w:rsid w:val="00A24DDA"/>
    <w:rsid w:val="00A2516F"/>
    <w:rsid w:val="00A255FF"/>
    <w:rsid w:val="00A267F6"/>
    <w:rsid w:val="00A26B16"/>
    <w:rsid w:val="00A30549"/>
    <w:rsid w:val="00A305A3"/>
    <w:rsid w:val="00A32C6E"/>
    <w:rsid w:val="00A33569"/>
    <w:rsid w:val="00A33793"/>
    <w:rsid w:val="00A33F4D"/>
    <w:rsid w:val="00A34787"/>
    <w:rsid w:val="00A34B83"/>
    <w:rsid w:val="00A3603F"/>
    <w:rsid w:val="00A3662A"/>
    <w:rsid w:val="00A37384"/>
    <w:rsid w:val="00A37DFD"/>
    <w:rsid w:val="00A4030D"/>
    <w:rsid w:val="00A40FD4"/>
    <w:rsid w:val="00A413A1"/>
    <w:rsid w:val="00A41E79"/>
    <w:rsid w:val="00A41F46"/>
    <w:rsid w:val="00A42B40"/>
    <w:rsid w:val="00A436DA"/>
    <w:rsid w:val="00A43B87"/>
    <w:rsid w:val="00A43E61"/>
    <w:rsid w:val="00A44626"/>
    <w:rsid w:val="00A44A62"/>
    <w:rsid w:val="00A44C21"/>
    <w:rsid w:val="00A45537"/>
    <w:rsid w:val="00A465F4"/>
    <w:rsid w:val="00A4681B"/>
    <w:rsid w:val="00A46FBF"/>
    <w:rsid w:val="00A470D0"/>
    <w:rsid w:val="00A47423"/>
    <w:rsid w:val="00A4747B"/>
    <w:rsid w:val="00A474A5"/>
    <w:rsid w:val="00A50168"/>
    <w:rsid w:val="00A50AAD"/>
    <w:rsid w:val="00A51191"/>
    <w:rsid w:val="00A53619"/>
    <w:rsid w:val="00A53E66"/>
    <w:rsid w:val="00A54A1D"/>
    <w:rsid w:val="00A54A75"/>
    <w:rsid w:val="00A54ED5"/>
    <w:rsid w:val="00A561C2"/>
    <w:rsid w:val="00A56F3A"/>
    <w:rsid w:val="00A628CD"/>
    <w:rsid w:val="00A629D6"/>
    <w:rsid w:val="00A63879"/>
    <w:rsid w:val="00A64A38"/>
    <w:rsid w:val="00A65B9E"/>
    <w:rsid w:val="00A65D87"/>
    <w:rsid w:val="00A6741C"/>
    <w:rsid w:val="00A675FA"/>
    <w:rsid w:val="00A71391"/>
    <w:rsid w:val="00A718FD"/>
    <w:rsid w:val="00A71F45"/>
    <w:rsid w:val="00A721D3"/>
    <w:rsid w:val="00A72991"/>
    <w:rsid w:val="00A73161"/>
    <w:rsid w:val="00A73486"/>
    <w:rsid w:val="00A73678"/>
    <w:rsid w:val="00A73CE6"/>
    <w:rsid w:val="00A74031"/>
    <w:rsid w:val="00A746D0"/>
    <w:rsid w:val="00A74730"/>
    <w:rsid w:val="00A74965"/>
    <w:rsid w:val="00A767FE"/>
    <w:rsid w:val="00A76953"/>
    <w:rsid w:val="00A76E98"/>
    <w:rsid w:val="00A7742E"/>
    <w:rsid w:val="00A77DD4"/>
    <w:rsid w:val="00A77FA5"/>
    <w:rsid w:val="00A80018"/>
    <w:rsid w:val="00A80A9F"/>
    <w:rsid w:val="00A8266E"/>
    <w:rsid w:val="00A82A65"/>
    <w:rsid w:val="00A82B2C"/>
    <w:rsid w:val="00A8300A"/>
    <w:rsid w:val="00A843BB"/>
    <w:rsid w:val="00A8531E"/>
    <w:rsid w:val="00A85959"/>
    <w:rsid w:val="00A90078"/>
    <w:rsid w:val="00A90D11"/>
    <w:rsid w:val="00A912B9"/>
    <w:rsid w:val="00A91F4B"/>
    <w:rsid w:val="00A921A1"/>
    <w:rsid w:val="00A930AE"/>
    <w:rsid w:val="00A935A0"/>
    <w:rsid w:val="00A952A5"/>
    <w:rsid w:val="00A95C35"/>
    <w:rsid w:val="00A95C88"/>
    <w:rsid w:val="00A96BE9"/>
    <w:rsid w:val="00A9784E"/>
    <w:rsid w:val="00A97915"/>
    <w:rsid w:val="00AA05A3"/>
    <w:rsid w:val="00AA05BD"/>
    <w:rsid w:val="00AA0E3C"/>
    <w:rsid w:val="00AA1C0C"/>
    <w:rsid w:val="00AA23D4"/>
    <w:rsid w:val="00AA246A"/>
    <w:rsid w:val="00AA379A"/>
    <w:rsid w:val="00AA3B24"/>
    <w:rsid w:val="00AA40B6"/>
    <w:rsid w:val="00AA49D9"/>
    <w:rsid w:val="00AA50BB"/>
    <w:rsid w:val="00AA52A7"/>
    <w:rsid w:val="00AA59E7"/>
    <w:rsid w:val="00AA5DC8"/>
    <w:rsid w:val="00AA5E4D"/>
    <w:rsid w:val="00AA6767"/>
    <w:rsid w:val="00AA6E0A"/>
    <w:rsid w:val="00AA6FFE"/>
    <w:rsid w:val="00AA788A"/>
    <w:rsid w:val="00AB03B6"/>
    <w:rsid w:val="00AB112E"/>
    <w:rsid w:val="00AB14FD"/>
    <w:rsid w:val="00AB15A1"/>
    <w:rsid w:val="00AB2A62"/>
    <w:rsid w:val="00AB2A67"/>
    <w:rsid w:val="00AB39AA"/>
    <w:rsid w:val="00AB3AA9"/>
    <w:rsid w:val="00AB4414"/>
    <w:rsid w:val="00AB602F"/>
    <w:rsid w:val="00AB7480"/>
    <w:rsid w:val="00AC010C"/>
    <w:rsid w:val="00AC045F"/>
    <w:rsid w:val="00AC14A0"/>
    <w:rsid w:val="00AC1846"/>
    <w:rsid w:val="00AC1B65"/>
    <w:rsid w:val="00AC20D1"/>
    <w:rsid w:val="00AC29C1"/>
    <w:rsid w:val="00AC2C88"/>
    <w:rsid w:val="00AC35F0"/>
    <w:rsid w:val="00AC489E"/>
    <w:rsid w:val="00AC4F31"/>
    <w:rsid w:val="00AC58E5"/>
    <w:rsid w:val="00AC5F1D"/>
    <w:rsid w:val="00AC664E"/>
    <w:rsid w:val="00AC6948"/>
    <w:rsid w:val="00AC7790"/>
    <w:rsid w:val="00AD04B5"/>
    <w:rsid w:val="00AD1D18"/>
    <w:rsid w:val="00AD2605"/>
    <w:rsid w:val="00AD2A2B"/>
    <w:rsid w:val="00AD38D4"/>
    <w:rsid w:val="00AD3EC7"/>
    <w:rsid w:val="00AD4794"/>
    <w:rsid w:val="00AD48D3"/>
    <w:rsid w:val="00AD4CB5"/>
    <w:rsid w:val="00AD4CE1"/>
    <w:rsid w:val="00AD527A"/>
    <w:rsid w:val="00AD56A1"/>
    <w:rsid w:val="00AD5ED9"/>
    <w:rsid w:val="00AD6649"/>
    <w:rsid w:val="00AD70B0"/>
    <w:rsid w:val="00AE0AFA"/>
    <w:rsid w:val="00AE0F6E"/>
    <w:rsid w:val="00AE0FEE"/>
    <w:rsid w:val="00AE117D"/>
    <w:rsid w:val="00AE14A4"/>
    <w:rsid w:val="00AE18C1"/>
    <w:rsid w:val="00AE1B9B"/>
    <w:rsid w:val="00AE2FB4"/>
    <w:rsid w:val="00AE327C"/>
    <w:rsid w:val="00AE3720"/>
    <w:rsid w:val="00AE388C"/>
    <w:rsid w:val="00AE3C5B"/>
    <w:rsid w:val="00AE3CE9"/>
    <w:rsid w:val="00AE4CAD"/>
    <w:rsid w:val="00AE584C"/>
    <w:rsid w:val="00AE6421"/>
    <w:rsid w:val="00AE753F"/>
    <w:rsid w:val="00AE7E7C"/>
    <w:rsid w:val="00AF1A42"/>
    <w:rsid w:val="00AF21F9"/>
    <w:rsid w:val="00AF2822"/>
    <w:rsid w:val="00AF2CE8"/>
    <w:rsid w:val="00AF4516"/>
    <w:rsid w:val="00AF5058"/>
    <w:rsid w:val="00AF597C"/>
    <w:rsid w:val="00AF6840"/>
    <w:rsid w:val="00AF7E86"/>
    <w:rsid w:val="00B00429"/>
    <w:rsid w:val="00B009E9"/>
    <w:rsid w:val="00B01158"/>
    <w:rsid w:val="00B02294"/>
    <w:rsid w:val="00B03462"/>
    <w:rsid w:val="00B0401E"/>
    <w:rsid w:val="00B04415"/>
    <w:rsid w:val="00B04419"/>
    <w:rsid w:val="00B0492F"/>
    <w:rsid w:val="00B050ED"/>
    <w:rsid w:val="00B05159"/>
    <w:rsid w:val="00B052A2"/>
    <w:rsid w:val="00B102AF"/>
    <w:rsid w:val="00B10601"/>
    <w:rsid w:val="00B10A8E"/>
    <w:rsid w:val="00B11E20"/>
    <w:rsid w:val="00B11F7A"/>
    <w:rsid w:val="00B1222C"/>
    <w:rsid w:val="00B12356"/>
    <w:rsid w:val="00B12981"/>
    <w:rsid w:val="00B12C11"/>
    <w:rsid w:val="00B12D1D"/>
    <w:rsid w:val="00B1358A"/>
    <w:rsid w:val="00B14C3F"/>
    <w:rsid w:val="00B15508"/>
    <w:rsid w:val="00B162CF"/>
    <w:rsid w:val="00B17835"/>
    <w:rsid w:val="00B17964"/>
    <w:rsid w:val="00B179FB"/>
    <w:rsid w:val="00B17B52"/>
    <w:rsid w:val="00B23360"/>
    <w:rsid w:val="00B239FE"/>
    <w:rsid w:val="00B25363"/>
    <w:rsid w:val="00B264F3"/>
    <w:rsid w:val="00B26EB5"/>
    <w:rsid w:val="00B27163"/>
    <w:rsid w:val="00B2774B"/>
    <w:rsid w:val="00B27C6A"/>
    <w:rsid w:val="00B27DB4"/>
    <w:rsid w:val="00B3046E"/>
    <w:rsid w:val="00B312B3"/>
    <w:rsid w:val="00B31447"/>
    <w:rsid w:val="00B314DB"/>
    <w:rsid w:val="00B31BBC"/>
    <w:rsid w:val="00B31F31"/>
    <w:rsid w:val="00B34651"/>
    <w:rsid w:val="00B35032"/>
    <w:rsid w:val="00B35395"/>
    <w:rsid w:val="00B356FE"/>
    <w:rsid w:val="00B36572"/>
    <w:rsid w:val="00B36BF9"/>
    <w:rsid w:val="00B36C1A"/>
    <w:rsid w:val="00B37913"/>
    <w:rsid w:val="00B37A9E"/>
    <w:rsid w:val="00B41059"/>
    <w:rsid w:val="00B41173"/>
    <w:rsid w:val="00B41199"/>
    <w:rsid w:val="00B41741"/>
    <w:rsid w:val="00B444A8"/>
    <w:rsid w:val="00B4471A"/>
    <w:rsid w:val="00B448E6"/>
    <w:rsid w:val="00B45045"/>
    <w:rsid w:val="00B463DF"/>
    <w:rsid w:val="00B464E1"/>
    <w:rsid w:val="00B47AE1"/>
    <w:rsid w:val="00B50B41"/>
    <w:rsid w:val="00B52E45"/>
    <w:rsid w:val="00B52FBD"/>
    <w:rsid w:val="00B5320B"/>
    <w:rsid w:val="00B53756"/>
    <w:rsid w:val="00B53BD5"/>
    <w:rsid w:val="00B5451E"/>
    <w:rsid w:val="00B548F3"/>
    <w:rsid w:val="00B55437"/>
    <w:rsid w:val="00B556F5"/>
    <w:rsid w:val="00B55AF5"/>
    <w:rsid w:val="00B55F4B"/>
    <w:rsid w:val="00B5632E"/>
    <w:rsid w:val="00B56F5F"/>
    <w:rsid w:val="00B5742B"/>
    <w:rsid w:val="00B57903"/>
    <w:rsid w:val="00B57D37"/>
    <w:rsid w:val="00B60715"/>
    <w:rsid w:val="00B607B4"/>
    <w:rsid w:val="00B61084"/>
    <w:rsid w:val="00B61B1B"/>
    <w:rsid w:val="00B61B2E"/>
    <w:rsid w:val="00B61E23"/>
    <w:rsid w:val="00B62223"/>
    <w:rsid w:val="00B625B3"/>
    <w:rsid w:val="00B62F0E"/>
    <w:rsid w:val="00B63C21"/>
    <w:rsid w:val="00B64778"/>
    <w:rsid w:val="00B65369"/>
    <w:rsid w:val="00B66502"/>
    <w:rsid w:val="00B66D04"/>
    <w:rsid w:val="00B67086"/>
    <w:rsid w:val="00B67487"/>
    <w:rsid w:val="00B67975"/>
    <w:rsid w:val="00B67B58"/>
    <w:rsid w:val="00B70B69"/>
    <w:rsid w:val="00B7126D"/>
    <w:rsid w:val="00B71540"/>
    <w:rsid w:val="00B7179E"/>
    <w:rsid w:val="00B71CAB"/>
    <w:rsid w:val="00B72DE2"/>
    <w:rsid w:val="00B73289"/>
    <w:rsid w:val="00B73D8D"/>
    <w:rsid w:val="00B7427B"/>
    <w:rsid w:val="00B7561A"/>
    <w:rsid w:val="00B7584B"/>
    <w:rsid w:val="00B75DDE"/>
    <w:rsid w:val="00B75E02"/>
    <w:rsid w:val="00B761C2"/>
    <w:rsid w:val="00B7646E"/>
    <w:rsid w:val="00B76D16"/>
    <w:rsid w:val="00B77427"/>
    <w:rsid w:val="00B80478"/>
    <w:rsid w:val="00B80E99"/>
    <w:rsid w:val="00B80F4F"/>
    <w:rsid w:val="00B80F82"/>
    <w:rsid w:val="00B81B2E"/>
    <w:rsid w:val="00B8210C"/>
    <w:rsid w:val="00B82128"/>
    <w:rsid w:val="00B841BE"/>
    <w:rsid w:val="00B851CF"/>
    <w:rsid w:val="00B8606F"/>
    <w:rsid w:val="00B869E8"/>
    <w:rsid w:val="00B86B4E"/>
    <w:rsid w:val="00B8756C"/>
    <w:rsid w:val="00B90085"/>
    <w:rsid w:val="00B9020B"/>
    <w:rsid w:val="00B90FD9"/>
    <w:rsid w:val="00B91098"/>
    <w:rsid w:val="00B92699"/>
    <w:rsid w:val="00B92AD3"/>
    <w:rsid w:val="00B92E3B"/>
    <w:rsid w:val="00B940AA"/>
    <w:rsid w:val="00B94115"/>
    <w:rsid w:val="00B946ED"/>
    <w:rsid w:val="00B9498D"/>
    <w:rsid w:val="00B9505E"/>
    <w:rsid w:val="00B95F40"/>
    <w:rsid w:val="00B96679"/>
    <w:rsid w:val="00B97EC2"/>
    <w:rsid w:val="00BA3364"/>
    <w:rsid w:val="00BA3C0D"/>
    <w:rsid w:val="00BA42DD"/>
    <w:rsid w:val="00BA47AC"/>
    <w:rsid w:val="00BA4A0F"/>
    <w:rsid w:val="00BA576C"/>
    <w:rsid w:val="00BA5774"/>
    <w:rsid w:val="00BA5FC1"/>
    <w:rsid w:val="00BA6442"/>
    <w:rsid w:val="00BA711B"/>
    <w:rsid w:val="00BA74FE"/>
    <w:rsid w:val="00BA7C01"/>
    <w:rsid w:val="00BB1E1A"/>
    <w:rsid w:val="00BB1FFE"/>
    <w:rsid w:val="00BB2CBE"/>
    <w:rsid w:val="00BB2EF9"/>
    <w:rsid w:val="00BB2FFC"/>
    <w:rsid w:val="00BB368C"/>
    <w:rsid w:val="00BB3B0C"/>
    <w:rsid w:val="00BB3F35"/>
    <w:rsid w:val="00BB4C5D"/>
    <w:rsid w:val="00BB5AC6"/>
    <w:rsid w:val="00BB5AF4"/>
    <w:rsid w:val="00BB5C21"/>
    <w:rsid w:val="00BB5D5F"/>
    <w:rsid w:val="00BB7C88"/>
    <w:rsid w:val="00BC1337"/>
    <w:rsid w:val="00BC1B67"/>
    <w:rsid w:val="00BC1BD3"/>
    <w:rsid w:val="00BC1C4A"/>
    <w:rsid w:val="00BC1CF1"/>
    <w:rsid w:val="00BC2DFC"/>
    <w:rsid w:val="00BC3416"/>
    <w:rsid w:val="00BC3988"/>
    <w:rsid w:val="00BC3B88"/>
    <w:rsid w:val="00BC3E1F"/>
    <w:rsid w:val="00BC4FF0"/>
    <w:rsid w:val="00BC4FFE"/>
    <w:rsid w:val="00BC663D"/>
    <w:rsid w:val="00BD0662"/>
    <w:rsid w:val="00BD0ED9"/>
    <w:rsid w:val="00BD15C3"/>
    <w:rsid w:val="00BD20D4"/>
    <w:rsid w:val="00BD2670"/>
    <w:rsid w:val="00BD28DA"/>
    <w:rsid w:val="00BD3B9A"/>
    <w:rsid w:val="00BD3C89"/>
    <w:rsid w:val="00BD5679"/>
    <w:rsid w:val="00BD6ADC"/>
    <w:rsid w:val="00BD7CAD"/>
    <w:rsid w:val="00BD7F5F"/>
    <w:rsid w:val="00BE05A3"/>
    <w:rsid w:val="00BE0908"/>
    <w:rsid w:val="00BE180A"/>
    <w:rsid w:val="00BE1AD6"/>
    <w:rsid w:val="00BE23C8"/>
    <w:rsid w:val="00BE34F4"/>
    <w:rsid w:val="00BE44B5"/>
    <w:rsid w:val="00BE50EA"/>
    <w:rsid w:val="00BE5732"/>
    <w:rsid w:val="00BE6974"/>
    <w:rsid w:val="00BE728B"/>
    <w:rsid w:val="00BF0743"/>
    <w:rsid w:val="00BF1E57"/>
    <w:rsid w:val="00BF2168"/>
    <w:rsid w:val="00BF2552"/>
    <w:rsid w:val="00BF4B29"/>
    <w:rsid w:val="00BF4BAE"/>
    <w:rsid w:val="00BF5534"/>
    <w:rsid w:val="00BF588B"/>
    <w:rsid w:val="00BF61A2"/>
    <w:rsid w:val="00BF64B8"/>
    <w:rsid w:val="00BF6955"/>
    <w:rsid w:val="00BF6CD4"/>
    <w:rsid w:val="00BF6D50"/>
    <w:rsid w:val="00BF761E"/>
    <w:rsid w:val="00C0020C"/>
    <w:rsid w:val="00C00BB7"/>
    <w:rsid w:val="00C01325"/>
    <w:rsid w:val="00C01394"/>
    <w:rsid w:val="00C0194C"/>
    <w:rsid w:val="00C02C98"/>
    <w:rsid w:val="00C04617"/>
    <w:rsid w:val="00C04AF9"/>
    <w:rsid w:val="00C04B05"/>
    <w:rsid w:val="00C04BB1"/>
    <w:rsid w:val="00C0521A"/>
    <w:rsid w:val="00C05DE9"/>
    <w:rsid w:val="00C05E7E"/>
    <w:rsid w:val="00C06D27"/>
    <w:rsid w:val="00C06F36"/>
    <w:rsid w:val="00C072B0"/>
    <w:rsid w:val="00C07733"/>
    <w:rsid w:val="00C1082B"/>
    <w:rsid w:val="00C10CB7"/>
    <w:rsid w:val="00C10CFD"/>
    <w:rsid w:val="00C119F9"/>
    <w:rsid w:val="00C11F6A"/>
    <w:rsid w:val="00C129E5"/>
    <w:rsid w:val="00C13D03"/>
    <w:rsid w:val="00C14B66"/>
    <w:rsid w:val="00C1508D"/>
    <w:rsid w:val="00C152FA"/>
    <w:rsid w:val="00C15575"/>
    <w:rsid w:val="00C15FFF"/>
    <w:rsid w:val="00C21375"/>
    <w:rsid w:val="00C21B52"/>
    <w:rsid w:val="00C230FC"/>
    <w:rsid w:val="00C232BE"/>
    <w:rsid w:val="00C241F1"/>
    <w:rsid w:val="00C248E4"/>
    <w:rsid w:val="00C24FB9"/>
    <w:rsid w:val="00C263C9"/>
    <w:rsid w:val="00C276F3"/>
    <w:rsid w:val="00C277A1"/>
    <w:rsid w:val="00C30303"/>
    <w:rsid w:val="00C3206A"/>
    <w:rsid w:val="00C32338"/>
    <w:rsid w:val="00C3354D"/>
    <w:rsid w:val="00C3460B"/>
    <w:rsid w:val="00C346A2"/>
    <w:rsid w:val="00C34FE5"/>
    <w:rsid w:val="00C3647A"/>
    <w:rsid w:val="00C364DF"/>
    <w:rsid w:val="00C36BF7"/>
    <w:rsid w:val="00C3767D"/>
    <w:rsid w:val="00C41BF6"/>
    <w:rsid w:val="00C425C4"/>
    <w:rsid w:val="00C427F7"/>
    <w:rsid w:val="00C43603"/>
    <w:rsid w:val="00C43DE1"/>
    <w:rsid w:val="00C44193"/>
    <w:rsid w:val="00C445D0"/>
    <w:rsid w:val="00C45198"/>
    <w:rsid w:val="00C454CB"/>
    <w:rsid w:val="00C474CF"/>
    <w:rsid w:val="00C47D87"/>
    <w:rsid w:val="00C5071C"/>
    <w:rsid w:val="00C51697"/>
    <w:rsid w:val="00C52040"/>
    <w:rsid w:val="00C5219F"/>
    <w:rsid w:val="00C528D1"/>
    <w:rsid w:val="00C52BD3"/>
    <w:rsid w:val="00C530CD"/>
    <w:rsid w:val="00C53899"/>
    <w:rsid w:val="00C53EA0"/>
    <w:rsid w:val="00C549E0"/>
    <w:rsid w:val="00C552AA"/>
    <w:rsid w:val="00C553FB"/>
    <w:rsid w:val="00C55618"/>
    <w:rsid w:val="00C559C9"/>
    <w:rsid w:val="00C55FCF"/>
    <w:rsid w:val="00C5684D"/>
    <w:rsid w:val="00C57D88"/>
    <w:rsid w:val="00C57DD2"/>
    <w:rsid w:val="00C600F6"/>
    <w:rsid w:val="00C60B8F"/>
    <w:rsid w:val="00C62931"/>
    <w:rsid w:val="00C62A59"/>
    <w:rsid w:val="00C6309E"/>
    <w:rsid w:val="00C635AE"/>
    <w:rsid w:val="00C63A16"/>
    <w:rsid w:val="00C64E88"/>
    <w:rsid w:val="00C6531C"/>
    <w:rsid w:val="00C65736"/>
    <w:rsid w:val="00C65EC4"/>
    <w:rsid w:val="00C6630F"/>
    <w:rsid w:val="00C665AA"/>
    <w:rsid w:val="00C66BB0"/>
    <w:rsid w:val="00C676D7"/>
    <w:rsid w:val="00C7002D"/>
    <w:rsid w:val="00C700E3"/>
    <w:rsid w:val="00C70935"/>
    <w:rsid w:val="00C72BB5"/>
    <w:rsid w:val="00C739D6"/>
    <w:rsid w:val="00C74B3A"/>
    <w:rsid w:val="00C74F60"/>
    <w:rsid w:val="00C74FAA"/>
    <w:rsid w:val="00C754EA"/>
    <w:rsid w:val="00C75729"/>
    <w:rsid w:val="00C75934"/>
    <w:rsid w:val="00C75B06"/>
    <w:rsid w:val="00C75C34"/>
    <w:rsid w:val="00C7622F"/>
    <w:rsid w:val="00C76504"/>
    <w:rsid w:val="00C76664"/>
    <w:rsid w:val="00C7790F"/>
    <w:rsid w:val="00C77942"/>
    <w:rsid w:val="00C77E4C"/>
    <w:rsid w:val="00C806FC"/>
    <w:rsid w:val="00C807F2"/>
    <w:rsid w:val="00C8131D"/>
    <w:rsid w:val="00C8237F"/>
    <w:rsid w:val="00C823C7"/>
    <w:rsid w:val="00C82565"/>
    <w:rsid w:val="00C8292A"/>
    <w:rsid w:val="00C82FE2"/>
    <w:rsid w:val="00C830E5"/>
    <w:rsid w:val="00C83936"/>
    <w:rsid w:val="00C842F8"/>
    <w:rsid w:val="00C852D5"/>
    <w:rsid w:val="00C857DF"/>
    <w:rsid w:val="00C859A6"/>
    <w:rsid w:val="00C865F4"/>
    <w:rsid w:val="00C8769B"/>
    <w:rsid w:val="00C877AF"/>
    <w:rsid w:val="00C877E1"/>
    <w:rsid w:val="00C9015E"/>
    <w:rsid w:val="00C907BE"/>
    <w:rsid w:val="00C91595"/>
    <w:rsid w:val="00C91BFE"/>
    <w:rsid w:val="00C92239"/>
    <w:rsid w:val="00C9335A"/>
    <w:rsid w:val="00C93B5E"/>
    <w:rsid w:val="00C93DE6"/>
    <w:rsid w:val="00C93FF6"/>
    <w:rsid w:val="00C94129"/>
    <w:rsid w:val="00C9455D"/>
    <w:rsid w:val="00C969CD"/>
    <w:rsid w:val="00C975F3"/>
    <w:rsid w:val="00CA1CE7"/>
    <w:rsid w:val="00CA2682"/>
    <w:rsid w:val="00CA2B2B"/>
    <w:rsid w:val="00CA2E3E"/>
    <w:rsid w:val="00CA3067"/>
    <w:rsid w:val="00CA3081"/>
    <w:rsid w:val="00CA3EEB"/>
    <w:rsid w:val="00CA6137"/>
    <w:rsid w:val="00CA6236"/>
    <w:rsid w:val="00CA668E"/>
    <w:rsid w:val="00CA692D"/>
    <w:rsid w:val="00CA6BC8"/>
    <w:rsid w:val="00CA709A"/>
    <w:rsid w:val="00CB04AC"/>
    <w:rsid w:val="00CB04FB"/>
    <w:rsid w:val="00CB1E8A"/>
    <w:rsid w:val="00CB2109"/>
    <w:rsid w:val="00CB23D6"/>
    <w:rsid w:val="00CB2EA2"/>
    <w:rsid w:val="00CB2FFC"/>
    <w:rsid w:val="00CB4C13"/>
    <w:rsid w:val="00CB54BE"/>
    <w:rsid w:val="00CB56ED"/>
    <w:rsid w:val="00CB5C32"/>
    <w:rsid w:val="00CB62F2"/>
    <w:rsid w:val="00CB6E5C"/>
    <w:rsid w:val="00CB743B"/>
    <w:rsid w:val="00CB771D"/>
    <w:rsid w:val="00CC3094"/>
    <w:rsid w:val="00CC321B"/>
    <w:rsid w:val="00CC40DF"/>
    <w:rsid w:val="00CC437A"/>
    <w:rsid w:val="00CC4490"/>
    <w:rsid w:val="00CC469C"/>
    <w:rsid w:val="00CC4E7F"/>
    <w:rsid w:val="00CC4EF5"/>
    <w:rsid w:val="00CC4FFC"/>
    <w:rsid w:val="00CC6FE0"/>
    <w:rsid w:val="00CC77C9"/>
    <w:rsid w:val="00CD0B19"/>
    <w:rsid w:val="00CD1C3C"/>
    <w:rsid w:val="00CD1CB1"/>
    <w:rsid w:val="00CD1E11"/>
    <w:rsid w:val="00CD1E6B"/>
    <w:rsid w:val="00CD2073"/>
    <w:rsid w:val="00CD210D"/>
    <w:rsid w:val="00CD2D6C"/>
    <w:rsid w:val="00CD305E"/>
    <w:rsid w:val="00CD373B"/>
    <w:rsid w:val="00CD3F01"/>
    <w:rsid w:val="00CD407E"/>
    <w:rsid w:val="00CD5D01"/>
    <w:rsid w:val="00CD5E3B"/>
    <w:rsid w:val="00CD7192"/>
    <w:rsid w:val="00CE031F"/>
    <w:rsid w:val="00CE0644"/>
    <w:rsid w:val="00CE1805"/>
    <w:rsid w:val="00CE1A79"/>
    <w:rsid w:val="00CE360F"/>
    <w:rsid w:val="00CE45D2"/>
    <w:rsid w:val="00CE6C93"/>
    <w:rsid w:val="00CE6E98"/>
    <w:rsid w:val="00CE76F3"/>
    <w:rsid w:val="00CE7D34"/>
    <w:rsid w:val="00CF03B9"/>
    <w:rsid w:val="00CF1369"/>
    <w:rsid w:val="00CF1C3E"/>
    <w:rsid w:val="00CF2659"/>
    <w:rsid w:val="00CF2799"/>
    <w:rsid w:val="00CF27AC"/>
    <w:rsid w:val="00CF33DA"/>
    <w:rsid w:val="00CF35B0"/>
    <w:rsid w:val="00CF37D5"/>
    <w:rsid w:val="00CF4EA1"/>
    <w:rsid w:val="00CF56F1"/>
    <w:rsid w:val="00CF71B6"/>
    <w:rsid w:val="00CF7892"/>
    <w:rsid w:val="00CF7CEF"/>
    <w:rsid w:val="00D0102B"/>
    <w:rsid w:val="00D01833"/>
    <w:rsid w:val="00D0184A"/>
    <w:rsid w:val="00D02364"/>
    <w:rsid w:val="00D0243F"/>
    <w:rsid w:val="00D02BD2"/>
    <w:rsid w:val="00D0316A"/>
    <w:rsid w:val="00D0377E"/>
    <w:rsid w:val="00D03BF8"/>
    <w:rsid w:val="00D03E79"/>
    <w:rsid w:val="00D0404D"/>
    <w:rsid w:val="00D04ADB"/>
    <w:rsid w:val="00D04CCD"/>
    <w:rsid w:val="00D057A8"/>
    <w:rsid w:val="00D05934"/>
    <w:rsid w:val="00D05AEE"/>
    <w:rsid w:val="00D06CDE"/>
    <w:rsid w:val="00D07085"/>
    <w:rsid w:val="00D071FC"/>
    <w:rsid w:val="00D07A2A"/>
    <w:rsid w:val="00D10393"/>
    <w:rsid w:val="00D110F1"/>
    <w:rsid w:val="00D11725"/>
    <w:rsid w:val="00D12B0E"/>
    <w:rsid w:val="00D12D11"/>
    <w:rsid w:val="00D131E7"/>
    <w:rsid w:val="00D135F9"/>
    <w:rsid w:val="00D13DB6"/>
    <w:rsid w:val="00D153FF"/>
    <w:rsid w:val="00D15922"/>
    <w:rsid w:val="00D15F52"/>
    <w:rsid w:val="00D16C8D"/>
    <w:rsid w:val="00D173A5"/>
    <w:rsid w:val="00D17AD4"/>
    <w:rsid w:val="00D204EB"/>
    <w:rsid w:val="00D2146F"/>
    <w:rsid w:val="00D214D0"/>
    <w:rsid w:val="00D2168F"/>
    <w:rsid w:val="00D2181A"/>
    <w:rsid w:val="00D21C72"/>
    <w:rsid w:val="00D2297F"/>
    <w:rsid w:val="00D22F97"/>
    <w:rsid w:val="00D24232"/>
    <w:rsid w:val="00D243A3"/>
    <w:rsid w:val="00D26941"/>
    <w:rsid w:val="00D30119"/>
    <w:rsid w:val="00D321C9"/>
    <w:rsid w:val="00D3287A"/>
    <w:rsid w:val="00D32D00"/>
    <w:rsid w:val="00D3317B"/>
    <w:rsid w:val="00D332B5"/>
    <w:rsid w:val="00D33501"/>
    <w:rsid w:val="00D33553"/>
    <w:rsid w:val="00D34683"/>
    <w:rsid w:val="00D350AE"/>
    <w:rsid w:val="00D3511C"/>
    <w:rsid w:val="00D35F51"/>
    <w:rsid w:val="00D361B2"/>
    <w:rsid w:val="00D363DA"/>
    <w:rsid w:val="00D36FD3"/>
    <w:rsid w:val="00D37A6D"/>
    <w:rsid w:val="00D4057F"/>
    <w:rsid w:val="00D40BE4"/>
    <w:rsid w:val="00D41108"/>
    <w:rsid w:val="00D41231"/>
    <w:rsid w:val="00D41523"/>
    <w:rsid w:val="00D41716"/>
    <w:rsid w:val="00D41C78"/>
    <w:rsid w:val="00D4280D"/>
    <w:rsid w:val="00D43787"/>
    <w:rsid w:val="00D43EA5"/>
    <w:rsid w:val="00D442E6"/>
    <w:rsid w:val="00D45B31"/>
    <w:rsid w:val="00D45D0D"/>
    <w:rsid w:val="00D47F5D"/>
    <w:rsid w:val="00D5007E"/>
    <w:rsid w:val="00D501C5"/>
    <w:rsid w:val="00D502E6"/>
    <w:rsid w:val="00D506CF"/>
    <w:rsid w:val="00D50C38"/>
    <w:rsid w:val="00D50D51"/>
    <w:rsid w:val="00D50F73"/>
    <w:rsid w:val="00D51CEB"/>
    <w:rsid w:val="00D527CE"/>
    <w:rsid w:val="00D52AA5"/>
    <w:rsid w:val="00D53087"/>
    <w:rsid w:val="00D54808"/>
    <w:rsid w:val="00D5562C"/>
    <w:rsid w:val="00D5636C"/>
    <w:rsid w:val="00D56604"/>
    <w:rsid w:val="00D57771"/>
    <w:rsid w:val="00D57E55"/>
    <w:rsid w:val="00D60FE9"/>
    <w:rsid w:val="00D61F1F"/>
    <w:rsid w:val="00D62A71"/>
    <w:rsid w:val="00D63AE3"/>
    <w:rsid w:val="00D64080"/>
    <w:rsid w:val="00D640E3"/>
    <w:rsid w:val="00D6456D"/>
    <w:rsid w:val="00D64E1B"/>
    <w:rsid w:val="00D65E01"/>
    <w:rsid w:val="00D65EFD"/>
    <w:rsid w:val="00D701B1"/>
    <w:rsid w:val="00D70BCA"/>
    <w:rsid w:val="00D71318"/>
    <w:rsid w:val="00D718DE"/>
    <w:rsid w:val="00D7317C"/>
    <w:rsid w:val="00D73A4F"/>
    <w:rsid w:val="00D74B0C"/>
    <w:rsid w:val="00D7512A"/>
    <w:rsid w:val="00D756AA"/>
    <w:rsid w:val="00D7622B"/>
    <w:rsid w:val="00D77773"/>
    <w:rsid w:val="00D808EE"/>
    <w:rsid w:val="00D8099C"/>
    <w:rsid w:val="00D81631"/>
    <w:rsid w:val="00D823C4"/>
    <w:rsid w:val="00D8242C"/>
    <w:rsid w:val="00D826F0"/>
    <w:rsid w:val="00D82DEE"/>
    <w:rsid w:val="00D83364"/>
    <w:rsid w:val="00D8399A"/>
    <w:rsid w:val="00D83BC8"/>
    <w:rsid w:val="00D840ED"/>
    <w:rsid w:val="00D844E1"/>
    <w:rsid w:val="00D84F4A"/>
    <w:rsid w:val="00D85415"/>
    <w:rsid w:val="00D85440"/>
    <w:rsid w:val="00D854FE"/>
    <w:rsid w:val="00D86240"/>
    <w:rsid w:val="00D877BA"/>
    <w:rsid w:val="00D877EC"/>
    <w:rsid w:val="00D878B4"/>
    <w:rsid w:val="00D879A9"/>
    <w:rsid w:val="00D916AD"/>
    <w:rsid w:val="00D916C5"/>
    <w:rsid w:val="00D91DF9"/>
    <w:rsid w:val="00D922B7"/>
    <w:rsid w:val="00D95DFE"/>
    <w:rsid w:val="00D977C7"/>
    <w:rsid w:val="00D97F13"/>
    <w:rsid w:val="00DA1302"/>
    <w:rsid w:val="00DA3CEB"/>
    <w:rsid w:val="00DA4E86"/>
    <w:rsid w:val="00DA557C"/>
    <w:rsid w:val="00DA56E0"/>
    <w:rsid w:val="00DA59FA"/>
    <w:rsid w:val="00DA5B46"/>
    <w:rsid w:val="00DA64AD"/>
    <w:rsid w:val="00DB080F"/>
    <w:rsid w:val="00DB183C"/>
    <w:rsid w:val="00DB1CF1"/>
    <w:rsid w:val="00DB1F6A"/>
    <w:rsid w:val="00DB25FF"/>
    <w:rsid w:val="00DB28D4"/>
    <w:rsid w:val="00DB2D2F"/>
    <w:rsid w:val="00DB2DDD"/>
    <w:rsid w:val="00DB3888"/>
    <w:rsid w:val="00DB3D9E"/>
    <w:rsid w:val="00DB3FB6"/>
    <w:rsid w:val="00DB4259"/>
    <w:rsid w:val="00DB4D5F"/>
    <w:rsid w:val="00DB543B"/>
    <w:rsid w:val="00DB566E"/>
    <w:rsid w:val="00DB60DB"/>
    <w:rsid w:val="00DB61DC"/>
    <w:rsid w:val="00DC2AFB"/>
    <w:rsid w:val="00DC399C"/>
    <w:rsid w:val="00DC3AB6"/>
    <w:rsid w:val="00DC516C"/>
    <w:rsid w:val="00DC64EB"/>
    <w:rsid w:val="00DC6B50"/>
    <w:rsid w:val="00DC6B96"/>
    <w:rsid w:val="00DC6E87"/>
    <w:rsid w:val="00DC712E"/>
    <w:rsid w:val="00DC7DDC"/>
    <w:rsid w:val="00DD03C7"/>
    <w:rsid w:val="00DD05E2"/>
    <w:rsid w:val="00DD0B0E"/>
    <w:rsid w:val="00DD10B5"/>
    <w:rsid w:val="00DD1B93"/>
    <w:rsid w:val="00DD2342"/>
    <w:rsid w:val="00DD247E"/>
    <w:rsid w:val="00DD26F5"/>
    <w:rsid w:val="00DD3095"/>
    <w:rsid w:val="00DD32E5"/>
    <w:rsid w:val="00DD3B69"/>
    <w:rsid w:val="00DD6476"/>
    <w:rsid w:val="00DD6AF4"/>
    <w:rsid w:val="00DD74A3"/>
    <w:rsid w:val="00DD7BE1"/>
    <w:rsid w:val="00DE0673"/>
    <w:rsid w:val="00DE0B06"/>
    <w:rsid w:val="00DE0CF5"/>
    <w:rsid w:val="00DE17A7"/>
    <w:rsid w:val="00DE1933"/>
    <w:rsid w:val="00DE3597"/>
    <w:rsid w:val="00DE381C"/>
    <w:rsid w:val="00DE3887"/>
    <w:rsid w:val="00DE4B3C"/>
    <w:rsid w:val="00DE5DE0"/>
    <w:rsid w:val="00DE5DEB"/>
    <w:rsid w:val="00DE6707"/>
    <w:rsid w:val="00DE6A58"/>
    <w:rsid w:val="00DE72FB"/>
    <w:rsid w:val="00DE7701"/>
    <w:rsid w:val="00DF1C47"/>
    <w:rsid w:val="00DF20C6"/>
    <w:rsid w:val="00DF2328"/>
    <w:rsid w:val="00DF2E63"/>
    <w:rsid w:val="00DF3175"/>
    <w:rsid w:val="00DF5E34"/>
    <w:rsid w:val="00DF6A39"/>
    <w:rsid w:val="00DF6D7B"/>
    <w:rsid w:val="00DF6ED7"/>
    <w:rsid w:val="00DF7097"/>
    <w:rsid w:val="00DF7A9B"/>
    <w:rsid w:val="00E00096"/>
    <w:rsid w:val="00E01467"/>
    <w:rsid w:val="00E0150F"/>
    <w:rsid w:val="00E01958"/>
    <w:rsid w:val="00E01AA6"/>
    <w:rsid w:val="00E03D37"/>
    <w:rsid w:val="00E0409C"/>
    <w:rsid w:val="00E04756"/>
    <w:rsid w:val="00E05543"/>
    <w:rsid w:val="00E056E9"/>
    <w:rsid w:val="00E05A10"/>
    <w:rsid w:val="00E0620A"/>
    <w:rsid w:val="00E06913"/>
    <w:rsid w:val="00E0741D"/>
    <w:rsid w:val="00E078FE"/>
    <w:rsid w:val="00E10039"/>
    <w:rsid w:val="00E106F7"/>
    <w:rsid w:val="00E129DD"/>
    <w:rsid w:val="00E141A7"/>
    <w:rsid w:val="00E1457D"/>
    <w:rsid w:val="00E147DF"/>
    <w:rsid w:val="00E160D9"/>
    <w:rsid w:val="00E16234"/>
    <w:rsid w:val="00E165AE"/>
    <w:rsid w:val="00E1669C"/>
    <w:rsid w:val="00E1759D"/>
    <w:rsid w:val="00E2048B"/>
    <w:rsid w:val="00E213F8"/>
    <w:rsid w:val="00E21E02"/>
    <w:rsid w:val="00E21F09"/>
    <w:rsid w:val="00E22B7A"/>
    <w:rsid w:val="00E22FF8"/>
    <w:rsid w:val="00E23241"/>
    <w:rsid w:val="00E232D3"/>
    <w:rsid w:val="00E30390"/>
    <w:rsid w:val="00E31EFB"/>
    <w:rsid w:val="00E34079"/>
    <w:rsid w:val="00E34108"/>
    <w:rsid w:val="00E34BFD"/>
    <w:rsid w:val="00E35BF9"/>
    <w:rsid w:val="00E36034"/>
    <w:rsid w:val="00E368A0"/>
    <w:rsid w:val="00E3727B"/>
    <w:rsid w:val="00E379E0"/>
    <w:rsid w:val="00E37A94"/>
    <w:rsid w:val="00E40012"/>
    <w:rsid w:val="00E40D4C"/>
    <w:rsid w:val="00E40FA2"/>
    <w:rsid w:val="00E41062"/>
    <w:rsid w:val="00E410CD"/>
    <w:rsid w:val="00E418D4"/>
    <w:rsid w:val="00E41B42"/>
    <w:rsid w:val="00E42213"/>
    <w:rsid w:val="00E42BA9"/>
    <w:rsid w:val="00E43152"/>
    <w:rsid w:val="00E43426"/>
    <w:rsid w:val="00E43611"/>
    <w:rsid w:val="00E43EDA"/>
    <w:rsid w:val="00E43F4F"/>
    <w:rsid w:val="00E4415C"/>
    <w:rsid w:val="00E44999"/>
    <w:rsid w:val="00E44DEF"/>
    <w:rsid w:val="00E44FF0"/>
    <w:rsid w:val="00E45567"/>
    <w:rsid w:val="00E46748"/>
    <w:rsid w:val="00E46D0D"/>
    <w:rsid w:val="00E46DC4"/>
    <w:rsid w:val="00E473F1"/>
    <w:rsid w:val="00E47711"/>
    <w:rsid w:val="00E47E35"/>
    <w:rsid w:val="00E5039E"/>
    <w:rsid w:val="00E51AD5"/>
    <w:rsid w:val="00E5429E"/>
    <w:rsid w:val="00E5496E"/>
    <w:rsid w:val="00E54AAD"/>
    <w:rsid w:val="00E54F29"/>
    <w:rsid w:val="00E5562E"/>
    <w:rsid w:val="00E55B8B"/>
    <w:rsid w:val="00E56519"/>
    <w:rsid w:val="00E56C93"/>
    <w:rsid w:val="00E570DE"/>
    <w:rsid w:val="00E57843"/>
    <w:rsid w:val="00E57D14"/>
    <w:rsid w:val="00E60B52"/>
    <w:rsid w:val="00E60F12"/>
    <w:rsid w:val="00E61228"/>
    <w:rsid w:val="00E61281"/>
    <w:rsid w:val="00E629EA"/>
    <w:rsid w:val="00E62EE8"/>
    <w:rsid w:val="00E63A2E"/>
    <w:rsid w:val="00E63F3C"/>
    <w:rsid w:val="00E64691"/>
    <w:rsid w:val="00E64B6A"/>
    <w:rsid w:val="00E64F08"/>
    <w:rsid w:val="00E64F6C"/>
    <w:rsid w:val="00E657A7"/>
    <w:rsid w:val="00E65C55"/>
    <w:rsid w:val="00E666C6"/>
    <w:rsid w:val="00E66A12"/>
    <w:rsid w:val="00E66BB4"/>
    <w:rsid w:val="00E66DC1"/>
    <w:rsid w:val="00E66F07"/>
    <w:rsid w:val="00E67DF3"/>
    <w:rsid w:val="00E70367"/>
    <w:rsid w:val="00E70A2F"/>
    <w:rsid w:val="00E714AE"/>
    <w:rsid w:val="00E72DEE"/>
    <w:rsid w:val="00E7455E"/>
    <w:rsid w:val="00E745AE"/>
    <w:rsid w:val="00E7493B"/>
    <w:rsid w:val="00E74BE8"/>
    <w:rsid w:val="00E74F38"/>
    <w:rsid w:val="00E75149"/>
    <w:rsid w:val="00E7527A"/>
    <w:rsid w:val="00E7576C"/>
    <w:rsid w:val="00E75904"/>
    <w:rsid w:val="00E7594B"/>
    <w:rsid w:val="00E76023"/>
    <w:rsid w:val="00E76123"/>
    <w:rsid w:val="00E76580"/>
    <w:rsid w:val="00E76F36"/>
    <w:rsid w:val="00E7709A"/>
    <w:rsid w:val="00E7738D"/>
    <w:rsid w:val="00E77565"/>
    <w:rsid w:val="00E7797F"/>
    <w:rsid w:val="00E77A41"/>
    <w:rsid w:val="00E77C3B"/>
    <w:rsid w:val="00E807AF"/>
    <w:rsid w:val="00E80834"/>
    <w:rsid w:val="00E810D7"/>
    <w:rsid w:val="00E817E1"/>
    <w:rsid w:val="00E81C8A"/>
    <w:rsid w:val="00E81D56"/>
    <w:rsid w:val="00E822DA"/>
    <w:rsid w:val="00E82417"/>
    <w:rsid w:val="00E82452"/>
    <w:rsid w:val="00E82858"/>
    <w:rsid w:val="00E82B0F"/>
    <w:rsid w:val="00E82EF2"/>
    <w:rsid w:val="00E83044"/>
    <w:rsid w:val="00E83152"/>
    <w:rsid w:val="00E831E6"/>
    <w:rsid w:val="00E834C5"/>
    <w:rsid w:val="00E84788"/>
    <w:rsid w:val="00E84A48"/>
    <w:rsid w:val="00E84DDD"/>
    <w:rsid w:val="00E865C2"/>
    <w:rsid w:val="00E87505"/>
    <w:rsid w:val="00E90D63"/>
    <w:rsid w:val="00E91A5D"/>
    <w:rsid w:val="00E91DAD"/>
    <w:rsid w:val="00E91DF0"/>
    <w:rsid w:val="00E923F6"/>
    <w:rsid w:val="00E93686"/>
    <w:rsid w:val="00E94F39"/>
    <w:rsid w:val="00E9503C"/>
    <w:rsid w:val="00E9593E"/>
    <w:rsid w:val="00E9624C"/>
    <w:rsid w:val="00E96574"/>
    <w:rsid w:val="00E96B59"/>
    <w:rsid w:val="00EA17A9"/>
    <w:rsid w:val="00EA1B4B"/>
    <w:rsid w:val="00EA29B6"/>
    <w:rsid w:val="00EA2C80"/>
    <w:rsid w:val="00EA2FE6"/>
    <w:rsid w:val="00EA47B2"/>
    <w:rsid w:val="00EA56D4"/>
    <w:rsid w:val="00EA5FC6"/>
    <w:rsid w:val="00EA6D4E"/>
    <w:rsid w:val="00EA72B8"/>
    <w:rsid w:val="00EA7577"/>
    <w:rsid w:val="00EA7608"/>
    <w:rsid w:val="00EA7F1F"/>
    <w:rsid w:val="00EB02F3"/>
    <w:rsid w:val="00EB14FD"/>
    <w:rsid w:val="00EB1B4E"/>
    <w:rsid w:val="00EB1BCC"/>
    <w:rsid w:val="00EB4241"/>
    <w:rsid w:val="00EB5143"/>
    <w:rsid w:val="00EB53AC"/>
    <w:rsid w:val="00EB5415"/>
    <w:rsid w:val="00EB565B"/>
    <w:rsid w:val="00EB7AC0"/>
    <w:rsid w:val="00EC00CF"/>
    <w:rsid w:val="00EC03E6"/>
    <w:rsid w:val="00EC097A"/>
    <w:rsid w:val="00EC169D"/>
    <w:rsid w:val="00EC171E"/>
    <w:rsid w:val="00EC1B1B"/>
    <w:rsid w:val="00EC36A3"/>
    <w:rsid w:val="00EC40F1"/>
    <w:rsid w:val="00EC45E4"/>
    <w:rsid w:val="00EC4AC2"/>
    <w:rsid w:val="00EC4F79"/>
    <w:rsid w:val="00EC514B"/>
    <w:rsid w:val="00EC51AF"/>
    <w:rsid w:val="00EC6346"/>
    <w:rsid w:val="00EC682C"/>
    <w:rsid w:val="00ED0249"/>
    <w:rsid w:val="00ED053A"/>
    <w:rsid w:val="00ED0839"/>
    <w:rsid w:val="00ED0CCE"/>
    <w:rsid w:val="00ED1C19"/>
    <w:rsid w:val="00ED2529"/>
    <w:rsid w:val="00ED266D"/>
    <w:rsid w:val="00ED27A6"/>
    <w:rsid w:val="00ED2A38"/>
    <w:rsid w:val="00ED4102"/>
    <w:rsid w:val="00ED42DD"/>
    <w:rsid w:val="00ED4C2B"/>
    <w:rsid w:val="00ED4C9E"/>
    <w:rsid w:val="00ED4F23"/>
    <w:rsid w:val="00ED5663"/>
    <w:rsid w:val="00ED583D"/>
    <w:rsid w:val="00ED585A"/>
    <w:rsid w:val="00ED5EC2"/>
    <w:rsid w:val="00ED5EEF"/>
    <w:rsid w:val="00ED7810"/>
    <w:rsid w:val="00EE0388"/>
    <w:rsid w:val="00EE0F0A"/>
    <w:rsid w:val="00EE0F1F"/>
    <w:rsid w:val="00EE1B9C"/>
    <w:rsid w:val="00EE37B9"/>
    <w:rsid w:val="00EE5132"/>
    <w:rsid w:val="00EE69C0"/>
    <w:rsid w:val="00EE74EA"/>
    <w:rsid w:val="00EE7F83"/>
    <w:rsid w:val="00EF0866"/>
    <w:rsid w:val="00EF1FBC"/>
    <w:rsid w:val="00EF2114"/>
    <w:rsid w:val="00EF3D1F"/>
    <w:rsid w:val="00EF3F46"/>
    <w:rsid w:val="00EF418A"/>
    <w:rsid w:val="00EF4938"/>
    <w:rsid w:val="00EF4E87"/>
    <w:rsid w:val="00EF4F4F"/>
    <w:rsid w:val="00EF5299"/>
    <w:rsid w:val="00EF55DC"/>
    <w:rsid w:val="00EF5811"/>
    <w:rsid w:val="00EF605C"/>
    <w:rsid w:val="00EF77E4"/>
    <w:rsid w:val="00F00492"/>
    <w:rsid w:val="00F00B26"/>
    <w:rsid w:val="00F010BE"/>
    <w:rsid w:val="00F016AA"/>
    <w:rsid w:val="00F018DD"/>
    <w:rsid w:val="00F01E94"/>
    <w:rsid w:val="00F02005"/>
    <w:rsid w:val="00F020CC"/>
    <w:rsid w:val="00F0370B"/>
    <w:rsid w:val="00F03897"/>
    <w:rsid w:val="00F043E1"/>
    <w:rsid w:val="00F046A0"/>
    <w:rsid w:val="00F04D70"/>
    <w:rsid w:val="00F05E58"/>
    <w:rsid w:val="00F068F4"/>
    <w:rsid w:val="00F07ECB"/>
    <w:rsid w:val="00F10717"/>
    <w:rsid w:val="00F10EDD"/>
    <w:rsid w:val="00F119E4"/>
    <w:rsid w:val="00F11ADC"/>
    <w:rsid w:val="00F12817"/>
    <w:rsid w:val="00F153A2"/>
    <w:rsid w:val="00F1580C"/>
    <w:rsid w:val="00F1788E"/>
    <w:rsid w:val="00F17AD1"/>
    <w:rsid w:val="00F17D73"/>
    <w:rsid w:val="00F17F58"/>
    <w:rsid w:val="00F17FC2"/>
    <w:rsid w:val="00F216F5"/>
    <w:rsid w:val="00F21F06"/>
    <w:rsid w:val="00F25AD6"/>
    <w:rsid w:val="00F25C28"/>
    <w:rsid w:val="00F26D68"/>
    <w:rsid w:val="00F27FF7"/>
    <w:rsid w:val="00F30EF9"/>
    <w:rsid w:val="00F310E1"/>
    <w:rsid w:val="00F312C6"/>
    <w:rsid w:val="00F316F0"/>
    <w:rsid w:val="00F3217B"/>
    <w:rsid w:val="00F32324"/>
    <w:rsid w:val="00F33500"/>
    <w:rsid w:val="00F339D5"/>
    <w:rsid w:val="00F33AFB"/>
    <w:rsid w:val="00F33F9F"/>
    <w:rsid w:val="00F340BA"/>
    <w:rsid w:val="00F35A31"/>
    <w:rsid w:val="00F35FE6"/>
    <w:rsid w:val="00F36ABE"/>
    <w:rsid w:val="00F374FB"/>
    <w:rsid w:val="00F40970"/>
    <w:rsid w:val="00F44BC4"/>
    <w:rsid w:val="00F44FA9"/>
    <w:rsid w:val="00F45C77"/>
    <w:rsid w:val="00F46696"/>
    <w:rsid w:val="00F46A0F"/>
    <w:rsid w:val="00F47064"/>
    <w:rsid w:val="00F4733B"/>
    <w:rsid w:val="00F47827"/>
    <w:rsid w:val="00F47ABD"/>
    <w:rsid w:val="00F50108"/>
    <w:rsid w:val="00F50474"/>
    <w:rsid w:val="00F50723"/>
    <w:rsid w:val="00F51EEC"/>
    <w:rsid w:val="00F5236C"/>
    <w:rsid w:val="00F52E1A"/>
    <w:rsid w:val="00F532A6"/>
    <w:rsid w:val="00F54845"/>
    <w:rsid w:val="00F5485D"/>
    <w:rsid w:val="00F548BB"/>
    <w:rsid w:val="00F55B82"/>
    <w:rsid w:val="00F56EA4"/>
    <w:rsid w:val="00F60390"/>
    <w:rsid w:val="00F618A1"/>
    <w:rsid w:val="00F6239D"/>
    <w:rsid w:val="00F62406"/>
    <w:rsid w:val="00F63067"/>
    <w:rsid w:val="00F631CF"/>
    <w:rsid w:val="00F63C62"/>
    <w:rsid w:val="00F64DE1"/>
    <w:rsid w:val="00F65D87"/>
    <w:rsid w:val="00F65F59"/>
    <w:rsid w:val="00F663E1"/>
    <w:rsid w:val="00F66644"/>
    <w:rsid w:val="00F66C1E"/>
    <w:rsid w:val="00F67939"/>
    <w:rsid w:val="00F70265"/>
    <w:rsid w:val="00F7270A"/>
    <w:rsid w:val="00F748B5"/>
    <w:rsid w:val="00F7563D"/>
    <w:rsid w:val="00F75912"/>
    <w:rsid w:val="00F83291"/>
    <w:rsid w:val="00F83A91"/>
    <w:rsid w:val="00F843B9"/>
    <w:rsid w:val="00F850F1"/>
    <w:rsid w:val="00F85358"/>
    <w:rsid w:val="00F861D0"/>
    <w:rsid w:val="00F86AAB"/>
    <w:rsid w:val="00F86FE5"/>
    <w:rsid w:val="00F873AB"/>
    <w:rsid w:val="00F875F4"/>
    <w:rsid w:val="00F90F59"/>
    <w:rsid w:val="00F911B8"/>
    <w:rsid w:val="00F916EF"/>
    <w:rsid w:val="00F9180B"/>
    <w:rsid w:val="00F91C68"/>
    <w:rsid w:val="00F922CC"/>
    <w:rsid w:val="00F93155"/>
    <w:rsid w:val="00F95041"/>
    <w:rsid w:val="00F95051"/>
    <w:rsid w:val="00F95133"/>
    <w:rsid w:val="00F951E2"/>
    <w:rsid w:val="00F95EC0"/>
    <w:rsid w:val="00F96AAC"/>
    <w:rsid w:val="00F9706B"/>
    <w:rsid w:val="00F9765B"/>
    <w:rsid w:val="00F97FA2"/>
    <w:rsid w:val="00FA047B"/>
    <w:rsid w:val="00FA1544"/>
    <w:rsid w:val="00FA184E"/>
    <w:rsid w:val="00FA1955"/>
    <w:rsid w:val="00FA1E79"/>
    <w:rsid w:val="00FA2FB3"/>
    <w:rsid w:val="00FA3BDD"/>
    <w:rsid w:val="00FA4CCF"/>
    <w:rsid w:val="00FA4DD5"/>
    <w:rsid w:val="00FA4FBE"/>
    <w:rsid w:val="00FA614E"/>
    <w:rsid w:val="00FA6484"/>
    <w:rsid w:val="00FA745D"/>
    <w:rsid w:val="00FA792D"/>
    <w:rsid w:val="00FA7FD1"/>
    <w:rsid w:val="00FB0974"/>
    <w:rsid w:val="00FB0A4B"/>
    <w:rsid w:val="00FB0DCD"/>
    <w:rsid w:val="00FB24F0"/>
    <w:rsid w:val="00FB2AF5"/>
    <w:rsid w:val="00FB2FC7"/>
    <w:rsid w:val="00FB39E0"/>
    <w:rsid w:val="00FB3CD4"/>
    <w:rsid w:val="00FB544F"/>
    <w:rsid w:val="00FB60EE"/>
    <w:rsid w:val="00FB6230"/>
    <w:rsid w:val="00FB6AA2"/>
    <w:rsid w:val="00FB7CA2"/>
    <w:rsid w:val="00FC078B"/>
    <w:rsid w:val="00FC1026"/>
    <w:rsid w:val="00FC17A7"/>
    <w:rsid w:val="00FC17DC"/>
    <w:rsid w:val="00FC1FC6"/>
    <w:rsid w:val="00FC3B2E"/>
    <w:rsid w:val="00FC48A8"/>
    <w:rsid w:val="00FC5617"/>
    <w:rsid w:val="00FC56E3"/>
    <w:rsid w:val="00FC57AA"/>
    <w:rsid w:val="00FC62E6"/>
    <w:rsid w:val="00FC63FB"/>
    <w:rsid w:val="00FC7BA1"/>
    <w:rsid w:val="00FD130C"/>
    <w:rsid w:val="00FD1AD6"/>
    <w:rsid w:val="00FD2514"/>
    <w:rsid w:val="00FD2D7F"/>
    <w:rsid w:val="00FD2EE5"/>
    <w:rsid w:val="00FD32A8"/>
    <w:rsid w:val="00FD332F"/>
    <w:rsid w:val="00FD43E9"/>
    <w:rsid w:val="00FD447F"/>
    <w:rsid w:val="00FD6D0B"/>
    <w:rsid w:val="00FD6DA9"/>
    <w:rsid w:val="00FD7EEF"/>
    <w:rsid w:val="00FE0D09"/>
    <w:rsid w:val="00FE2A39"/>
    <w:rsid w:val="00FE2AF4"/>
    <w:rsid w:val="00FE32C1"/>
    <w:rsid w:val="00FE3AA9"/>
    <w:rsid w:val="00FE465C"/>
    <w:rsid w:val="00FE4A73"/>
    <w:rsid w:val="00FE6475"/>
    <w:rsid w:val="00FE6B7A"/>
    <w:rsid w:val="00FE6C77"/>
    <w:rsid w:val="00FE6DEA"/>
    <w:rsid w:val="00FF0966"/>
    <w:rsid w:val="00FF12DA"/>
    <w:rsid w:val="00FF13D9"/>
    <w:rsid w:val="00FF2D7E"/>
    <w:rsid w:val="00FF319A"/>
    <w:rsid w:val="00FF3727"/>
    <w:rsid w:val="00FF4311"/>
    <w:rsid w:val="00FF48BD"/>
    <w:rsid w:val="00FF4B6A"/>
    <w:rsid w:val="00FF570E"/>
    <w:rsid w:val="00FF59A7"/>
    <w:rsid w:val="00FF59B8"/>
    <w:rsid w:val="00FF602C"/>
    <w:rsid w:val="00FF6800"/>
    <w:rsid w:val="00FF71C8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2AFE5-3475-47B9-9FE8-5C5E027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72"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left="1440" w:hanging="164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ind w:left="-1701" w:firstLine="1701"/>
      <w:jc w:val="center"/>
    </w:pPr>
    <w:rPr>
      <w:sz w:val="24"/>
    </w:rPr>
  </w:style>
  <w:style w:type="paragraph" w:styleId="a9">
    <w:name w:val="Body Text Indent"/>
    <w:basedOn w:val="a"/>
    <w:pPr>
      <w:ind w:left="851"/>
    </w:pPr>
    <w:rPr>
      <w:sz w:val="26"/>
      <w:lang w:val="uk-UA"/>
    </w:rPr>
  </w:style>
  <w:style w:type="paragraph" w:styleId="20">
    <w:name w:val="Body Text Indent 2"/>
    <w:basedOn w:val="a"/>
    <w:pPr>
      <w:ind w:firstLine="1276"/>
    </w:pPr>
    <w:rPr>
      <w:sz w:val="26"/>
      <w:lang w:val="uk-UA"/>
    </w:rPr>
  </w:style>
  <w:style w:type="paragraph" w:styleId="3">
    <w:name w:val="Body Text Indent 3"/>
    <w:basedOn w:val="a"/>
    <w:pPr>
      <w:ind w:left="851" w:firstLine="283"/>
      <w:jc w:val="both"/>
    </w:pPr>
    <w:rPr>
      <w:sz w:val="26"/>
      <w:lang w:val="uk-UA"/>
    </w:rPr>
  </w:style>
  <w:style w:type="paragraph" w:styleId="aa">
    <w:name w:val="Block Text"/>
    <w:basedOn w:val="a"/>
    <w:pPr>
      <w:ind w:left="851" w:right="425" w:firstLine="283"/>
      <w:jc w:val="both"/>
    </w:pPr>
    <w:rPr>
      <w:sz w:val="26"/>
      <w:lang w:val="uk-UA"/>
    </w:rPr>
  </w:style>
  <w:style w:type="character" w:styleId="ab">
    <w:name w:val="page number"/>
    <w:basedOn w:val="a0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8">
    <w:name w:val="xl58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8">
    <w:name w:val="Назва Знак"/>
    <w:link w:val="a7"/>
    <w:rsid w:val="00464DC4"/>
    <w:rPr>
      <w:sz w:val="24"/>
    </w:rPr>
  </w:style>
  <w:style w:type="character" w:customStyle="1" w:styleId="a4">
    <w:name w:val="Верхній колонтитул Знак"/>
    <w:link w:val="a3"/>
    <w:rsid w:val="00BA74FE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A1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100A14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ій колонтитул Знак"/>
    <w:link w:val="a5"/>
    <w:uiPriority w:val="99"/>
    <w:rsid w:val="00BC4FFE"/>
    <w:rPr>
      <w:lang w:val="ru-RU" w:eastAsia="ru-RU"/>
    </w:rPr>
  </w:style>
  <w:style w:type="character" w:customStyle="1" w:styleId="hps">
    <w:name w:val="hps"/>
    <w:rsid w:val="00603CAE"/>
  </w:style>
  <w:style w:type="character" w:customStyle="1" w:styleId="shorttext">
    <w:name w:val="short_text"/>
    <w:rsid w:val="00603CAE"/>
  </w:style>
  <w:style w:type="paragraph" w:styleId="ae">
    <w:name w:val="List Paragraph"/>
    <w:basedOn w:val="a"/>
    <w:uiPriority w:val="34"/>
    <w:qFormat/>
    <w:rsid w:val="001E7597"/>
    <w:pPr>
      <w:ind w:left="720"/>
      <w:contextualSpacing/>
    </w:pPr>
  </w:style>
  <w:style w:type="table" w:styleId="af">
    <w:name w:val="Table Grid"/>
    <w:basedOn w:val="a1"/>
    <w:uiPriority w:val="39"/>
    <w:rsid w:val="00B411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0;&#1088;&#1084;%20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BCFF-CFCC-4829-A364-61DE62B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 2004</Template>
  <TotalTime>1861</TotalTime>
  <Pages>17</Pages>
  <Words>23541</Words>
  <Characters>13419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СМП ОКТЯБРЬСК</Company>
  <LinksUpToDate>false</LinksUpToDate>
  <CharactersWithSpaces>36887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ОТИЗ-2</dc:creator>
  <cp:lastModifiedBy>Валентина Штефан</cp:lastModifiedBy>
  <cp:revision>152</cp:revision>
  <cp:lastPrinted>2020-02-21T07:27:00Z</cp:lastPrinted>
  <dcterms:created xsi:type="dcterms:W3CDTF">2017-11-29T06:35:00Z</dcterms:created>
  <dcterms:modified xsi:type="dcterms:W3CDTF">2020-02-21T07:30:00Z</dcterms:modified>
</cp:coreProperties>
</file>