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4CE" w:rsidRPr="0026277F" w:rsidRDefault="00BF04CE" w:rsidP="00BF04CE">
      <w:pPr>
        <w:ind w:firstLine="720"/>
        <w:jc w:val="center"/>
        <w:outlineLvl w:val="0"/>
        <w:rPr>
          <w:b/>
          <w:color w:val="000000"/>
          <w:sz w:val="28"/>
          <w:szCs w:val="28"/>
        </w:rPr>
      </w:pPr>
    </w:p>
    <w:p w:rsidR="00BF04CE" w:rsidRPr="009A5D9E" w:rsidRDefault="00BF04CE" w:rsidP="00BF04CE">
      <w:pPr>
        <w:jc w:val="center"/>
        <w:outlineLvl w:val="0"/>
        <w:rPr>
          <w:b/>
          <w:color w:val="000000"/>
          <w:sz w:val="28"/>
          <w:szCs w:val="28"/>
        </w:rPr>
      </w:pPr>
      <w:r w:rsidRPr="009A5D9E">
        <w:rPr>
          <w:b/>
          <w:color w:val="000000"/>
          <w:sz w:val="28"/>
          <w:szCs w:val="28"/>
        </w:rPr>
        <w:t>ПОЯСНЮВАЛЬНА ЗАПИСКА</w:t>
      </w:r>
    </w:p>
    <w:p w:rsidR="00BF04CE" w:rsidRPr="009A5D9E" w:rsidRDefault="00BF04CE" w:rsidP="00BF04CE">
      <w:pPr>
        <w:jc w:val="center"/>
        <w:rPr>
          <w:b/>
          <w:color w:val="000000"/>
          <w:sz w:val="28"/>
          <w:szCs w:val="28"/>
        </w:rPr>
      </w:pPr>
      <w:r w:rsidRPr="009A5D9E">
        <w:rPr>
          <w:b/>
          <w:color w:val="000000"/>
          <w:sz w:val="28"/>
          <w:szCs w:val="28"/>
        </w:rPr>
        <w:t>до фінансового плану ДП «Укрсервіс Мінтрансу»</w:t>
      </w:r>
    </w:p>
    <w:p w:rsidR="00BF04CE" w:rsidRPr="005C1F56" w:rsidRDefault="00BF04CE" w:rsidP="00BF04CE">
      <w:pPr>
        <w:jc w:val="center"/>
        <w:rPr>
          <w:b/>
          <w:color w:val="000000"/>
          <w:sz w:val="28"/>
          <w:szCs w:val="28"/>
        </w:rPr>
      </w:pPr>
      <w:r w:rsidRPr="009A5D9E">
        <w:rPr>
          <w:b/>
          <w:color w:val="000000"/>
          <w:sz w:val="28"/>
          <w:szCs w:val="28"/>
        </w:rPr>
        <w:t>на 20</w:t>
      </w:r>
      <w:r>
        <w:rPr>
          <w:b/>
          <w:color w:val="000000"/>
          <w:sz w:val="28"/>
          <w:szCs w:val="28"/>
        </w:rPr>
        <w:t>2</w:t>
      </w:r>
      <w:r w:rsidR="00516049">
        <w:rPr>
          <w:b/>
          <w:color w:val="000000"/>
          <w:sz w:val="28"/>
          <w:szCs w:val="28"/>
        </w:rPr>
        <w:t>1</w:t>
      </w:r>
      <w:r w:rsidRPr="009A5D9E">
        <w:rPr>
          <w:b/>
          <w:color w:val="000000"/>
          <w:sz w:val="28"/>
          <w:szCs w:val="28"/>
        </w:rPr>
        <w:t xml:space="preserve"> рік</w:t>
      </w:r>
    </w:p>
    <w:p w:rsidR="00BF04CE" w:rsidRPr="005C1F56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</w:p>
    <w:p w:rsidR="00BF04CE" w:rsidRDefault="00BF04CE" w:rsidP="00BF04CE">
      <w:pPr>
        <w:jc w:val="both"/>
        <w:rPr>
          <w:color w:val="000000"/>
          <w:sz w:val="10"/>
          <w:szCs w:val="10"/>
        </w:rPr>
      </w:pPr>
    </w:p>
    <w:p w:rsidR="00BF04CE" w:rsidRDefault="00BF04CE" w:rsidP="00BF04CE">
      <w:pPr>
        <w:jc w:val="both"/>
        <w:rPr>
          <w:color w:val="000000"/>
          <w:sz w:val="10"/>
          <w:szCs w:val="10"/>
        </w:rPr>
      </w:pPr>
    </w:p>
    <w:p w:rsidR="00BF04CE" w:rsidRPr="009A5D9E" w:rsidRDefault="00BF04CE" w:rsidP="00BF04CE">
      <w:pPr>
        <w:jc w:val="both"/>
        <w:rPr>
          <w:color w:val="000000"/>
          <w:sz w:val="10"/>
          <w:szCs w:val="10"/>
        </w:rPr>
      </w:pPr>
    </w:p>
    <w:p w:rsidR="00BF04CE" w:rsidRPr="005C1F56" w:rsidRDefault="00BF04CE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Pr="00184955" w:rsidRDefault="00BF04CE" w:rsidP="00BF04CE">
      <w:pPr>
        <w:spacing w:line="100" w:lineRule="atLeast"/>
        <w:ind w:firstLine="845"/>
        <w:jc w:val="both"/>
        <w:rPr>
          <w:spacing w:val="-1"/>
          <w:sz w:val="26"/>
          <w:szCs w:val="26"/>
          <w:lang w:eastAsia="ar-SA"/>
        </w:rPr>
      </w:pPr>
      <w:r w:rsidRPr="00184955">
        <w:rPr>
          <w:sz w:val="26"/>
          <w:szCs w:val="26"/>
          <w:lang w:eastAsia="ar-SA"/>
        </w:rPr>
        <w:t xml:space="preserve">Фінансовий план </w:t>
      </w:r>
      <w:r w:rsidRPr="00184955">
        <w:rPr>
          <w:color w:val="000000"/>
          <w:sz w:val="26"/>
          <w:szCs w:val="26"/>
        </w:rPr>
        <w:t>ДП «Укрсервіс Мінтрансу»</w:t>
      </w:r>
      <w:r w:rsidRPr="00184955">
        <w:rPr>
          <w:b/>
          <w:color w:val="000000"/>
          <w:sz w:val="26"/>
          <w:szCs w:val="26"/>
        </w:rPr>
        <w:t xml:space="preserve"> </w:t>
      </w:r>
      <w:r w:rsidRPr="00184955">
        <w:rPr>
          <w:sz w:val="26"/>
          <w:szCs w:val="26"/>
          <w:lang w:eastAsia="ar-SA"/>
        </w:rPr>
        <w:t>на 20</w:t>
      </w:r>
      <w:r>
        <w:rPr>
          <w:sz w:val="26"/>
          <w:szCs w:val="26"/>
          <w:lang w:eastAsia="ar-SA"/>
        </w:rPr>
        <w:t>2</w:t>
      </w:r>
      <w:r w:rsidR="00567552">
        <w:rPr>
          <w:sz w:val="26"/>
          <w:szCs w:val="26"/>
          <w:lang w:eastAsia="ar-SA"/>
        </w:rPr>
        <w:t>1</w:t>
      </w:r>
      <w:r w:rsidRPr="00184955">
        <w:rPr>
          <w:sz w:val="26"/>
          <w:szCs w:val="26"/>
          <w:lang w:eastAsia="ar-SA"/>
        </w:rPr>
        <w:t xml:space="preserve"> рік складено у відповідності до </w:t>
      </w:r>
      <w:r w:rsidR="00516049">
        <w:rPr>
          <w:sz w:val="26"/>
          <w:szCs w:val="26"/>
          <w:lang w:eastAsia="ar-SA"/>
        </w:rPr>
        <w:t>«</w:t>
      </w:r>
      <w:r w:rsidRPr="00184955">
        <w:rPr>
          <w:sz w:val="26"/>
          <w:szCs w:val="26"/>
          <w:lang w:eastAsia="ar-SA"/>
        </w:rPr>
        <w:t>Порядку складання, затвердження та контролю виконання фінансового плану суб'єкта господарювання державного сектору економіки</w:t>
      </w:r>
      <w:r w:rsidR="00516049">
        <w:rPr>
          <w:sz w:val="26"/>
          <w:szCs w:val="26"/>
          <w:lang w:eastAsia="ar-SA"/>
        </w:rPr>
        <w:t>»</w:t>
      </w:r>
      <w:r w:rsidRPr="00184955">
        <w:rPr>
          <w:sz w:val="26"/>
          <w:szCs w:val="26"/>
          <w:lang w:eastAsia="ar-SA"/>
        </w:rPr>
        <w:t xml:space="preserve"> затвердженого наказом Міністерства економічного розвитку і торгівлі України </w:t>
      </w:r>
      <w:r w:rsidRPr="00184955">
        <w:rPr>
          <w:sz w:val="26"/>
          <w:szCs w:val="26"/>
          <w:lang w:eastAsia="x-none"/>
        </w:rPr>
        <w:t>від 02.03.2015 р № 205</w:t>
      </w:r>
      <w:r w:rsidRPr="00184955">
        <w:rPr>
          <w:sz w:val="26"/>
          <w:szCs w:val="26"/>
          <w:lang w:eastAsia="ar-SA"/>
        </w:rPr>
        <w:t xml:space="preserve"> та Інструкції щодо складання та затвердження фінансових планів, надання звітності про їх виконання підприємствами, установами та організаціями, що належать до сфери управління Міністерства затвердженої  наказом Міністерства інфраструктури від 15.06.2011 №152,</w:t>
      </w:r>
      <w:r w:rsidRPr="00184955">
        <w:rPr>
          <w:color w:val="000000"/>
          <w:sz w:val="26"/>
          <w:szCs w:val="26"/>
        </w:rPr>
        <w:t xml:space="preserve"> окремого доручення заступника міністра інфраструктури України – керівника апарату від 12.06.2015 №517/11/11-15. При розробці основних показників фінансового плану враховувалися умови чинного законодавства та зміни податкового та бюджетного законодавства</w:t>
      </w:r>
      <w:r>
        <w:rPr>
          <w:color w:val="000000"/>
          <w:sz w:val="26"/>
          <w:szCs w:val="26"/>
        </w:rPr>
        <w:t xml:space="preserve">. </w:t>
      </w:r>
    </w:p>
    <w:p w:rsidR="00BF04CE" w:rsidRPr="00184955" w:rsidRDefault="00BF04CE" w:rsidP="00BF04CE">
      <w:pPr>
        <w:pStyle w:val="aa"/>
        <w:ind w:firstLine="720"/>
        <w:rPr>
          <w:sz w:val="26"/>
          <w:szCs w:val="26"/>
        </w:rPr>
      </w:pPr>
      <w:r w:rsidRPr="00184955">
        <w:rPr>
          <w:sz w:val="26"/>
          <w:szCs w:val="26"/>
        </w:rPr>
        <w:t>Фінансовий план  відображає очікувані результати діяльності ДП «Укрсервіс Мінтрансу»</w:t>
      </w:r>
      <w:r w:rsidRPr="00184955">
        <w:rPr>
          <w:b/>
          <w:sz w:val="26"/>
          <w:szCs w:val="26"/>
        </w:rPr>
        <w:t xml:space="preserve"> </w:t>
      </w:r>
      <w:r w:rsidRPr="00184955">
        <w:rPr>
          <w:sz w:val="26"/>
          <w:szCs w:val="26"/>
          <w:lang w:eastAsia="ar-SA"/>
        </w:rPr>
        <w:t>у  20</w:t>
      </w:r>
      <w:r>
        <w:rPr>
          <w:sz w:val="26"/>
          <w:szCs w:val="26"/>
          <w:lang w:eastAsia="ar-SA"/>
        </w:rPr>
        <w:t>2</w:t>
      </w:r>
      <w:r w:rsidR="00516049">
        <w:rPr>
          <w:sz w:val="26"/>
          <w:szCs w:val="26"/>
          <w:lang w:eastAsia="ar-SA"/>
        </w:rPr>
        <w:t>1</w:t>
      </w:r>
      <w:r w:rsidRPr="00184955">
        <w:rPr>
          <w:sz w:val="26"/>
          <w:szCs w:val="26"/>
          <w:lang w:eastAsia="ar-SA"/>
        </w:rPr>
        <w:t xml:space="preserve"> </w:t>
      </w:r>
      <w:r w:rsidRPr="00184955">
        <w:rPr>
          <w:sz w:val="26"/>
          <w:szCs w:val="26"/>
        </w:rPr>
        <w:t xml:space="preserve">році, обсяги надходжень та витрат на забезпечення потреб діяльності та розвитку підприємства. </w:t>
      </w:r>
    </w:p>
    <w:p w:rsidR="00BF04CE" w:rsidRPr="00184955" w:rsidRDefault="00BF04CE" w:rsidP="00BF04CE">
      <w:pPr>
        <w:pStyle w:val="aa"/>
        <w:ind w:firstLine="720"/>
        <w:rPr>
          <w:sz w:val="26"/>
          <w:szCs w:val="26"/>
        </w:rPr>
      </w:pPr>
      <w:r w:rsidRPr="00184955">
        <w:rPr>
          <w:sz w:val="26"/>
          <w:szCs w:val="26"/>
        </w:rPr>
        <w:t>При формуванні фінансового плану ДП «Укрсервіс Мінтрансу» на 20</w:t>
      </w:r>
      <w:r>
        <w:rPr>
          <w:sz w:val="26"/>
          <w:szCs w:val="26"/>
        </w:rPr>
        <w:t>2</w:t>
      </w:r>
      <w:r w:rsidR="00516049">
        <w:rPr>
          <w:sz w:val="26"/>
          <w:szCs w:val="26"/>
        </w:rPr>
        <w:t>1</w:t>
      </w:r>
      <w:r w:rsidRPr="00184955">
        <w:rPr>
          <w:sz w:val="26"/>
          <w:szCs w:val="26"/>
        </w:rPr>
        <w:t xml:space="preserve"> рік враховані «</w:t>
      </w:r>
      <w:r>
        <w:rPr>
          <w:sz w:val="26"/>
          <w:szCs w:val="26"/>
        </w:rPr>
        <w:t>Основні п</w:t>
      </w:r>
      <w:r w:rsidRPr="00184955">
        <w:rPr>
          <w:sz w:val="26"/>
          <w:szCs w:val="26"/>
        </w:rPr>
        <w:t>рогноз</w:t>
      </w:r>
      <w:r>
        <w:rPr>
          <w:sz w:val="26"/>
          <w:szCs w:val="26"/>
        </w:rPr>
        <w:t xml:space="preserve">ні </w:t>
      </w:r>
      <w:proofErr w:type="spellStart"/>
      <w:r>
        <w:rPr>
          <w:sz w:val="26"/>
          <w:szCs w:val="26"/>
        </w:rPr>
        <w:t>макропоказники</w:t>
      </w:r>
      <w:proofErr w:type="spellEnd"/>
      <w:r>
        <w:rPr>
          <w:sz w:val="26"/>
          <w:szCs w:val="26"/>
        </w:rPr>
        <w:t xml:space="preserve"> </w:t>
      </w:r>
      <w:r w:rsidRPr="00184955">
        <w:rPr>
          <w:sz w:val="26"/>
          <w:szCs w:val="26"/>
        </w:rPr>
        <w:t xml:space="preserve"> економічного і соціального розвитку України на 20</w:t>
      </w:r>
      <w:r w:rsidR="00433A5C">
        <w:rPr>
          <w:sz w:val="26"/>
          <w:szCs w:val="26"/>
        </w:rPr>
        <w:t>20-</w:t>
      </w:r>
      <w:r w:rsidRPr="00184955">
        <w:rPr>
          <w:sz w:val="26"/>
          <w:szCs w:val="26"/>
        </w:rPr>
        <w:t>202</w:t>
      </w:r>
      <w:r w:rsidR="00433A5C">
        <w:rPr>
          <w:sz w:val="26"/>
          <w:szCs w:val="26"/>
        </w:rPr>
        <w:t>2</w:t>
      </w:r>
      <w:r w:rsidRPr="00184955">
        <w:rPr>
          <w:sz w:val="26"/>
          <w:szCs w:val="26"/>
        </w:rPr>
        <w:t xml:space="preserve"> роки» </w:t>
      </w:r>
      <w:r>
        <w:rPr>
          <w:sz w:val="26"/>
          <w:szCs w:val="26"/>
        </w:rPr>
        <w:t xml:space="preserve">згідно Постанови КМУ від </w:t>
      </w:r>
      <w:r w:rsidR="00433A5C">
        <w:rPr>
          <w:sz w:val="26"/>
          <w:szCs w:val="26"/>
        </w:rPr>
        <w:t>15.05</w:t>
      </w:r>
      <w:r>
        <w:rPr>
          <w:sz w:val="26"/>
          <w:szCs w:val="26"/>
        </w:rPr>
        <w:t>.201</w:t>
      </w:r>
      <w:r w:rsidR="00433A5C">
        <w:rPr>
          <w:sz w:val="26"/>
          <w:szCs w:val="26"/>
        </w:rPr>
        <w:t xml:space="preserve">9 </w:t>
      </w:r>
      <w:r>
        <w:rPr>
          <w:sz w:val="26"/>
          <w:szCs w:val="26"/>
        </w:rPr>
        <w:t xml:space="preserve"> № </w:t>
      </w:r>
      <w:r w:rsidR="00433A5C">
        <w:rPr>
          <w:sz w:val="26"/>
          <w:szCs w:val="26"/>
        </w:rPr>
        <w:t xml:space="preserve">555 та змін від </w:t>
      </w:r>
      <w:hyperlink r:id="rId7" w:tgtFrame="_blank" w:history="1">
        <w:r w:rsidR="00433A5C" w:rsidRPr="00433A5C">
          <w:rPr>
            <w:sz w:val="26"/>
            <w:szCs w:val="26"/>
          </w:rPr>
          <w:t xml:space="preserve"> 23 жовтня 2019 року N 883</w:t>
        </w:r>
      </w:hyperlink>
      <w:hyperlink r:id="rId8" w:tgtFrame="_blank" w:history="1">
        <w:r w:rsidR="00433A5C">
          <w:rPr>
            <w:sz w:val="26"/>
            <w:szCs w:val="26"/>
          </w:rPr>
          <w:t xml:space="preserve"> і </w:t>
        </w:r>
        <w:r w:rsidR="00433A5C" w:rsidRPr="00433A5C">
          <w:rPr>
            <w:sz w:val="26"/>
            <w:szCs w:val="26"/>
          </w:rPr>
          <w:t>від 29 березня 2020 року N 253</w:t>
        </w:r>
      </w:hyperlink>
      <w:r w:rsidRPr="00184955">
        <w:rPr>
          <w:sz w:val="26"/>
          <w:szCs w:val="26"/>
        </w:rPr>
        <w:t>.</w:t>
      </w:r>
    </w:p>
    <w:p w:rsidR="00BF04CE" w:rsidRPr="00184955" w:rsidRDefault="00BF04CE" w:rsidP="00BF04CE">
      <w:pPr>
        <w:pStyle w:val="aa"/>
        <w:ind w:firstLine="720"/>
        <w:rPr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Основні показники фінансового плану включають в себе: </w:t>
      </w:r>
    </w:p>
    <w:p w:rsidR="00BF04CE" w:rsidRPr="00184955" w:rsidRDefault="00BF04CE" w:rsidP="00BF04CE">
      <w:pPr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прогноз доходів; </w:t>
      </w:r>
    </w:p>
    <w:p w:rsidR="00BF04CE" w:rsidRPr="00184955" w:rsidRDefault="00BF04CE" w:rsidP="00BF04CE">
      <w:pPr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прогноз витрат; </w:t>
      </w:r>
    </w:p>
    <w:p w:rsidR="00BF04CE" w:rsidRPr="00184955" w:rsidRDefault="00BF04CE" w:rsidP="00BF04CE">
      <w:pPr>
        <w:numPr>
          <w:ilvl w:val="0"/>
          <w:numId w:val="9"/>
        </w:numPr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прогноз фінансових результатів. </w:t>
      </w:r>
    </w:p>
    <w:p w:rsidR="00BF04CE" w:rsidRDefault="00BF04CE" w:rsidP="00BF04CE">
      <w:pPr>
        <w:ind w:firstLine="709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>Крім того, аналізуються і прогнозуються обов’язкові платежі до бюджету та державних цільових фондів, капітальні інвестиції,  а також складається плановий рух грошових коштів.</w:t>
      </w:r>
    </w:p>
    <w:p w:rsidR="00BF04CE" w:rsidRPr="00184955" w:rsidRDefault="00BF04CE" w:rsidP="00BF04CE">
      <w:pPr>
        <w:ind w:firstLine="709"/>
        <w:jc w:val="both"/>
        <w:rPr>
          <w:color w:val="000000"/>
          <w:sz w:val="26"/>
          <w:szCs w:val="26"/>
        </w:rPr>
      </w:pPr>
    </w:p>
    <w:p w:rsidR="00BF04CE" w:rsidRPr="00184955" w:rsidRDefault="00BF04CE" w:rsidP="00BF04CE">
      <w:pPr>
        <w:pStyle w:val="af"/>
        <w:numPr>
          <w:ilvl w:val="0"/>
          <w:numId w:val="15"/>
        </w:numPr>
        <w:jc w:val="center"/>
        <w:rPr>
          <w:b/>
          <w:color w:val="000000"/>
          <w:sz w:val="26"/>
          <w:szCs w:val="26"/>
        </w:rPr>
      </w:pPr>
      <w:r w:rsidRPr="00184955">
        <w:rPr>
          <w:b/>
          <w:color w:val="000000"/>
          <w:sz w:val="26"/>
          <w:szCs w:val="26"/>
        </w:rPr>
        <w:t>Доходи</w:t>
      </w:r>
    </w:p>
    <w:p w:rsidR="00BF04CE" w:rsidRDefault="00BF04CE" w:rsidP="00BF04CE">
      <w:pPr>
        <w:ind w:firstLine="720"/>
        <w:jc w:val="center"/>
        <w:rPr>
          <w:b/>
          <w:color w:val="000000"/>
          <w:sz w:val="26"/>
          <w:szCs w:val="26"/>
        </w:rPr>
      </w:pPr>
    </w:p>
    <w:p w:rsidR="00BF04CE" w:rsidRPr="00184955" w:rsidRDefault="00BF04CE" w:rsidP="00BF04CE">
      <w:pPr>
        <w:ind w:firstLine="720"/>
        <w:jc w:val="center"/>
        <w:rPr>
          <w:b/>
          <w:color w:val="000000"/>
          <w:sz w:val="26"/>
          <w:szCs w:val="26"/>
        </w:rPr>
      </w:pPr>
    </w:p>
    <w:p w:rsidR="00BF04CE" w:rsidRPr="00184955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 Доходи підприємства формуються від реалізації послуг, які надаються орендарям,  розташованим в адміністративній будівлі Міністерства інфраструктури України, і включають: орендну плату, відшкодування комунальних послуг</w:t>
      </w:r>
      <w:r w:rsidR="004F247C">
        <w:rPr>
          <w:color w:val="000000"/>
          <w:sz w:val="26"/>
          <w:szCs w:val="26"/>
        </w:rPr>
        <w:t xml:space="preserve">, </w:t>
      </w:r>
      <w:r w:rsidRPr="00184955">
        <w:rPr>
          <w:color w:val="000000"/>
          <w:sz w:val="26"/>
          <w:szCs w:val="26"/>
        </w:rPr>
        <w:t xml:space="preserve">послуги по утриманню орендованих приміщень, інформаційно-технічні послуги, транспортні послуги та послуги з допуску та випуску автомобілів на територію підприємства. Крім того, ДП «Укрсервіс Мінтрансу» отримує  дохід від медичного центру, тренажерного залу  та  закладу громадського харчування, який складається з  їдальні, буфету і  кафе. Розмір дохідної частини фінансового плану формується на базі </w:t>
      </w:r>
      <w:r w:rsidRPr="0026277F">
        <w:rPr>
          <w:color w:val="000000"/>
          <w:sz w:val="26"/>
          <w:szCs w:val="26"/>
        </w:rPr>
        <w:t>планових</w:t>
      </w:r>
      <w:r w:rsidRPr="001849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розрахунків</w:t>
      </w:r>
      <w:r w:rsidRPr="00184955">
        <w:rPr>
          <w:color w:val="000000"/>
          <w:sz w:val="26"/>
          <w:szCs w:val="26"/>
        </w:rPr>
        <w:t xml:space="preserve"> на послуги</w:t>
      </w:r>
      <w:r>
        <w:rPr>
          <w:color w:val="000000"/>
          <w:sz w:val="26"/>
          <w:szCs w:val="26"/>
        </w:rPr>
        <w:t xml:space="preserve"> відповідно до </w:t>
      </w:r>
      <w:r w:rsidRPr="00184955">
        <w:rPr>
          <w:color w:val="000000"/>
          <w:sz w:val="26"/>
          <w:szCs w:val="26"/>
        </w:rPr>
        <w:t xml:space="preserve">прогнозу  кон’юнктури ринку послуг,  аналізу  </w:t>
      </w:r>
      <w:r>
        <w:rPr>
          <w:color w:val="000000"/>
          <w:sz w:val="26"/>
          <w:szCs w:val="26"/>
        </w:rPr>
        <w:t xml:space="preserve">господарської діяльності  підприємства </w:t>
      </w:r>
      <w:r w:rsidR="004F247C">
        <w:rPr>
          <w:color w:val="000000"/>
          <w:sz w:val="26"/>
          <w:szCs w:val="26"/>
        </w:rPr>
        <w:t xml:space="preserve"> за попередні роки,</w:t>
      </w:r>
      <w:r w:rsidRPr="00184955">
        <w:rPr>
          <w:color w:val="000000"/>
          <w:sz w:val="26"/>
          <w:szCs w:val="26"/>
        </w:rPr>
        <w:t xml:space="preserve"> а також з урахуванням основних прогнозних </w:t>
      </w:r>
      <w:proofErr w:type="spellStart"/>
      <w:r w:rsidRPr="00184955">
        <w:rPr>
          <w:color w:val="000000"/>
          <w:sz w:val="26"/>
          <w:szCs w:val="26"/>
        </w:rPr>
        <w:t>макропоказників</w:t>
      </w:r>
      <w:proofErr w:type="spellEnd"/>
      <w:r w:rsidRPr="00184955">
        <w:rPr>
          <w:color w:val="000000"/>
          <w:sz w:val="26"/>
          <w:szCs w:val="26"/>
        </w:rPr>
        <w:t xml:space="preserve"> економічного і соціального розвитку України</w:t>
      </w:r>
      <w:r w:rsidR="004F247C">
        <w:rPr>
          <w:color w:val="000000"/>
          <w:sz w:val="26"/>
          <w:szCs w:val="26"/>
        </w:rPr>
        <w:t xml:space="preserve"> на плановий рік.</w:t>
      </w:r>
    </w:p>
    <w:p w:rsidR="00BF04CE" w:rsidRPr="00184955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>Послуги надаються трьом категоріям споживачів: установам, що фінансуються з</w:t>
      </w:r>
      <w:r w:rsidR="004F247C">
        <w:rPr>
          <w:color w:val="000000"/>
          <w:sz w:val="26"/>
          <w:szCs w:val="26"/>
        </w:rPr>
        <w:t xml:space="preserve"> державного </w:t>
      </w:r>
      <w:r w:rsidRPr="00184955">
        <w:rPr>
          <w:color w:val="000000"/>
          <w:sz w:val="26"/>
          <w:szCs w:val="26"/>
        </w:rPr>
        <w:t xml:space="preserve"> бюджету, госпрозра</w:t>
      </w:r>
      <w:r w:rsidR="004F247C">
        <w:rPr>
          <w:color w:val="000000"/>
          <w:sz w:val="26"/>
          <w:szCs w:val="26"/>
        </w:rPr>
        <w:t xml:space="preserve">хунковим державним організаціям та </w:t>
      </w:r>
      <w:r w:rsidRPr="00184955">
        <w:rPr>
          <w:color w:val="000000"/>
          <w:sz w:val="26"/>
          <w:szCs w:val="26"/>
        </w:rPr>
        <w:t xml:space="preserve">  іншим споживачам </w:t>
      </w:r>
      <w:r>
        <w:rPr>
          <w:color w:val="000000"/>
          <w:sz w:val="26"/>
          <w:szCs w:val="26"/>
        </w:rPr>
        <w:t xml:space="preserve">за розрахунковою вартістю </w:t>
      </w:r>
      <w:r w:rsidRPr="00184955">
        <w:rPr>
          <w:spacing w:val="-1"/>
          <w:sz w:val="26"/>
          <w:szCs w:val="26"/>
          <w:lang w:eastAsia="ar-SA"/>
        </w:rPr>
        <w:t xml:space="preserve"> </w:t>
      </w:r>
      <w:r w:rsidRPr="00184955">
        <w:rPr>
          <w:color w:val="000000"/>
          <w:sz w:val="26"/>
          <w:szCs w:val="26"/>
        </w:rPr>
        <w:t>або  за договірними  цінами.</w:t>
      </w:r>
    </w:p>
    <w:p w:rsidR="00BF04CE" w:rsidRPr="00184955" w:rsidRDefault="00BF04CE" w:rsidP="00BF04CE">
      <w:pPr>
        <w:pStyle w:val="2"/>
        <w:spacing w:after="0" w:line="240" w:lineRule="auto"/>
        <w:ind w:firstLine="720"/>
        <w:jc w:val="both"/>
        <w:rPr>
          <w:sz w:val="26"/>
          <w:szCs w:val="26"/>
          <w:lang w:val="uk-UA"/>
        </w:rPr>
      </w:pPr>
      <w:r w:rsidRPr="00184955">
        <w:rPr>
          <w:sz w:val="26"/>
          <w:szCs w:val="26"/>
          <w:lang w:val="uk-UA"/>
        </w:rPr>
        <w:t xml:space="preserve">В основу розрахунків цін на послуги закладається принцип їх базування на об’єктивно необхідних витратах праці, матеріальних та паливно-енергетичних ресурсах з </w:t>
      </w:r>
      <w:r w:rsidRPr="00184955">
        <w:rPr>
          <w:sz w:val="26"/>
          <w:szCs w:val="26"/>
          <w:lang w:val="uk-UA"/>
        </w:rPr>
        <w:lastRenderedPageBreak/>
        <w:t xml:space="preserve">урахуванням конкретних умов і обсягів надання кінцевому споживачу. Визначення складу витрат і оцінка їх економічної обґрунтованості провадиться відповідно до законодавства України та нормативно-правових актів, що регулюють відносини у сфері бухгалтерського і податкового обліку. </w:t>
      </w:r>
    </w:p>
    <w:p w:rsidR="00BF04CE" w:rsidRPr="00184955" w:rsidRDefault="00BF04CE" w:rsidP="00BF04CE">
      <w:pPr>
        <w:pStyle w:val="aa"/>
        <w:ind w:firstLine="720"/>
        <w:rPr>
          <w:sz w:val="26"/>
          <w:szCs w:val="26"/>
        </w:rPr>
      </w:pPr>
      <w:r w:rsidRPr="00184955">
        <w:rPr>
          <w:sz w:val="26"/>
          <w:szCs w:val="26"/>
        </w:rPr>
        <w:t xml:space="preserve">Цінова стратегія </w:t>
      </w:r>
      <w:r>
        <w:rPr>
          <w:sz w:val="26"/>
          <w:szCs w:val="26"/>
        </w:rPr>
        <w:t>д</w:t>
      </w:r>
      <w:r w:rsidRPr="00184955">
        <w:rPr>
          <w:sz w:val="26"/>
          <w:szCs w:val="26"/>
        </w:rPr>
        <w:t>ержавного підприємства на плановий рік базується на прогнозних витратах та попиті. Реалізація цінової стратегії підприємства буде спрямована на забезпечення обґрунтованості договірних цін на послуги</w:t>
      </w:r>
      <w:r>
        <w:rPr>
          <w:sz w:val="26"/>
          <w:szCs w:val="26"/>
        </w:rPr>
        <w:t xml:space="preserve"> </w:t>
      </w:r>
      <w:r w:rsidRPr="00096431">
        <w:rPr>
          <w:sz w:val="26"/>
          <w:szCs w:val="26"/>
        </w:rPr>
        <w:t>за рахунок</w:t>
      </w:r>
      <w:r w:rsidRPr="00184955">
        <w:rPr>
          <w:sz w:val="26"/>
          <w:szCs w:val="26"/>
        </w:rPr>
        <w:t xml:space="preserve"> випереджаючого зростання доходів порівняно із витратам</w:t>
      </w:r>
      <w:r>
        <w:rPr>
          <w:sz w:val="26"/>
          <w:szCs w:val="26"/>
        </w:rPr>
        <w:t>и</w:t>
      </w:r>
      <w:r w:rsidRPr="00184955">
        <w:rPr>
          <w:sz w:val="26"/>
          <w:szCs w:val="26"/>
        </w:rPr>
        <w:t>.</w:t>
      </w:r>
    </w:p>
    <w:p w:rsidR="00BF04CE" w:rsidRPr="00184955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>Планові доходи на 20</w:t>
      </w:r>
      <w:r>
        <w:rPr>
          <w:color w:val="000000"/>
          <w:sz w:val="26"/>
          <w:szCs w:val="26"/>
        </w:rPr>
        <w:t>2</w:t>
      </w:r>
      <w:r w:rsidR="004F247C">
        <w:rPr>
          <w:color w:val="000000"/>
          <w:sz w:val="26"/>
          <w:szCs w:val="26"/>
        </w:rPr>
        <w:t>1</w:t>
      </w:r>
      <w:r w:rsidRPr="00184955">
        <w:rPr>
          <w:color w:val="000000"/>
          <w:sz w:val="26"/>
          <w:szCs w:val="26"/>
        </w:rPr>
        <w:t xml:space="preserve"> рік розраховані, виходячи із планових об</w:t>
      </w:r>
      <w:r>
        <w:rPr>
          <w:color w:val="000000"/>
          <w:sz w:val="26"/>
          <w:szCs w:val="26"/>
        </w:rPr>
        <w:t>сягів</w:t>
      </w:r>
      <w:r w:rsidRPr="00184955">
        <w:rPr>
          <w:color w:val="000000"/>
          <w:sz w:val="26"/>
          <w:szCs w:val="26"/>
        </w:rPr>
        <w:t xml:space="preserve"> реалізації послуг відповідним категоріям споживачів </w:t>
      </w:r>
      <w:r>
        <w:rPr>
          <w:color w:val="000000"/>
          <w:sz w:val="26"/>
          <w:szCs w:val="26"/>
        </w:rPr>
        <w:t>по цінам</w:t>
      </w:r>
      <w:r w:rsidRPr="00184955">
        <w:rPr>
          <w:color w:val="000000"/>
          <w:sz w:val="26"/>
          <w:szCs w:val="26"/>
        </w:rPr>
        <w:t>, встановлених відповідно до економічно обґрунтованих витрат: з урахуванням росту цін на товари, роботи, послуги сторонніх організацій;  зростання вартості комунальних послуг</w:t>
      </w:r>
      <w:r>
        <w:rPr>
          <w:color w:val="000000"/>
          <w:sz w:val="26"/>
          <w:szCs w:val="26"/>
        </w:rPr>
        <w:t xml:space="preserve">, </w:t>
      </w:r>
      <w:r w:rsidRPr="00184955">
        <w:rPr>
          <w:color w:val="000000"/>
          <w:sz w:val="26"/>
          <w:szCs w:val="26"/>
        </w:rPr>
        <w:t>росту мінімальної заробітної плати, а також з урахуванням рівня фінансування</w:t>
      </w:r>
      <w:r>
        <w:rPr>
          <w:color w:val="000000"/>
          <w:sz w:val="26"/>
          <w:szCs w:val="26"/>
        </w:rPr>
        <w:t xml:space="preserve"> державним бюджетом України </w:t>
      </w:r>
      <w:r w:rsidRPr="00184955">
        <w:rPr>
          <w:color w:val="000000"/>
          <w:sz w:val="26"/>
          <w:szCs w:val="26"/>
        </w:rPr>
        <w:t xml:space="preserve"> бюджетних установ.</w:t>
      </w:r>
    </w:p>
    <w:p w:rsidR="00BF04CE" w:rsidRPr="00184955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>При плануванні доходів медичного центру, громадського харчування та відшкодуванні комунальних послуг</w:t>
      </w:r>
      <w:r>
        <w:rPr>
          <w:color w:val="000000"/>
          <w:sz w:val="26"/>
          <w:szCs w:val="26"/>
        </w:rPr>
        <w:t xml:space="preserve"> орендарями </w:t>
      </w:r>
      <w:r w:rsidRPr="00184955">
        <w:rPr>
          <w:color w:val="000000"/>
          <w:sz w:val="26"/>
          <w:szCs w:val="26"/>
        </w:rPr>
        <w:t xml:space="preserve">враховані сезонні </w:t>
      </w:r>
      <w:r>
        <w:rPr>
          <w:color w:val="000000"/>
          <w:sz w:val="26"/>
          <w:szCs w:val="26"/>
        </w:rPr>
        <w:t>коливання обсягів</w:t>
      </w:r>
      <w:r w:rsidRPr="00184955">
        <w:rPr>
          <w:color w:val="000000"/>
          <w:sz w:val="26"/>
          <w:szCs w:val="26"/>
        </w:rPr>
        <w:t xml:space="preserve"> споживання послуг. В літній період </w:t>
      </w:r>
      <w:r>
        <w:rPr>
          <w:color w:val="000000"/>
          <w:sz w:val="26"/>
          <w:szCs w:val="26"/>
        </w:rPr>
        <w:t>обсяги</w:t>
      </w:r>
      <w:r w:rsidRPr="00184955">
        <w:rPr>
          <w:color w:val="000000"/>
          <w:sz w:val="26"/>
          <w:szCs w:val="26"/>
        </w:rPr>
        <w:t xml:space="preserve"> споживання послуг споживачами скорочуються, досягаючи мінімуму в червні-серпні.</w:t>
      </w:r>
    </w:p>
    <w:p w:rsidR="00BF04CE" w:rsidRPr="00184955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>Крім того, ДП «Укрсервіс Мінтрансу» очікує отримати фінансові доходи – відсотки, які нараховує банк на залишок коштів на поточних розрахункових рахунках.</w:t>
      </w:r>
    </w:p>
    <w:p w:rsidR="00BF04CE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Інші доходи плануються </w:t>
      </w:r>
      <w:r w:rsidR="00B2115E">
        <w:rPr>
          <w:color w:val="000000"/>
          <w:sz w:val="26"/>
          <w:szCs w:val="26"/>
        </w:rPr>
        <w:t xml:space="preserve">від надходжень від курсової різниці у сумі 46,0 тис. грн. та </w:t>
      </w:r>
      <w:r w:rsidR="00BC5F5C">
        <w:rPr>
          <w:color w:val="000000"/>
          <w:sz w:val="26"/>
          <w:szCs w:val="26"/>
        </w:rPr>
        <w:t xml:space="preserve">визнання </w:t>
      </w:r>
      <w:r w:rsidR="00B2115E">
        <w:rPr>
          <w:color w:val="000000"/>
          <w:sz w:val="26"/>
          <w:szCs w:val="26"/>
        </w:rPr>
        <w:t xml:space="preserve">доходу від фінансової допомоги по реконструкції </w:t>
      </w:r>
      <w:proofErr w:type="spellStart"/>
      <w:r w:rsidR="00B2115E">
        <w:rPr>
          <w:color w:val="000000"/>
          <w:sz w:val="26"/>
          <w:szCs w:val="26"/>
        </w:rPr>
        <w:t>адмінбудівлі</w:t>
      </w:r>
      <w:proofErr w:type="spellEnd"/>
      <w:r w:rsidR="00B2115E">
        <w:rPr>
          <w:color w:val="000000"/>
          <w:sz w:val="26"/>
          <w:szCs w:val="26"/>
        </w:rPr>
        <w:t xml:space="preserve"> Міністерства інфраструктури у 2003-2004рр. у сумі 10 млн. 94</w:t>
      </w:r>
      <w:r w:rsidR="00BC5F5C">
        <w:rPr>
          <w:color w:val="000000"/>
          <w:sz w:val="26"/>
          <w:szCs w:val="26"/>
        </w:rPr>
        <w:t xml:space="preserve">3 тис. грн. ДП </w:t>
      </w:r>
      <w:proofErr w:type="spellStart"/>
      <w:r w:rsidR="00BC5F5C">
        <w:rPr>
          <w:color w:val="000000"/>
          <w:sz w:val="26"/>
          <w:szCs w:val="26"/>
        </w:rPr>
        <w:t>Феодійського</w:t>
      </w:r>
      <w:proofErr w:type="spellEnd"/>
      <w:r w:rsidR="00BC5F5C">
        <w:rPr>
          <w:color w:val="000000"/>
          <w:sz w:val="26"/>
          <w:szCs w:val="26"/>
        </w:rPr>
        <w:t xml:space="preserve"> МТП (термін дії договору закінчився у 2016р.).</w:t>
      </w:r>
    </w:p>
    <w:p w:rsidR="00B2115E" w:rsidRPr="00184955" w:rsidRDefault="00B2115E" w:rsidP="00BF04CE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Інші фінансові доходи підприємство отримує від процентів по депозитним вкладам та залишку коштів у суму 53 тис. грн.</w:t>
      </w:r>
    </w:p>
    <w:p w:rsidR="00BF04CE" w:rsidRDefault="00BF04CE" w:rsidP="00B2115E">
      <w:pPr>
        <w:jc w:val="both"/>
        <w:rPr>
          <w:color w:val="000000"/>
        </w:rPr>
      </w:pPr>
    </w:p>
    <w:p w:rsidR="00BF04CE" w:rsidRPr="00126465" w:rsidRDefault="00BF04CE" w:rsidP="00BF04CE">
      <w:pPr>
        <w:jc w:val="right"/>
        <w:rPr>
          <w:b/>
        </w:rPr>
      </w:pPr>
      <w:r w:rsidRPr="00126465">
        <w:rPr>
          <w:b/>
        </w:rPr>
        <w:t>Таблиця 1</w:t>
      </w:r>
    </w:p>
    <w:p w:rsidR="00BF04CE" w:rsidRPr="00126465" w:rsidRDefault="00BF04CE" w:rsidP="00BF04CE">
      <w:pPr>
        <w:tabs>
          <w:tab w:val="center" w:pos="5031"/>
          <w:tab w:val="right" w:pos="10063"/>
        </w:tabs>
        <w:rPr>
          <w:color w:val="000000"/>
        </w:rPr>
      </w:pPr>
      <w:r>
        <w:rPr>
          <w:b/>
        </w:rPr>
        <w:tab/>
      </w:r>
      <w:r w:rsidRPr="00126465">
        <w:rPr>
          <w:b/>
        </w:rPr>
        <w:t>Доходи підприємства</w:t>
      </w:r>
      <w:r w:rsidR="00B2115E">
        <w:rPr>
          <w:b/>
        </w:rPr>
        <w:t xml:space="preserve"> 2019-2021 рр.</w:t>
      </w:r>
      <w:r>
        <w:rPr>
          <w:b/>
        </w:rPr>
        <w:tab/>
      </w:r>
    </w:p>
    <w:p w:rsidR="00BF04CE" w:rsidRDefault="00BF04CE" w:rsidP="00BF04CE">
      <w:pPr>
        <w:ind w:firstLine="72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</w:t>
      </w:r>
      <w:r w:rsidRPr="00126465">
        <w:rPr>
          <w:color w:val="000000"/>
        </w:rPr>
        <w:t>тис. гр</w:t>
      </w:r>
      <w:r>
        <w:rPr>
          <w:color w:val="000000"/>
        </w:rPr>
        <w:t>н.</w:t>
      </w:r>
    </w:p>
    <w:tbl>
      <w:tblPr>
        <w:tblW w:w="9918" w:type="dxa"/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1134"/>
        <w:gridCol w:w="993"/>
        <w:gridCol w:w="992"/>
        <w:gridCol w:w="992"/>
        <w:gridCol w:w="613"/>
        <w:gridCol w:w="1088"/>
        <w:gridCol w:w="992"/>
        <w:gridCol w:w="851"/>
      </w:tblGrid>
      <w:tr w:rsidR="00B2115E" w:rsidRPr="00B2115E" w:rsidTr="00B2115E">
        <w:trPr>
          <w:trHeight w:val="276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Види доходів</w:t>
            </w:r>
            <w:r w:rsidR="00BC5F5C">
              <w:rPr>
                <w:b/>
                <w:bCs/>
                <w:color w:val="000000"/>
                <w:lang w:eastAsia="uk-UA"/>
              </w:rPr>
              <w:t xml:space="preserve"> /роки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2019</w:t>
            </w:r>
          </w:p>
        </w:tc>
        <w:tc>
          <w:tcPr>
            <w:tcW w:w="35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2020</w:t>
            </w: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План 2021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 xml:space="preserve">План 2021 до </w:t>
            </w:r>
            <w:r w:rsidR="00BC5F5C">
              <w:rPr>
                <w:b/>
                <w:bCs/>
                <w:color w:val="000000"/>
                <w:lang w:eastAsia="uk-UA"/>
              </w:rPr>
              <w:t xml:space="preserve">Плану </w:t>
            </w:r>
            <w:r w:rsidRPr="00B2115E">
              <w:rPr>
                <w:b/>
                <w:bCs/>
                <w:color w:val="000000"/>
                <w:lang w:eastAsia="uk-UA"/>
              </w:rPr>
              <w:t>2020</w:t>
            </w:r>
          </w:p>
        </w:tc>
      </w:tr>
      <w:tr w:rsidR="00B2115E" w:rsidRPr="00B2115E" w:rsidTr="00B2115E">
        <w:trPr>
          <w:trHeight w:val="458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35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</w:tr>
      <w:tr w:rsidR="00B2115E" w:rsidRPr="00B2115E" w:rsidTr="00B2115E">
        <w:trPr>
          <w:trHeight w:val="2436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Факт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B2115E">
              <w:rPr>
                <w:b/>
                <w:bCs/>
                <w:color w:val="000000"/>
                <w:lang w:eastAsia="uk-UA"/>
              </w:rPr>
              <w:t>Прог</w:t>
            </w:r>
            <w:r>
              <w:rPr>
                <w:b/>
                <w:bCs/>
                <w:color w:val="000000"/>
                <w:lang w:eastAsia="uk-UA"/>
              </w:rPr>
              <w:t>-</w:t>
            </w:r>
            <w:r w:rsidRPr="00B2115E">
              <w:rPr>
                <w:b/>
                <w:bCs/>
                <w:color w:val="000000"/>
                <w:lang w:eastAsia="uk-UA"/>
              </w:rPr>
              <w:t>ноз</w:t>
            </w:r>
            <w:proofErr w:type="spellEnd"/>
            <w:r w:rsidRPr="00B2115E">
              <w:rPr>
                <w:b/>
                <w:bCs/>
                <w:color w:val="000000"/>
                <w:lang w:eastAsia="uk-UA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B2115E">
              <w:rPr>
                <w:b/>
                <w:bCs/>
                <w:color w:val="000000"/>
                <w:lang w:eastAsia="uk-UA"/>
              </w:rPr>
              <w:t>Відх</w:t>
            </w:r>
            <w:proofErr w:type="spellEnd"/>
            <w:r w:rsidRPr="00B2115E">
              <w:rPr>
                <w:b/>
                <w:bCs/>
                <w:color w:val="000000"/>
                <w:lang w:eastAsia="uk-UA"/>
              </w:rPr>
              <w:t>. (+/-)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B2115E">
              <w:rPr>
                <w:b/>
                <w:bCs/>
                <w:color w:val="000000"/>
                <w:lang w:eastAsia="uk-UA"/>
              </w:rPr>
              <w:t>Зрост</w:t>
            </w:r>
            <w:proofErr w:type="spellEnd"/>
            <w:r w:rsidRPr="00B2115E">
              <w:rPr>
                <w:b/>
                <w:bCs/>
                <w:color w:val="000000"/>
                <w:lang w:eastAsia="uk-UA"/>
              </w:rPr>
              <w:t>., %</w:t>
            </w:r>
          </w:p>
        </w:tc>
        <w:tc>
          <w:tcPr>
            <w:tcW w:w="108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B2115E">
              <w:rPr>
                <w:b/>
                <w:bCs/>
                <w:color w:val="000000"/>
                <w:lang w:eastAsia="uk-UA"/>
              </w:rPr>
              <w:t>Відх</w:t>
            </w:r>
            <w:proofErr w:type="spellEnd"/>
            <w:r w:rsidRPr="00B2115E">
              <w:rPr>
                <w:b/>
                <w:bCs/>
                <w:color w:val="000000"/>
                <w:lang w:eastAsia="uk-UA"/>
              </w:rPr>
              <w:t>. (+/-)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B2115E">
              <w:rPr>
                <w:b/>
                <w:bCs/>
                <w:color w:val="000000"/>
                <w:lang w:eastAsia="uk-UA"/>
              </w:rPr>
              <w:t>Зрост</w:t>
            </w:r>
            <w:proofErr w:type="spellEnd"/>
            <w:r w:rsidRPr="00B2115E">
              <w:rPr>
                <w:b/>
                <w:bCs/>
                <w:color w:val="000000"/>
                <w:lang w:eastAsia="uk-UA"/>
              </w:rPr>
              <w:t>., %</w:t>
            </w:r>
          </w:p>
        </w:tc>
      </w:tr>
      <w:tr w:rsidR="00B2115E" w:rsidRPr="00B2115E" w:rsidTr="00B2115E">
        <w:trPr>
          <w:trHeight w:val="3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Чистий дохід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74 205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64 701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84 391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70 544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-13 847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84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90 880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6 489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108</w:t>
            </w:r>
          </w:p>
        </w:tc>
      </w:tr>
      <w:tr w:rsidR="00B2115E" w:rsidRPr="00B2115E" w:rsidTr="00B2115E">
        <w:trPr>
          <w:trHeight w:val="6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Інші операційні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1 025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C2433B" w:rsidRDefault="00B2115E" w:rsidP="00C2433B">
            <w:pPr>
              <w:jc w:val="center"/>
              <w:rPr>
                <w:color w:val="000000"/>
                <w:lang w:val="ru-RU" w:eastAsia="uk-UA"/>
              </w:rPr>
            </w:pPr>
            <w:r w:rsidRPr="00B2115E">
              <w:rPr>
                <w:color w:val="000000"/>
                <w:lang w:eastAsia="uk-UA"/>
              </w:rPr>
              <w:t>2</w:t>
            </w:r>
            <w:r w:rsidR="00C2433B">
              <w:rPr>
                <w:color w:val="000000"/>
                <w:lang w:eastAsia="uk-UA"/>
              </w:rPr>
              <w:t> </w:t>
            </w:r>
            <w:r w:rsidRPr="00B2115E">
              <w:rPr>
                <w:color w:val="000000"/>
                <w:lang w:eastAsia="uk-UA"/>
              </w:rPr>
              <w:t>09</w:t>
            </w:r>
            <w:r w:rsidR="00C2433B">
              <w:rPr>
                <w:color w:val="000000"/>
                <w:lang w:val="ru-RU" w:eastAsia="uk-UA"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2 096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-2 024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3</w:t>
            </w:r>
          </w:p>
        </w:tc>
      </w:tr>
      <w:tr w:rsidR="00B2115E" w:rsidRPr="00B2115E" w:rsidTr="00B2115E">
        <w:trPr>
          <w:trHeight w:val="644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Фінансові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58 034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7 328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7 328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-7 275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</w:t>
            </w:r>
          </w:p>
        </w:tc>
      </w:tr>
      <w:tr w:rsidR="00B2115E" w:rsidRPr="00B2115E" w:rsidTr="00B2115E">
        <w:trPr>
          <w:trHeight w:val="321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Інші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18 300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224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C2433B" w:rsidRDefault="00C2433B" w:rsidP="00B2115E">
            <w:pPr>
              <w:jc w:val="center"/>
              <w:rPr>
                <w:color w:val="000000"/>
                <w:lang w:val="en-US" w:eastAsia="uk-UA"/>
              </w:rPr>
            </w:pPr>
            <w:r>
              <w:rPr>
                <w:color w:val="000000"/>
                <w:lang w:val="en-US" w:eastAsia="uk-UA"/>
              </w:rPr>
              <w:t>314</w:t>
            </w:r>
            <w:r>
              <w:rPr>
                <w:color w:val="000000"/>
                <w:lang w:val="ru-RU" w:eastAsia="uk-UA"/>
              </w:rPr>
              <w:t>,</w:t>
            </w:r>
            <w:r>
              <w:rPr>
                <w:color w:val="000000"/>
                <w:lang w:val="en-US"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-259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18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10 989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10 675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color w:val="000000"/>
                <w:lang w:eastAsia="uk-UA"/>
              </w:rPr>
            </w:pPr>
            <w:r w:rsidRPr="00B2115E">
              <w:rPr>
                <w:color w:val="000000"/>
                <w:lang w:eastAsia="uk-UA"/>
              </w:rPr>
              <w:t>3 494</w:t>
            </w:r>
          </w:p>
        </w:tc>
      </w:tr>
      <w:tr w:rsidR="00B2115E" w:rsidRPr="00B2115E" w:rsidTr="00B2115E">
        <w:trPr>
          <w:trHeight w:val="592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Усього доходи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92 565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123 984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94 129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80 023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-14 106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85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101 994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7 865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15E" w:rsidRPr="00B2115E" w:rsidRDefault="00B2115E" w:rsidP="00B2115E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B2115E">
              <w:rPr>
                <w:b/>
                <w:bCs/>
                <w:color w:val="000000"/>
                <w:lang w:eastAsia="uk-UA"/>
              </w:rPr>
              <w:t>108</w:t>
            </w:r>
          </w:p>
        </w:tc>
      </w:tr>
    </w:tbl>
    <w:p w:rsidR="00B2115E" w:rsidRPr="00126465" w:rsidRDefault="00B2115E" w:rsidP="00BF04CE">
      <w:pPr>
        <w:ind w:firstLine="720"/>
        <w:jc w:val="center"/>
        <w:outlineLvl w:val="0"/>
        <w:rPr>
          <w:color w:val="000000"/>
        </w:rPr>
      </w:pPr>
    </w:p>
    <w:p w:rsidR="00BF04CE" w:rsidRDefault="00BF04CE" w:rsidP="00BF04CE">
      <w:pPr>
        <w:outlineLvl w:val="0"/>
        <w:rPr>
          <w:color w:val="000000"/>
          <w:sz w:val="28"/>
          <w:szCs w:val="28"/>
        </w:rPr>
      </w:pPr>
    </w:p>
    <w:p w:rsidR="00BF04CE" w:rsidRPr="009A5D9E" w:rsidRDefault="00BF04CE" w:rsidP="00BF04CE">
      <w:pPr>
        <w:ind w:firstLine="720"/>
        <w:jc w:val="right"/>
        <w:outlineLvl w:val="0"/>
        <w:rPr>
          <w:color w:val="000000"/>
          <w:sz w:val="28"/>
          <w:szCs w:val="28"/>
        </w:rPr>
      </w:pPr>
    </w:p>
    <w:p w:rsidR="00BF04CE" w:rsidRPr="00184955" w:rsidRDefault="00BF04CE" w:rsidP="00BF04CE">
      <w:pPr>
        <w:ind w:firstLine="720"/>
        <w:jc w:val="both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 xml:space="preserve">У </w:t>
      </w:r>
      <w:r w:rsidRPr="00184955">
        <w:rPr>
          <w:color w:val="000000"/>
          <w:sz w:val="26"/>
          <w:szCs w:val="26"/>
          <w:lang w:val="ru-RU"/>
        </w:rPr>
        <w:t xml:space="preserve">    </w:t>
      </w:r>
      <w:r w:rsidRPr="00184955">
        <w:rPr>
          <w:color w:val="000000"/>
          <w:sz w:val="26"/>
          <w:szCs w:val="26"/>
        </w:rPr>
        <w:t>20</w:t>
      </w:r>
      <w:r w:rsidR="000C1AC6">
        <w:rPr>
          <w:color w:val="000000"/>
          <w:sz w:val="26"/>
          <w:szCs w:val="26"/>
        </w:rPr>
        <w:t>19</w:t>
      </w:r>
      <w:r w:rsidRPr="00184955">
        <w:rPr>
          <w:color w:val="000000"/>
          <w:sz w:val="26"/>
          <w:szCs w:val="26"/>
        </w:rPr>
        <w:t xml:space="preserve"> році </w:t>
      </w:r>
      <w:r w:rsidRPr="0018495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  <w:lang w:val="ru-RU"/>
        </w:rPr>
        <w:t>плановий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proofErr w:type="spellStart"/>
      <w:r>
        <w:rPr>
          <w:color w:val="000000"/>
          <w:sz w:val="26"/>
          <w:szCs w:val="26"/>
          <w:lang w:val="ru-RU"/>
        </w:rPr>
        <w:t>показник</w:t>
      </w:r>
      <w:proofErr w:type="spellEnd"/>
      <w:r>
        <w:rPr>
          <w:color w:val="000000"/>
          <w:sz w:val="26"/>
          <w:szCs w:val="26"/>
          <w:lang w:val="ru-RU"/>
        </w:rPr>
        <w:t xml:space="preserve"> </w:t>
      </w:r>
      <w:r w:rsidRPr="00184955">
        <w:rPr>
          <w:color w:val="000000"/>
          <w:sz w:val="26"/>
          <w:szCs w:val="26"/>
        </w:rPr>
        <w:t>чист</w:t>
      </w:r>
      <w:r>
        <w:rPr>
          <w:color w:val="000000"/>
          <w:sz w:val="26"/>
          <w:szCs w:val="26"/>
        </w:rPr>
        <w:t>ого</w:t>
      </w:r>
      <w:r w:rsidRPr="00184955">
        <w:rPr>
          <w:color w:val="000000"/>
          <w:sz w:val="26"/>
          <w:szCs w:val="26"/>
          <w:lang w:val="ru-RU"/>
        </w:rPr>
        <w:t xml:space="preserve">   </w:t>
      </w:r>
      <w:r w:rsidRPr="00184955">
        <w:rPr>
          <w:color w:val="000000"/>
          <w:sz w:val="26"/>
          <w:szCs w:val="26"/>
        </w:rPr>
        <w:t>доход</w:t>
      </w:r>
      <w:r>
        <w:rPr>
          <w:color w:val="000000"/>
          <w:sz w:val="26"/>
          <w:szCs w:val="26"/>
        </w:rPr>
        <w:t xml:space="preserve">у </w:t>
      </w:r>
      <w:r w:rsidRPr="001849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складав суму </w:t>
      </w:r>
      <w:r w:rsidRPr="00184955">
        <w:rPr>
          <w:color w:val="000000"/>
          <w:sz w:val="26"/>
          <w:szCs w:val="26"/>
          <w:lang w:val="ru-RU"/>
        </w:rPr>
        <w:t xml:space="preserve"> </w:t>
      </w:r>
      <w:r>
        <w:rPr>
          <w:color w:val="000000"/>
          <w:sz w:val="26"/>
          <w:szCs w:val="26"/>
          <w:lang w:val="ru-RU"/>
        </w:rPr>
        <w:t xml:space="preserve">  </w:t>
      </w:r>
      <w:r w:rsidR="000C1AC6">
        <w:rPr>
          <w:color w:val="000000"/>
          <w:sz w:val="26"/>
          <w:szCs w:val="26"/>
          <w:lang w:val="ru-RU"/>
        </w:rPr>
        <w:t>74</w:t>
      </w:r>
      <w:r>
        <w:rPr>
          <w:color w:val="000000"/>
          <w:sz w:val="26"/>
          <w:szCs w:val="26"/>
        </w:rPr>
        <w:t xml:space="preserve"> </w:t>
      </w:r>
      <w:r w:rsidRPr="00184955">
        <w:rPr>
          <w:color w:val="000000"/>
          <w:sz w:val="26"/>
          <w:szCs w:val="26"/>
        </w:rPr>
        <w:t xml:space="preserve">млн. </w:t>
      </w:r>
      <w:r w:rsidR="000C1AC6">
        <w:rPr>
          <w:color w:val="000000"/>
          <w:sz w:val="26"/>
          <w:szCs w:val="26"/>
        </w:rPr>
        <w:t>205</w:t>
      </w:r>
      <w:r w:rsidRPr="00184955">
        <w:rPr>
          <w:color w:val="000000"/>
          <w:sz w:val="26"/>
          <w:szCs w:val="26"/>
        </w:rPr>
        <w:t xml:space="preserve"> тис. </w:t>
      </w:r>
      <w:r w:rsidRPr="00184955">
        <w:rPr>
          <w:color w:val="000000"/>
          <w:sz w:val="26"/>
          <w:szCs w:val="26"/>
          <w:lang w:val="ru-RU"/>
        </w:rPr>
        <w:t xml:space="preserve"> </w:t>
      </w:r>
      <w:r w:rsidRPr="00184955">
        <w:rPr>
          <w:color w:val="000000"/>
          <w:sz w:val="26"/>
          <w:szCs w:val="26"/>
        </w:rPr>
        <w:t>грн.,</w:t>
      </w:r>
      <w:r>
        <w:rPr>
          <w:color w:val="000000"/>
          <w:sz w:val="26"/>
          <w:szCs w:val="26"/>
        </w:rPr>
        <w:t xml:space="preserve"> виконання - 64 млн. 701 тис. грн., </w:t>
      </w:r>
      <w:r w:rsidRPr="00184955">
        <w:rPr>
          <w:color w:val="000000"/>
          <w:sz w:val="26"/>
          <w:szCs w:val="26"/>
        </w:rPr>
        <w:t xml:space="preserve">  </w:t>
      </w:r>
      <w:r>
        <w:rPr>
          <w:color w:val="000000"/>
          <w:sz w:val="26"/>
          <w:szCs w:val="26"/>
        </w:rPr>
        <w:t xml:space="preserve"> або </w:t>
      </w:r>
      <w:r w:rsidRPr="00184955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87 </w:t>
      </w:r>
      <w:r w:rsidRPr="00184955">
        <w:rPr>
          <w:color w:val="000000"/>
          <w:sz w:val="26"/>
          <w:szCs w:val="26"/>
        </w:rPr>
        <w:t>% (-</w:t>
      </w:r>
      <w:r>
        <w:rPr>
          <w:color w:val="000000"/>
          <w:sz w:val="26"/>
          <w:szCs w:val="26"/>
        </w:rPr>
        <w:t>9</w:t>
      </w:r>
      <w:r w:rsidRPr="00184955">
        <w:rPr>
          <w:color w:val="000000"/>
          <w:sz w:val="26"/>
          <w:szCs w:val="26"/>
        </w:rPr>
        <w:t xml:space="preserve"> млн. </w:t>
      </w:r>
      <w:r>
        <w:rPr>
          <w:color w:val="000000"/>
          <w:sz w:val="26"/>
          <w:szCs w:val="26"/>
        </w:rPr>
        <w:t>504</w:t>
      </w:r>
      <w:r w:rsidRPr="00184955">
        <w:rPr>
          <w:color w:val="000000"/>
          <w:sz w:val="26"/>
          <w:szCs w:val="26"/>
        </w:rPr>
        <w:t xml:space="preserve"> тис. грн.), що пояснюється недостатністю коштів  бюджетного фінансування  по утриманню приміщень орендарів – бюджетних установ, які укладали не в повному обсязі договори. Слід враховувати що,  при складанні фінансового плану на 20</w:t>
      </w:r>
      <w:r>
        <w:rPr>
          <w:color w:val="000000"/>
          <w:sz w:val="26"/>
          <w:szCs w:val="26"/>
        </w:rPr>
        <w:t>2</w:t>
      </w:r>
      <w:r w:rsidR="000C1AC6">
        <w:rPr>
          <w:color w:val="000000"/>
          <w:sz w:val="26"/>
          <w:szCs w:val="26"/>
        </w:rPr>
        <w:t>1</w:t>
      </w:r>
      <w:r w:rsidRPr="00184955">
        <w:rPr>
          <w:color w:val="000000"/>
          <w:sz w:val="26"/>
          <w:szCs w:val="26"/>
        </w:rPr>
        <w:t xml:space="preserve"> рік доходи від основної діяльності (утримання приміщень) </w:t>
      </w:r>
      <w:r w:rsidRPr="00096431">
        <w:rPr>
          <w:color w:val="000000"/>
          <w:sz w:val="26"/>
          <w:szCs w:val="26"/>
        </w:rPr>
        <w:t xml:space="preserve">розраховувалися  на рівні </w:t>
      </w:r>
      <w:r w:rsidRPr="0026277F">
        <w:rPr>
          <w:color w:val="000000"/>
          <w:sz w:val="26"/>
          <w:szCs w:val="26"/>
        </w:rPr>
        <w:t>фактичних</w:t>
      </w:r>
      <w:r w:rsidRPr="00096431">
        <w:rPr>
          <w:color w:val="000000"/>
          <w:sz w:val="26"/>
          <w:szCs w:val="26"/>
        </w:rPr>
        <w:t xml:space="preserve"> витрат  2018-2019 рр. та  росту цін на матеріали, роботи та послуги і тарифів  відповідно макроекономічних прогнозів на плановий рік.</w:t>
      </w:r>
    </w:p>
    <w:p w:rsidR="00BF04CE" w:rsidRDefault="00BF04CE" w:rsidP="00BF04CE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184955">
        <w:rPr>
          <w:color w:val="000000"/>
          <w:sz w:val="26"/>
          <w:szCs w:val="26"/>
        </w:rPr>
        <w:t>В  20</w:t>
      </w:r>
      <w:r>
        <w:rPr>
          <w:color w:val="000000"/>
          <w:sz w:val="26"/>
          <w:szCs w:val="26"/>
        </w:rPr>
        <w:t>20</w:t>
      </w:r>
      <w:r w:rsidRPr="00184955">
        <w:rPr>
          <w:color w:val="000000"/>
          <w:sz w:val="26"/>
          <w:szCs w:val="26"/>
        </w:rPr>
        <w:t xml:space="preserve"> році очікується отримати чистий дохід від реалізації  товарів, робіт та послуг у розмірі </w:t>
      </w:r>
      <w:r w:rsidR="00BC5F5C">
        <w:rPr>
          <w:sz w:val="26"/>
          <w:szCs w:val="26"/>
        </w:rPr>
        <w:t>70</w:t>
      </w:r>
      <w:r w:rsidRPr="00184955">
        <w:rPr>
          <w:sz w:val="26"/>
          <w:szCs w:val="26"/>
        </w:rPr>
        <w:t xml:space="preserve"> млн. </w:t>
      </w:r>
      <w:r w:rsidR="00BC5F5C">
        <w:rPr>
          <w:sz w:val="26"/>
          <w:szCs w:val="26"/>
          <w:lang w:val="ru-RU"/>
        </w:rPr>
        <w:t>544</w:t>
      </w:r>
      <w:r w:rsidRPr="00184955">
        <w:rPr>
          <w:color w:val="000000"/>
          <w:sz w:val="26"/>
          <w:szCs w:val="26"/>
        </w:rPr>
        <w:t xml:space="preserve"> тис. грн. </w:t>
      </w:r>
    </w:p>
    <w:p w:rsidR="00BF04CE" w:rsidRDefault="00BF04CE" w:rsidP="00BF04CE">
      <w:pPr>
        <w:jc w:val="center"/>
        <w:rPr>
          <w:b/>
        </w:rPr>
      </w:pPr>
      <w:r>
        <w:rPr>
          <w:color w:val="000000"/>
          <w:sz w:val="28"/>
          <w:szCs w:val="28"/>
          <w:lang w:val="ru-RU"/>
        </w:rPr>
        <w:t xml:space="preserve">                                                                                                                                </w:t>
      </w:r>
      <w:r w:rsidRPr="0088608E">
        <w:rPr>
          <w:b/>
        </w:rPr>
        <w:t>Рис. 1</w:t>
      </w:r>
    </w:p>
    <w:p w:rsidR="000C1AC6" w:rsidRDefault="000C1AC6" w:rsidP="00BF04CE">
      <w:pPr>
        <w:jc w:val="center"/>
        <w:rPr>
          <w:b/>
        </w:rPr>
      </w:pPr>
      <w:r>
        <w:rPr>
          <w:noProof/>
          <w:lang w:eastAsia="uk-UA"/>
        </w:rPr>
        <w:drawing>
          <wp:inline distT="0" distB="0" distL="0" distR="0" wp14:anchorId="3948032E" wp14:editId="57125C46">
            <wp:extent cx="5780405" cy="4293235"/>
            <wp:effectExtent l="0" t="0" r="10795" b="1206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F04CE" w:rsidRDefault="00BF04CE" w:rsidP="00BF04CE">
      <w:pPr>
        <w:jc w:val="center"/>
        <w:rPr>
          <w:b/>
        </w:rPr>
      </w:pPr>
    </w:p>
    <w:p w:rsidR="00BF04CE" w:rsidRDefault="00BF04CE" w:rsidP="00BF04CE">
      <w:pPr>
        <w:jc w:val="center"/>
        <w:rPr>
          <w:b/>
        </w:rPr>
      </w:pPr>
    </w:p>
    <w:p w:rsidR="00BF04CE" w:rsidRPr="00184955" w:rsidRDefault="00BF04CE" w:rsidP="00BF04CE">
      <w:pPr>
        <w:ind w:firstLine="709"/>
        <w:jc w:val="both"/>
        <w:outlineLvl w:val="0"/>
        <w:rPr>
          <w:color w:val="000000"/>
          <w:sz w:val="26"/>
          <w:szCs w:val="26"/>
        </w:rPr>
      </w:pPr>
    </w:p>
    <w:p w:rsidR="00D46EF9" w:rsidRDefault="00BF04CE" w:rsidP="00BF04CE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0E6D81">
        <w:rPr>
          <w:color w:val="000000"/>
          <w:sz w:val="26"/>
          <w:szCs w:val="26"/>
        </w:rPr>
        <w:t>Планова сума загального доходу на 202</w:t>
      </w:r>
      <w:r w:rsidR="000C1AC6">
        <w:rPr>
          <w:color w:val="000000"/>
          <w:sz w:val="26"/>
          <w:szCs w:val="26"/>
        </w:rPr>
        <w:t>1</w:t>
      </w:r>
      <w:r w:rsidRPr="000E6D81">
        <w:rPr>
          <w:color w:val="000000"/>
          <w:sz w:val="26"/>
          <w:szCs w:val="26"/>
        </w:rPr>
        <w:t xml:space="preserve"> рік становить суму </w:t>
      </w:r>
      <w:r w:rsidR="000C1AC6">
        <w:rPr>
          <w:color w:val="000000"/>
          <w:sz w:val="26"/>
          <w:szCs w:val="26"/>
        </w:rPr>
        <w:t>101</w:t>
      </w:r>
      <w:r w:rsidRPr="00096431">
        <w:rPr>
          <w:color w:val="000000"/>
          <w:sz w:val="26"/>
          <w:szCs w:val="26"/>
        </w:rPr>
        <w:t xml:space="preserve"> млн. </w:t>
      </w:r>
      <w:r w:rsidR="000C1AC6">
        <w:rPr>
          <w:color w:val="000000"/>
          <w:sz w:val="26"/>
          <w:szCs w:val="26"/>
        </w:rPr>
        <w:t>994</w:t>
      </w:r>
      <w:r w:rsidR="00D46EF9">
        <w:rPr>
          <w:color w:val="000000"/>
          <w:sz w:val="26"/>
          <w:szCs w:val="26"/>
        </w:rPr>
        <w:t xml:space="preserve"> грн. і складається:</w:t>
      </w:r>
      <w:r>
        <w:rPr>
          <w:color w:val="000000"/>
          <w:sz w:val="26"/>
          <w:szCs w:val="26"/>
        </w:rPr>
        <w:t xml:space="preserve"> </w:t>
      </w:r>
    </w:p>
    <w:p w:rsidR="00D46EF9" w:rsidRPr="00D46EF9" w:rsidRDefault="00BF04CE" w:rsidP="00D46EF9">
      <w:pPr>
        <w:pStyle w:val="af"/>
        <w:numPr>
          <w:ilvl w:val="0"/>
          <w:numId w:val="19"/>
        </w:numPr>
        <w:ind w:left="709" w:hanging="283"/>
        <w:jc w:val="both"/>
        <w:outlineLvl w:val="0"/>
        <w:rPr>
          <w:color w:val="000000"/>
          <w:sz w:val="26"/>
          <w:szCs w:val="26"/>
        </w:rPr>
      </w:pPr>
      <w:r w:rsidRPr="00D46EF9">
        <w:rPr>
          <w:color w:val="000000"/>
          <w:sz w:val="26"/>
          <w:szCs w:val="26"/>
        </w:rPr>
        <w:t>з   чистого   доходу</w:t>
      </w:r>
      <w:r w:rsidR="0095332A">
        <w:rPr>
          <w:color w:val="000000"/>
          <w:sz w:val="26"/>
          <w:szCs w:val="26"/>
        </w:rPr>
        <w:t xml:space="preserve">   </w:t>
      </w:r>
      <w:r w:rsidRPr="00D46EF9">
        <w:rPr>
          <w:color w:val="000000"/>
          <w:sz w:val="26"/>
          <w:szCs w:val="26"/>
        </w:rPr>
        <w:t xml:space="preserve"> від операційної </w:t>
      </w:r>
      <w:r w:rsidR="0095332A">
        <w:rPr>
          <w:color w:val="000000"/>
          <w:sz w:val="26"/>
          <w:szCs w:val="26"/>
        </w:rPr>
        <w:t xml:space="preserve">  </w:t>
      </w:r>
      <w:r w:rsidRPr="00D46EF9">
        <w:rPr>
          <w:color w:val="000000"/>
          <w:sz w:val="26"/>
          <w:szCs w:val="26"/>
        </w:rPr>
        <w:t xml:space="preserve"> (основної )</w:t>
      </w:r>
      <w:r w:rsidR="0095332A">
        <w:rPr>
          <w:color w:val="000000"/>
          <w:sz w:val="26"/>
          <w:szCs w:val="26"/>
        </w:rPr>
        <w:t xml:space="preserve">  </w:t>
      </w:r>
      <w:r w:rsidRPr="00D46EF9">
        <w:rPr>
          <w:color w:val="000000"/>
          <w:sz w:val="26"/>
          <w:szCs w:val="26"/>
        </w:rPr>
        <w:t xml:space="preserve">  діяльності</w:t>
      </w:r>
      <w:r w:rsidR="0095332A">
        <w:rPr>
          <w:color w:val="000000"/>
          <w:sz w:val="26"/>
          <w:szCs w:val="26"/>
        </w:rPr>
        <w:t xml:space="preserve">    </w:t>
      </w:r>
      <w:r w:rsidRPr="00D46EF9">
        <w:rPr>
          <w:color w:val="000000"/>
          <w:sz w:val="26"/>
          <w:szCs w:val="26"/>
        </w:rPr>
        <w:t xml:space="preserve"> підприємства </w:t>
      </w:r>
      <w:r w:rsidR="0095332A">
        <w:rPr>
          <w:color w:val="000000"/>
          <w:sz w:val="26"/>
          <w:szCs w:val="26"/>
        </w:rPr>
        <w:t xml:space="preserve">   </w:t>
      </w:r>
      <w:r w:rsidRPr="00D46EF9">
        <w:rPr>
          <w:color w:val="000000"/>
          <w:sz w:val="26"/>
          <w:szCs w:val="26"/>
        </w:rPr>
        <w:t xml:space="preserve"> - </w:t>
      </w:r>
      <w:r w:rsidR="00D46EF9" w:rsidRPr="00D46EF9">
        <w:rPr>
          <w:color w:val="000000"/>
          <w:sz w:val="26"/>
          <w:szCs w:val="26"/>
        </w:rPr>
        <w:t>90</w:t>
      </w:r>
      <w:r w:rsidRPr="00D46EF9">
        <w:rPr>
          <w:color w:val="000000"/>
          <w:sz w:val="26"/>
          <w:szCs w:val="26"/>
        </w:rPr>
        <w:t xml:space="preserve"> млн. </w:t>
      </w:r>
      <w:r w:rsidR="000C1AC6" w:rsidRPr="00D46EF9">
        <w:rPr>
          <w:color w:val="000000"/>
          <w:sz w:val="26"/>
          <w:szCs w:val="26"/>
        </w:rPr>
        <w:t>880</w:t>
      </w:r>
      <w:r w:rsidRPr="00D46EF9">
        <w:rPr>
          <w:color w:val="000000"/>
          <w:sz w:val="26"/>
          <w:szCs w:val="26"/>
        </w:rPr>
        <w:t xml:space="preserve"> тис. грн</w:t>
      </w:r>
      <w:r w:rsidR="000C1AC6" w:rsidRPr="00D46EF9">
        <w:rPr>
          <w:color w:val="000000"/>
          <w:sz w:val="26"/>
          <w:szCs w:val="26"/>
        </w:rPr>
        <w:t>.</w:t>
      </w:r>
      <w:r w:rsidR="00D46EF9" w:rsidRPr="00D46EF9">
        <w:rPr>
          <w:color w:val="000000"/>
          <w:sz w:val="26"/>
          <w:szCs w:val="26"/>
        </w:rPr>
        <w:t xml:space="preserve">; </w:t>
      </w:r>
    </w:p>
    <w:p w:rsidR="00D46EF9" w:rsidRPr="00D46EF9" w:rsidRDefault="00D46EF9" w:rsidP="00D46EF9">
      <w:pPr>
        <w:pStyle w:val="af"/>
        <w:numPr>
          <w:ilvl w:val="0"/>
          <w:numId w:val="19"/>
        </w:numPr>
        <w:ind w:left="709" w:hanging="283"/>
        <w:jc w:val="both"/>
        <w:outlineLvl w:val="0"/>
        <w:rPr>
          <w:color w:val="000000"/>
          <w:sz w:val="26"/>
          <w:szCs w:val="26"/>
        </w:rPr>
      </w:pPr>
      <w:r w:rsidRPr="00D46EF9">
        <w:rPr>
          <w:color w:val="000000"/>
          <w:sz w:val="26"/>
          <w:szCs w:val="26"/>
        </w:rPr>
        <w:t xml:space="preserve">іншого операційного доходу відповідно: 20 тис. грн за курсовими різницями операційної діяльності, відшкодування відпустки учасника ЧАЕС – 5 тис. грн., і залишків коштів на рахунках та страхових виплат  на  суму 47 тис. грн.; </w:t>
      </w:r>
    </w:p>
    <w:p w:rsidR="00D46EF9" w:rsidRDefault="00BF04CE" w:rsidP="00D46EF9">
      <w:pPr>
        <w:pStyle w:val="af"/>
        <w:numPr>
          <w:ilvl w:val="0"/>
          <w:numId w:val="19"/>
        </w:numPr>
        <w:ind w:left="709" w:hanging="283"/>
        <w:jc w:val="both"/>
        <w:outlineLvl w:val="0"/>
        <w:rPr>
          <w:color w:val="000000"/>
          <w:sz w:val="26"/>
          <w:szCs w:val="26"/>
        </w:rPr>
      </w:pPr>
      <w:r w:rsidRPr="00D46EF9">
        <w:rPr>
          <w:color w:val="000000"/>
          <w:sz w:val="26"/>
          <w:szCs w:val="26"/>
        </w:rPr>
        <w:t>іншого фінансового доходу від процентів на залишках рахунків</w:t>
      </w:r>
      <w:r w:rsidR="000C1AC6" w:rsidRPr="00D46EF9">
        <w:rPr>
          <w:color w:val="000000"/>
          <w:sz w:val="26"/>
          <w:szCs w:val="26"/>
        </w:rPr>
        <w:t xml:space="preserve"> та процентів по депозитним договорам</w:t>
      </w:r>
      <w:r w:rsidR="00D46EF9" w:rsidRPr="00D46EF9">
        <w:rPr>
          <w:color w:val="000000"/>
          <w:sz w:val="26"/>
          <w:szCs w:val="26"/>
        </w:rPr>
        <w:t xml:space="preserve">  загалом на суму </w:t>
      </w:r>
      <w:r w:rsidR="000C1AC6" w:rsidRPr="00D46EF9">
        <w:rPr>
          <w:color w:val="000000"/>
          <w:sz w:val="26"/>
          <w:szCs w:val="26"/>
        </w:rPr>
        <w:t>53</w:t>
      </w:r>
      <w:r w:rsidR="00D46EF9">
        <w:rPr>
          <w:color w:val="000000"/>
          <w:sz w:val="26"/>
          <w:szCs w:val="26"/>
        </w:rPr>
        <w:t xml:space="preserve"> тис. грн.;</w:t>
      </w:r>
    </w:p>
    <w:p w:rsidR="00BF04CE" w:rsidRPr="00D46EF9" w:rsidRDefault="000C1AC6" w:rsidP="00D46EF9">
      <w:pPr>
        <w:pStyle w:val="af"/>
        <w:numPr>
          <w:ilvl w:val="0"/>
          <w:numId w:val="19"/>
        </w:numPr>
        <w:ind w:left="709" w:hanging="283"/>
        <w:jc w:val="both"/>
        <w:outlineLvl w:val="0"/>
        <w:rPr>
          <w:color w:val="000000"/>
          <w:sz w:val="26"/>
          <w:szCs w:val="26"/>
        </w:rPr>
      </w:pPr>
      <w:r w:rsidRPr="00D46EF9">
        <w:rPr>
          <w:color w:val="000000"/>
          <w:sz w:val="26"/>
          <w:szCs w:val="26"/>
        </w:rPr>
        <w:t xml:space="preserve"> інших доходів   у сумі</w:t>
      </w:r>
      <w:r w:rsidR="00BF04CE" w:rsidRPr="00D46EF9">
        <w:rPr>
          <w:color w:val="000000"/>
          <w:sz w:val="26"/>
          <w:szCs w:val="26"/>
        </w:rPr>
        <w:t xml:space="preserve"> </w:t>
      </w:r>
      <w:r w:rsidRPr="00D46EF9">
        <w:rPr>
          <w:color w:val="000000"/>
          <w:sz w:val="26"/>
          <w:szCs w:val="26"/>
        </w:rPr>
        <w:t>10</w:t>
      </w:r>
      <w:r w:rsidR="00BF04CE" w:rsidRPr="00D46EF9">
        <w:rPr>
          <w:color w:val="000000"/>
          <w:sz w:val="26"/>
          <w:szCs w:val="26"/>
        </w:rPr>
        <w:t xml:space="preserve"> млн. </w:t>
      </w:r>
      <w:r w:rsidRPr="00D46EF9">
        <w:rPr>
          <w:color w:val="000000"/>
          <w:sz w:val="26"/>
          <w:szCs w:val="26"/>
        </w:rPr>
        <w:t>989</w:t>
      </w:r>
      <w:r w:rsidR="00D46EF9">
        <w:rPr>
          <w:color w:val="000000"/>
          <w:sz w:val="26"/>
          <w:szCs w:val="26"/>
        </w:rPr>
        <w:t xml:space="preserve"> тис. грн., а саме </w:t>
      </w:r>
      <w:r w:rsidR="00BF04CE" w:rsidRPr="00D46EF9">
        <w:rPr>
          <w:color w:val="000000"/>
          <w:sz w:val="26"/>
          <w:szCs w:val="26"/>
        </w:rPr>
        <w:t>курсов</w:t>
      </w:r>
      <w:r w:rsidR="00D46EF9">
        <w:rPr>
          <w:color w:val="000000"/>
          <w:sz w:val="26"/>
          <w:szCs w:val="26"/>
        </w:rPr>
        <w:t>ої</w:t>
      </w:r>
      <w:r w:rsidR="00BF04CE" w:rsidRPr="00D46EF9">
        <w:rPr>
          <w:color w:val="000000"/>
          <w:sz w:val="26"/>
          <w:szCs w:val="26"/>
        </w:rPr>
        <w:t xml:space="preserve">   різниці   н</w:t>
      </w:r>
      <w:r w:rsidR="0095332A">
        <w:rPr>
          <w:color w:val="000000"/>
          <w:sz w:val="26"/>
          <w:szCs w:val="26"/>
        </w:rPr>
        <w:t>еопераційної діяльності –</w:t>
      </w:r>
      <w:r w:rsidRPr="00D46EF9">
        <w:rPr>
          <w:color w:val="000000"/>
          <w:sz w:val="26"/>
          <w:szCs w:val="26"/>
        </w:rPr>
        <w:t>46</w:t>
      </w:r>
      <w:r w:rsidR="00D46EF9">
        <w:rPr>
          <w:color w:val="000000"/>
          <w:sz w:val="26"/>
          <w:szCs w:val="26"/>
        </w:rPr>
        <w:t xml:space="preserve"> тис. грн. та </w:t>
      </w:r>
      <w:r w:rsidR="00BF04CE" w:rsidRPr="00D46EF9">
        <w:rPr>
          <w:color w:val="000000"/>
          <w:sz w:val="26"/>
          <w:szCs w:val="26"/>
        </w:rPr>
        <w:t xml:space="preserve"> кошт</w:t>
      </w:r>
      <w:r w:rsidRPr="00D46EF9">
        <w:rPr>
          <w:color w:val="000000"/>
          <w:sz w:val="26"/>
          <w:szCs w:val="26"/>
        </w:rPr>
        <w:t xml:space="preserve">ів </w:t>
      </w:r>
      <w:r w:rsidR="00BF04CE" w:rsidRPr="00D46EF9">
        <w:rPr>
          <w:color w:val="000000"/>
          <w:sz w:val="26"/>
          <w:szCs w:val="26"/>
        </w:rPr>
        <w:t xml:space="preserve">від </w:t>
      </w:r>
      <w:r w:rsidRPr="00D46EF9">
        <w:rPr>
          <w:color w:val="000000"/>
          <w:sz w:val="26"/>
          <w:szCs w:val="26"/>
        </w:rPr>
        <w:t>фінансової допомоги наданої на реконструкці</w:t>
      </w:r>
      <w:r w:rsidR="0095332A">
        <w:rPr>
          <w:color w:val="000000"/>
          <w:sz w:val="26"/>
          <w:szCs w:val="26"/>
        </w:rPr>
        <w:t>ю</w:t>
      </w:r>
      <w:r w:rsidRPr="00D46EF9">
        <w:rPr>
          <w:color w:val="000000"/>
          <w:sz w:val="26"/>
          <w:szCs w:val="26"/>
        </w:rPr>
        <w:t xml:space="preserve"> будівлі МІУ ДП «Феодосійським МТП»</w:t>
      </w:r>
      <w:r w:rsidR="0095332A">
        <w:rPr>
          <w:color w:val="000000"/>
          <w:sz w:val="26"/>
          <w:szCs w:val="26"/>
        </w:rPr>
        <w:t xml:space="preserve">  у розмірі</w:t>
      </w:r>
      <w:r w:rsidR="00D46EF9">
        <w:rPr>
          <w:color w:val="000000"/>
          <w:sz w:val="26"/>
          <w:szCs w:val="26"/>
        </w:rPr>
        <w:t xml:space="preserve"> 10 млн. 943 тис.</w:t>
      </w:r>
      <w:r w:rsidR="0095332A">
        <w:rPr>
          <w:color w:val="000000"/>
          <w:sz w:val="26"/>
          <w:szCs w:val="26"/>
        </w:rPr>
        <w:t xml:space="preserve"> </w:t>
      </w:r>
      <w:r w:rsidR="00D46EF9">
        <w:rPr>
          <w:color w:val="000000"/>
          <w:sz w:val="26"/>
          <w:szCs w:val="26"/>
        </w:rPr>
        <w:t>грн</w:t>
      </w:r>
      <w:r w:rsidRPr="00D46EF9">
        <w:rPr>
          <w:color w:val="000000"/>
          <w:sz w:val="26"/>
          <w:szCs w:val="26"/>
        </w:rPr>
        <w:t>.</w:t>
      </w:r>
    </w:p>
    <w:p w:rsidR="00BF04CE" w:rsidRDefault="00BF04CE" w:rsidP="00BF04CE">
      <w:pPr>
        <w:ind w:firstLine="709"/>
        <w:jc w:val="both"/>
        <w:outlineLvl w:val="0"/>
        <w:rPr>
          <w:color w:val="000000"/>
          <w:sz w:val="26"/>
          <w:szCs w:val="26"/>
        </w:rPr>
      </w:pPr>
      <w:r w:rsidRPr="00096431">
        <w:rPr>
          <w:color w:val="000000"/>
          <w:sz w:val="26"/>
          <w:szCs w:val="26"/>
        </w:rPr>
        <w:t>Структура чистого доходу ДП «Укрсервіс Мінтрансу» зазна</w:t>
      </w:r>
      <w:r w:rsidR="0095332A">
        <w:rPr>
          <w:color w:val="000000"/>
          <w:sz w:val="26"/>
          <w:szCs w:val="26"/>
        </w:rPr>
        <w:t>ла</w:t>
      </w:r>
      <w:r w:rsidRPr="00096431">
        <w:rPr>
          <w:color w:val="000000"/>
          <w:sz w:val="26"/>
          <w:szCs w:val="26"/>
        </w:rPr>
        <w:t xml:space="preserve"> великих змін в</w:t>
      </w:r>
      <w:r w:rsidRPr="00184955">
        <w:rPr>
          <w:color w:val="000000"/>
          <w:sz w:val="26"/>
          <w:szCs w:val="26"/>
        </w:rPr>
        <w:t xml:space="preserve"> порівнянні з попередніми періодами діяльності. Основна питома вага припадає на </w:t>
      </w:r>
      <w:r w:rsidRPr="00184955">
        <w:rPr>
          <w:color w:val="000000"/>
          <w:sz w:val="26"/>
          <w:szCs w:val="26"/>
        </w:rPr>
        <w:lastRenderedPageBreak/>
        <w:t xml:space="preserve">утримання приміщень і складає близько </w:t>
      </w:r>
      <w:r w:rsidR="0095332A">
        <w:rPr>
          <w:color w:val="000000"/>
          <w:sz w:val="26"/>
          <w:szCs w:val="26"/>
        </w:rPr>
        <w:t>71</w:t>
      </w:r>
      <w:r>
        <w:rPr>
          <w:color w:val="000000"/>
          <w:sz w:val="26"/>
          <w:szCs w:val="26"/>
        </w:rPr>
        <w:t xml:space="preserve"> </w:t>
      </w:r>
      <w:r w:rsidR="0095332A">
        <w:rPr>
          <w:color w:val="000000"/>
          <w:sz w:val="26"/>
          <w:szCs w:val="26"/>
        </w:rPr>
        <w:t>% від чистого доходу ( плановий показник 2020 року складав 73,7 %).</w:t>
      </w:r>
    </w:p>
    <w:p w:rsidR="00BF04CE" w:rsidRDefault="00BF04CE" w:rsidP="00BF04CE">
      <w:pPr>
        <w:ind w:firstLine="709"/>
        <w:jc w:val="both"/>
        <w:outlineLvl w:val="0"/>
        <w:rPr>
          <w:color w:val="000000"/>
          <w:sz w:val="26"/>
          <w:szCs w:val="26"/>
        </w:rPr>
      </w:pPr>
    </w:p>
    <w:p w:rsidR="00BF04CE" w:rsidRPr="0092557A" w:rsidRDefault="00BF04CE" w:rsidP="0095332A">
      <w:pPr>
        <w:jc w:val="center"/>
        <w:rPr>
          <w:b/>
          <w:sz w:val="28"/>
          <w:szCs w:val="28"/>
        </w:rPr>
      </w:pPr>
      <w:r w:rsidRPr="0092557A">
        <w:rPr>
          <w:b/>
          <w:sz w:val="28"/>
          <w:szCs w:val="28"/>
        </w:rPr>
        <w:t>Витрати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Pr="0026277F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 w:rsidRPr="0026277F">
        <w:rPr>
          <w:color w:val="000000"/>
          <w:sz w:val="28"/>
          <w:szCs w:val="28"/>
        </w:rPr>
        <w:t>Витратна частина фінансового плану формувалась в співвідношенні з доходами, які плануються від основної діяльності підприємства та відповідає рівню очікуваного  доходу.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 w:rsidRPr="0026277F">
        <w:rPr>
          <w:color w:val="000000"/>
          <w:sz w:val="28"/>
          <w:szCs w:val="28"/>
        </w:rPr>
        <w:t xml:space="preserve"> Загальні планові  витрати   на 202</w:t>
      </w:r>
      <w:r w:rsidR="0095332A">
        <w:rPr>
          <w:color w:val="000000"/>
          <w:sz w:val="28"/>
          <w:szCs w:val="28"/>
        </w:rPr>
        <w:t>1</w:t>
      </w:r>
      <w:r w:rsidRPr="0026277F">
        <w:rPr>
          <w:color w:val="000000"/>
          <w:sz w:val="28"/>
          <w:szCs w:val="28"/>
        </w:rPr>
        <w:t xml:space="preserve"> р. становлять суму </w:t>
      </w:r>
      <w:r w:rsidR="0095332A">
        <w:rPr>
          <w:color w:val="000000"/>
          <w:sz w:val="28"/>
          <w:szCs w:val="28"/>
        </w:rPr>
        <w:t>101</w:t>
      </w:r>
      <w:r w:rsidRPr="0026277F">
        <w:rPr>
          <w:color w:val="000000"/>
          <w:sz w:val="28"/>
          <w:szCs w:val="28"/>
        </w:rPr>
        <w:t xml:space="preserve"> млн. </w:t>
      </w:r>
      <w:r w:rsidR="0095332A">
        <w:rPr>
          <w:color w:val="000000"/>
          <w:sz w:val="28"/>
          <w:szCs w:val="28"/>
        </w:rPr>
        <w:t>994</w:t>
      </w:r>
      <w:r w:rsidRPr="0026277F">
        <w:rPr>
          <w:color w:val="000000"/>
          <w:sz w:val="28"/>
          <w:szCs w:val="28"/>
        </w:rPr>
        <w:t xml:space="preserve"> тис. грн., та на  </w:t>
      </w:r>
      <w:r w:rsidR="0095332A">
        <w:rPr>
          <w:color w:val="000000"/>
          <w:sz w:val="28"/>
          <w:szCs w:val="28"/>
        </w:rPr>
        <w:t>7</w:t>
      </w:r>
      <w:r w:rsidRPr="0026277F">
        <w:rPr>
          <w:color w:val="000000"/>
          <w:sz w:val="28"/>
          <w:szCs w:val="28"/>
        </w:rPr>
        <w:t xml:space="preserve"> млн. </w:t>
      </w:r>
      <w:r w:rsidR="0095332A">
        <w:rPr>
          <w:color w:val="000000"/>
          <w:sz w:val="28"/>
          <w:szCs w:val="28"/>
        </w:rPr>
        <w:t xml:space="preserve">843 тис. грн. більше  </w:t>
      </w:r>
      <w:r w:rsidRPr="0026277F">
        <w:rPr>
          <w:color w:val="000000"/>
          <w:sz w:val="28"/>
          <w:szCs w:val="28"/>
        </w:rPr>
        <w:t>від планової суми на 20</w:t>
      </w:r>
      <w:r w:rsidR="0095332A">
        <w:rPr>
          <w:color w:val="000000"/>
          <w:sz w:val="28"/>
          <w:szCs w:val="28"/>
        </w:rPr>
        <w:t>20</w:t>
      </w:r>
      <w:r w:rsidRPr="0026277F">
        <w:rPr>
          <w:color w:val="000000"/>
          <w:sz w:val="28"/>
          <w:szCs w:val="28"/>
        </w:rPr>
        <w:t xml:space="preserve"> р., що всього на </w:t>
      </w:r>
      <w:r w:rsidR="0095332A">
        <w:rPr>
          <w:color w:val="000000"/>
          <w:sz w:val="28"/>
          <w:szCs w:val="28"/>
        </w:rPr>
        <w:t>8</w:t>
      </w:r>
      <w:r w:rsidRPr="0026277F">
        <w:rPr>
          <w:color w:val="000000"/>
          <w:sz w:val="28"/>
          <w:szCs w:val="28"/>
        </w:rPr>
        <w:t>% більше ніж у 20</w:t>
      </w:r>
      <w:r w:rsidR="0095332A">
        <w:rPr>
          <w:color w:val="000000"/>
          <w:sz w:val="28"/>
          <w:szCs w:val="28"/>
        </w:rPr>
        <w:t>20</w:t>
      </w:r>
      <w:r w:rsidRPr="0026277F">
        <w:rPr>
          <w:color w:val="000000"/>
          <w:sz w:val="28"/>
          <w:szCs w:val="28"/>
        </w:rPr>
        <w:t xml:space="preserve"> році. Планова сума витрат визначена на підставі реальних прогнозних доходів та містить тільки проведення вкрай необхідних робіт у зв’язку з обмеженим обсягом бюджетного фінансування орендарів – органів державної влади, що розміщуються в </w:t>
      </w:r>
      <w:proofErr w:type="spellStart"/>
      <w:r w:rsidRPr="0026277F">
        <w:rPr>
          <w:color w:val="000000"/>
          <w:sz w:val="28"/>
          <w:szCs w:val="28"/>
        </w:rPr>
        <w:t>адмінбудівлі</w:t>
      </w:r>
      <w:proofErr w:type="spellEnd"/>
      <w:r w:rsidRPr="0026277F">
        <w:rPr>
          <w:color w:val="000000"/>
          <w:sz w:val="28"/>
          <w:szCs w:val="28"/>
        </w:rPr>
        <w:t>, балансоутримувачем якої є ДП «Укрсервіс Мінтрансу».  Планові витрати визначені відповідно до укладених договорів</w:t>
      </w:r>
      <w:r w:rsidR="0095332A">
        <w:rPr>
          <w:color w:val="000000"/>
          <w:sz w:val="28"/>
          <w:szCs w:val="28"/>
        </w:rPr>
        <w:t xml:space="preserve"> у 2020 році </w:t>
      </w:r>
      <w:r w:rsidRPr="0026277F">
        <w:rPr>
          <w:color w:val="000000"/>
          <w:sz w:val="28"/>
          <w:szCs w:val="28"/>
        </w:rPr>
        <w:t xml:space="preserve">  та на рівні фактичних витрат здійснених  у  20</w:t>
      </w:r>
      <w:r w:rsidR="0095332A">
        <w:rPr>
          <w:color w:val="000000"/>
          <w:sz w:val="28"/>
          <w:szCs w:val="28"/>
        </w:rPr>
        <w:t>19-2020</w:t>
      </w:r>
      <w:r w:rsidRPr="0026277F">
        <w:rPr>
          <w:color w:val="000000"/>
          <w:sz w:val="28"/>
          <w:szCs w:val="28"/>
        </w:rPr>
        <w:t xml:space="preserve"> рок</w:t>
      </w:r>
      <w:r w:rsidR="0095332A">
        <w:rPr>
          <w:color w:val="000000"/>
          <w:sz w:val="28"/>
          <w:szCs w:val="28"/>
        </w:rPr>
        <w:t>ах</w:t>
      </w:r>
      <w:r w:rsidRPr="0026277F">
        <w:rPr>
          <w:color w:val="000000"/>
          <w:sz w:val="28"/>
          <w:szCs w:val="28"/>
        </w:rPr>
        <w:t xml:space="preserve"> з урахуванням зростання цін, а   також комерційних пропозицій на 202</w:t>
      </w:r>
      <w:r w:rsidR="0095332A">
        <w:rPr>
          <w:color w:val="000000"/>
          <w:sz w:val="28"/>
          <w:szCs w:val="28"/>
        </w:rPr>
        <w:t>1</w:t>
      </w:r>
      <w:r w:rsidRPr="0026277F">
        <w:rPr>
          <w:color w:val="000000"/>
          <w:sz w:val="28"/>
          <w:szCs w:val="28"/>
        </w:rPr>
        <w:t xml:space="preserve"> рік за наступними статтями витрат:  комунальні послуги  та послуги сторонніх організацій, задіяних у підтриманні об’єкта – адміністративного будинку  МІУ у робочому стані: технічне обслуговування та ремонтні роботи ліфтового обладнання, усіх  інженерних, інформаційних,  санітарно-технічних  комунікацій і систем, аварійні ремонти будівлі, цін на  сировину, матеріали,  запчастини, комплектуючі, паливно-мастильні матеріали тощо  у відповідності до аналізу фактичних цін 201</w:t>
      </w:r>
      <w:r w:rsidR="0095332A">
        <w:rPr>
          <w:color w:val="000000"/>
          <w:sz w:val="28"/>
          <w:szCs w:val="28"/>
        </w:rPr>
        <w:t>9</w:t>
      </w:r>
      <w:r w:rsidRPr="0026277F">
        <w:rPr>
          <w:color w:val="000000"/>
          <w:sz w:val="28"/>
          <w:szCs w:val="28"/>
        </w:rPr>
        <w:t>-20</w:t>
      </w:r>
      <w:r w:rsidR="0095332A">
        <w:rPr>
          <w:color w:val="000000"/>
          <w:sz w:val="28"/>
          <w:szCs w:val="28"/>
        </w:rPr>
        <w:t>20</w:t>
      </w:r>
      <w:r w:rsidRPr="0026277F">
        <w:rPr>
          <w:color w:val="000000"/>
          <w:sz w:val="28"/>
          <w:szCs w:val="28"/>
        </w:rPr>
        <w:t xml:space="preserve"> років та до  </w:t>
      </w:r>
      <w:r w:rsidR="00BC5F5C">
        <w:rPr>
          <w:color w:val="000000"/>
          <w:sz w:val="28"/>
          <w:szCs w:val="28"/>
        </w:rPr>
        <w:t xml:space="preserve">макроекономічних </w:t>
      </w:r>
      <w:r w:rsidRPr="0026277F">
        <w:rPr>
          <w:color w:val="000000"/>
          <w:sz w:val="28"/>
          <w:szCs w:val="28"/>
        </w:rPr>
        <w:t xml:space="preserve">показників  Постанови КМУ від </w:t>
      </w:r>
      <w:r w:rsidR="0095332A">
        <w:rPr>
          <w:color w:val="000000"/>
          <w:sz w:val="28"/>
          <w:szCs w:val="28"/>
        </w:rPr>
        <w:t>15</w:t>
      </w:r>
      <w:r w:rsidRPr="0026277F">
        <w:rPr>
          <w:color w:val="000000"/>
          <w:sz w:val="28"/>
          <w:szCs w:val="28"/>
        </w:rPr>
        <w:t>.0</w:t>
      </w:r>
      <w:r w:rsidR="0095332A">
        <w:rPr>
          <w:color w:val="000000"/>
          <w:sz w:val="28"/>
          <w:szCs w:val="28"/>
        </w:rPr>
        <w:t>5</w:t>
      </w:r>
      <w:r w:rsidRPr="0026277F">
        <w:rPr>
          <w:color w:val="000000"/>
          <w:sz w:val="28"/>
          <w:szCs w:val="28"/>
        </w:rPr>
        <w:t>.201</w:t>
      </w:r>
      <w:r w:rsidR="0095332A">
        <w:rPr>
          <w:color w:val="000000"/>
          <w:sz w:val="28"/>
          <w:szCs w:val="28"/>
        </w:rPr>
        <w:t>9</w:t>
      </w:r>
      <w:r w:rsidRPr="0026277F">
        <w:rPr>
          <w:color w:val="000000"/>
          <w:sz w:val="28"/>
          <w:szCs w:val="28"/>
        </w:rPr>
        <w:t xml:space="preserve"> №5</w:t>
      </w:r>
      <w:r w:rsidR="0095332A">
        <w:rPr>
          <w:color w:val="000000"/>
          <w:sz w:val="28"/>
          <w:szCs w:val="28"/>
        </w:rPr>
        <w:t>55</w:t>
      </w:r>
      <w:r w:rsidRPr="0026277F">
        <w:rPr>
          <w:color w:val="000000"/>
          <w:sz w:val="28"/>
          <w:szCs w:val="28"/>
        </w:rPr>
        <w:t xml:space="preserve"> «Про схвалення Прогнозу економічного і соціального розвитку України на 20</w:t>
      </w:r>
      <w:r w:rsidR="0095332A">
        <w:rPr>
          <w:color w:val="000000"/>
          <w:sz w:val="28"/>
          <w:szCs w:val="28"/>
        </w:rPr>
        <w:t>20</w:t>
      </w:r>
      <w:r w:rsidRPr="0026277F">
        <w:rPr>
          <w:color w:val="000000"/>
          <w:sz w:val="28"/>
          <w:szCs w:val="28"/>
          <w:lang w:val="ru-RU"/>
        </w:rPr>
        <w:t>-</w:t>
      </w:r>
      <w:r w:rsidRPr="0026277F">
        <w:rPr>
          <w:color w:val="000000"/>
          <w:sz w:val="28"/>
          <w:szCs w:val="28"/>
        </w:rPr>
        <w:t xml:space="preserve"> 202</w:t>
      </w:r>
      <w:r w:rsidR="0095332A">
        <w:rPr>
          <w:color w:val="000000"/>
          <w:sz w:val="28"/>
          <w:szCs w:val="28"/>
        </w:rPr>
        <w:t>2</w:t>
      </w:r>
      <w:r w:rsidRPr="0026277F">
        <w:rPr>
          <w:color w:val="000000"/>
          <w:sz w:val="28"/>
          <w:szCs w:val="28"/>
        </w:rPr>
        <w:t xml:space="preserve"> рр.»</w:t>
      </w:r>
    </w:p>
    <w:p w:rsidR="00087885" w:rsidRPr="0026277F" w:rsidRDefault="00087885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jc w:val="right"/>
        <w:rPr>
          <w:b/>
        </w:rPr>
      </w:pPr>
      <w:r w:rsidRPr="00126465">
        <w:rPr>
          <w:b/>
        </w:rPr>
        <w:t xml:space="preserve">Таблиця </w:t>
      </w:r>
      <w:r>
        <w:rPr>
          <w:b/>
        </w:rPr>
        <w:t>2</w:t>
      </w:r>
    </w:p>
    <w:p w:rsidR="00087885" w:rsidRPr="00126465" w:rsidRDefault="00087885" w:rsidP="00BF04CE">
      <w:pPr>
        <w:jc w:val="right"/>
        <w:rPr>
          <w:b/>
        </w:rPr>
      </w:pPr>
    </w:p>
    <w:p w:rsidR="00BF04CE" w:rsidRDefault="00BF04CE" w:rsidP="00BF04CE">
      <w:pPr>
        <w:ind w:firstLine="720"/>
        <w:jc w:val="center"/>
        <w:outlineLvl w:val="0"/>
        <w:rPr>
          <w:color w:val="000000"/>
        </w:rPr>
      </w:pPr>
      <w:r>
        <w:rPr>
          <w:b/>
        </w:rPr>
        <w:t>Витрати</w:t>
      </w:r>
      <w:r w:rsidRPr="00126465">
        <w:rPr>
          <w:b/>
        </w:rPr>
        <w:t xml:space="preserve"> підприємства</w:t>
      </w:r>
      <w:r w:rsidR="00087885">
        <w:rPr>
          <w:b/>
        </w:rPr>
        <w:t xml:space="preserve"> у розрізі 2018-2021рр.</w:t>
      </w:r>
    </w:p>
    <w:p w:rsidR="00BF04CE" w:rsidRDefault="00BF04CE" w:rsidP="00BF04CE">
      <w:pPr>
        <w:ind w:firstLine="7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</w:t>
      </w:r>
      <w:r w:rsidRPr="00126465">
        <w:rPr>
          <w:color w:val="000000"/>
        </w:rPr>
        <w:t>тис. грн</w:t>
      </w:r>
      <w:r w:rsidRPr="009A5D9E">
        <w:rPr>
          <w:color w:val="000000"/>
          <w:sz w:val="28"/>
          <w:szCs w:val="28"/>
        </w:rPr>
        <w:t>.</w:t>
      </w:r>
    </w:p>
    <w:tbl>
      <w:tblPr>
        <w:tblW w:w="10053" w:type="dxa"/>
        <w:tblInd w:w="-10" w:type="dxa"/>
        <w:tblLook w:val="04A0" w:firstRow="1" w:lastRow="0" w:firstColumn="1" w:lastColumn="0" w:noHBand="0" w:noVBand="1"/>
      </w:tblPr>
      <w:tblGrid>
        <w:gridCol w:w="1953"/>
        <w:gridCol w:w="1024"/>
        <w:gridCol w:w="1087"/>
        <w:gridCol w:w="1312"/>
        <w:gridCol w:w="1120"/>
        <w:gridCol w:w="1301"/>
        <w:gridCol w:w="1203"/>
        <w:gridCol w:w="1053"/>
      </w:tblGrid>
      <w:tr w:rsidR="00326113" w:rsidRPr="00326113" w:rsidTr="00326113">
        <w:trPr>
          <w:trHeight w:val="645"/>
        </w:trPr>
        <w:tc>
          <w:tcPr>
            <w:tcW w:w="195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Показник</w:t>
            </w:r>
          </w:p>
        </w:tc>
        <w:tc>
          <w:tcPr>
            <w:tcW w:w="211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2019</w:t>
            </w:r>
          </w:p>
        </w:tc>
        <w:tc>
          <w:tcPr>
            <w:tcW w:w="24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2020</w:t>
            </w:r>
          </w:p>
        </w:tc>
        <w:tc>
          <w:tcPr>
            <w:tcW w:w="130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2021</w:t>
            </w:r>
          </w:p>
        </w:tc>
        <w:tc>
          <w:tcPr>
            <w:tcW w:w="225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План 2021 до Плану 2020</w:t>
            </w:r>
          </w:p>
        </w:tc>
      </w:tr>
      <w:tr w:rsidR="00326113" w:rsidRPr="00326113" w:rsidTr="00326113">
        <w:trPr>
          <w:trHeight w:val="941"/>
        </w:trPr>
        <w:tc>
          <w:tcPr>
            <w:tcW w:w="195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6113" w:rsidRPr="00326113" w:rsidRDefault="00326113" w:rsidP="00326113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Факт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 xml:space="preserve">Прогноз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26113">
              <w:rPr>
                <w:b/>
                <w:bCs/>
                <w:color w:val="000000"/>
                <w:lang w:eastAsia="uk-UA"/>
              </w:rPr>
              <w:t>План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326113">
              <w:rPr>
                <w:b/>
                <w:bCs/>
                <w:color w:val="000000"/>
                <w:lang w:eastAsia="uk-UA"/>
              </w:rPr>
              <w:t>Відх</w:t>
            </w:r>
            <w:proofErr w:type="spellEnd"/>
            <w:r w:rsidRPr="00326113">
              <w:rPr>
                <w:b/>
                <w:bCs/>
                <w:color w:val="000000"/>
                <w:lang w:eastAsia="uk-UA"/>
              </w:rPr>
              <w:t>.  (+/-)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326113">
              <w:rPr>
                <w:b/>
                <w:bCs/>
                <w:color w:val="000000"/>
                <w:lang w:eastAsia="uk-UA"/>
              </w:rPr>
              <w:t>Зрост</w:t>
            </w:r>
            <w:proofErr w:type="spellEnd"/>
            <w:r w:rsidRPr="00326113">
              <w:rPr>
                <w:b/>
                <w:bCs/>
                <w:color w:val="000000"/>
                <w:lang w:eastAsia="uk-UA"/>
              </w:rPr>
              <w:t>., %</w:t>
            </w:r>
          </w:p>
        </w:tc>
      </w:tr>
      <w:tr w:rsidR="00326113" w:rsidRPr="00326113" w:rsidTr="00326113">
        <w:trPr>
          <w:trHeight w:val="433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rPr>
                <w:b/>
                <w:color w:val="000000"/>
                <w:lang w:eastAsia="uk-UA"/>
              </w:rPr>
            </w:pPr>
            <w:r w:rsidRPr="00326113">
              <w:rPr>
                <w:b/>
                <w:color w:val="000000"/>
                <w:lang w:eastAsia="uk-UA"/>
              </w:rPr>
              <w:t>Загальні витрати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lang w:eastAsia="uk-UA"/>
              </w:rPr>
            </w:pPr>
            <w:r w:rsidRPr="00326113">
              <w:rPr>
                <w:b/>
                <w:lang w:eastAsia="uk-UA"/>
              </w:rPr>
              <w:t>92 565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lang w:eastAsia="uk-UA"/>
              </w:rPr>
            </w:pPr>
            <w:r w:rsidRPr="00326113">
              <w:rPr>
                <w:b/>
                <w:lang w:eastAsia="uk-UA"/>
              </w:rPr>
              <w:t>156 449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lang w:eastAsia="uk-UA"/>
              </w:rPr>
            </w:pPr>
            <w:r w:rsidRPr="00326113">
              <w:rPr>
                <w:b/>
                <w:lang w:eastAsia="uk-UA"/>
              </w:rPr>
              <w:t>94 129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lang w:eastAsia="uk-UA"/>
              </w:rPr>
            </w:pPr>
            <w:r w:rsidRPr="00326113">
              <w:rPr>
                <w:b/>
                <w:lang w:eastAsia="uk-UA"/>
              </w:rPr>
              <w:t>91 412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lang w:eastAsia="uk-UA"/>
              </w:rPr>
            </w:pPr>
            <w:r w:rsidRPr="00326113">
              <w:rPr>
                <w:b/>
                <w:lang w:eastAsia="uk-UA"/>
              </w:rPr>
              <w:t>101 994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color w:val="000000"/>
                <w:lang w:eastAsia="uk-UA"/>
              </w:rPr>
            </w:pPr>
            <w:r w:rsidRPr="00326113">
              <w:rPr>
                <w:b/>
                <w:color w:val="000000"/>
                <w:lang w:eastAsia="uk-UA"/>
              </w:rPr>
              <w:t>7 865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326113">
              <w:rPr>
                <w:b/>
                <w:bCs/>
                <w:color w:val="000000"/>
                <w:sz w:val="28"/>
                <w:szCs w:val="28"/>
                <w:lang w:eastAsia="uk-UA"/>
              </w:rPr>
              <w:t>108%</w:t>
            </w:r>
          </w:p>
        </w:tc>
      </w:tr>
      <w:tr w:rsidR="00326113" w:rsidRPr="00326113" w:rsidTr="00326113">
        <w:trPr>
          <w:trHeight w:val="771"/>
        </w:trPr>
        <w:tc>
          <w:tcPr>
            <w:tcW w:w="195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pct12" w:color="000000" w:fill="F7F794"/>
            <w:vAlign w:val="center"/>
            <w:hideMark/>
          </w:tcPr>
          <w:p w:rsidR="00326113" w:rsidRPr="00326113" w:rsidRDefault="00326113" w:rsidP="00326113">
            <w:pPr>
              <w:rPr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color w:val="000000"/>
                <w:sz w:val="22"/>
                <w:szCs w:val="22"/>
                <w:lang w:eastAsia="uk-UA"/>
              </w:rPr>
              <w:t xml:space="preserve">  реальні витрати (загальні    витрати без урахування амортизації)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sz w:val="22"/>
                <w:szCs w:val="22"/>
                <w:lang w:eastAsia="uk-UA"/>
              </w:rPr>
              <w:t>82 515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sz w:val="22"/>
                <w:szCs w:val="22"/>
                <w:lang w:eastAsia="uk-UA"/>
              </w:rPr>
              <w:t>146 305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sz w:val="22"/>
                <w:szCs w:val="22"/>
                <w:lang w:eastAsia="uk-UA"/>
              </w:rPr>
              <w:t>86 023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sz w:val="22"/>
                <w:szCs w:val="22"/>
                <w:lang w:eastAsia="uk-UA"/>
              </w:rPr>
              <w:t>83 145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sz w:val="22"/>
                <w:szCs w:val="22"/>
                <w:lang w:eastAsia="uk-UA"/>
              </w:rPr>
              <w:t>92 792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color w:val="000000"/>
                <w:sz w:val="22"/>
                <w:szCs w:val="22"/>
                <w:lang w:eastAsia="uk-UA"/>
              </w:rPr>
              <w:t>-63 160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pct12" w:color="000000" w:fill="F7F794"/>
            <w:noWrap/>
            <w:vAlign w:val="center"/>
            <w:hideMark/>
          </w:tcPr>
          <w:p w:rsidR="00326113" w:rsidRPr="00326113" w:rsidRDefault="00326113" w:rsidP="00326113">
            <w:pPr>
              <w:jc w:val="center"/>
              <w:rPr>
                <w:bCs/>
                <w:i/>
                <w:iCs/>
                <w:color w:val="FF0000"/>
                <w:sz w:val="22"/>
                <w:szCs w:val="22"/>
                <w:lang w:eastAsia="uk-UA"/>
              </w:rPr>
            </w:pPr>
            <w:r w:rsidRPr="00326113">
              <w:rPr>
                <w:bCs/>
                <w:i/>
                <w:iCs/>
                <w:color w:val="FF0000"/>
                <w:sz w:val="22"/>
                <w:szCs w:val="22"/>
                <w:lang w:eastAsia="uk-UA"/>
              </w:rPr>
              <w:t>9 647</w:t>
            </w:r>
          </w:p>
        </w:tc>
      </w:tr>
    </w:tbl>
    <w:p w:rsidR="00087885" w:rsidRDefault="00087885" w:rsidP="00BF04CE">
      <w:pPr>
        <w:ind w:firstLine="720"/>
        <w:jc w:val="both"/>
        <w:outlineLvl w:val="0"/>
        <w:rPr>
          <w:color w:val="000000"/>
          <w:sz w:val="28"/>
          <w:szCs w:val="28"/>
        </w:rPr>
      </w:pPr>
    </w:p>
    <w:p w:rsidR="00087885" w:rsidRDefault="00087885" w:rsidP="00BF04CE">
      <w:pPr>
        <w:ind w:firstLine="720"/>
        <w:jc w:val="both"/>
        <w:outlineLvl w:val="0"/>
        <w:rPr>
          <w:color w:val="000000"/>
          <w:sz w:val="28"/>
          <w:szCs w:val="28"/>
        </w:rPr>
      </w:pPr>
    </w:p>
    <w:p w:rsidR="00BF04CE" w:rsidRDefault="00BF04CE" w:rsidP="00BF04CE">
      <w:pPr>
        <w:outlineLvl w:val="0"/>
        <w:rPr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 w:rsidRPr="009A5D9E">
        <w:rPr>
          <w:color w:val="000000"/>
          <w:sz w:val="28"/>
          <w:szCs w:val="28"/>
        </w:rPr>
        <w:t>Планові загальні витрати по підприємству у 20</w:t>
      </w:r>
      <w:r>
        <w:rPr>
          <w:color w:val="000000"/>
          <w:sz w:val="28"/>
          <w:szCs w:val="28"/>
        </w:rPr>
        <w:t>2</w:t>
      </w:r>
      <w:r w:rsidR="00896118">
        <w:rPr>
          <w:color w:val="000000"/>
          <w:sz w:val="28"/>
          <w:szCs w:val="28"/>
        </w:rPr>
        <w:t>1</w:t>
      </w:r>
      <w:r w:rsidRPr="009A5D9E">
        <w:rPr>
          <w:color w:val="000000"/>
          <w:sz w:val="28"/>
          <w:szCs w:val="28"/>
        </w:rPr>
        <w:t xml:space="preserve"> році дорівню</w:t>
      </w:r>
      <w:r>
        <w:rPr>
          <w:color w:val="000000"/>
          <w:sz w:val="28"/>
          <w:szCs w:val="28"/>
        </w:rPr>
        <w:t>ють</w:t>
      </w:r>
      <w:r w:rsidRPr="009A5D9E">
        <w:rPr>
          <w:color w:val="000000"/>
          <w:sz w:val="28"/>
          <w:szCs w:val="28"/>
        </w:rPr>
        <w:t xml:space="preserve"> загальним </w:t>
      </w:r>
      <w:r>
        <w:rPr>
          <w:color w:val="000000"/>
          <w:sz w:val="28"/>
          <w:szCs w:val="28"/>
        </w:rPr>
        <w:t>д</w:t>
      </w:r>
      <w:r w:rsidRPr="009A5D9E">
        <w:rPr>
          <w:color w:val="000000"/>
          <w:sz w:val="28"/>
          <w:szCs w:val="28"/>
        </w:rPr>
        <w:t>оходам і склада</w:t>
      </w:r>
      <w:r>
        <w:rPr>
          <w:color w:val="000000"/>
          <w:sz w:val="28"/>
          <w:szCs w:val="28"/>
        </w:rPr>
        <w:t xml:space="preserve">ють суму </w:t>
      </w:r>
      <w:r w:rsidRPr="009A5D9E">
        <w:rPr>
          <w:color w:val="000000"/>
          <w:sz w:val="28"/>
          <w:szCs w:val="28"/>
        </w:rPr>
        <w:t xml:space="preserve"> </w:t>
      </w:r>
      <w:r w:rsidR="00087885">
        <w:rPr>
          <w:color w:val="000000"/>
          <w:sz w:val="28"/>
          <w:szCs w:val="28"/>
        </w:rPr>
        <w:t>101</w:t>
      </w:r>
      <w:r w:rsidRPr="009A5D9E">
        <w:rPr>
          <w:color w:val="000000"/>
          <w:sz w:val="28"/>
          <w:szCs w:val="28"/>
        </w:rPr>
        <w:t xml:space="preserve"> млн. </w:t>
      </w:r>
      <w:r w:rsidR="00896118">
        <w:rPr>
          <w:color w:val="000000"/>
          <w:sz w:val="28"/>
          <w:szCs w:val="28"/>
          <w:lang w:val="ru-RU"/>
        </w:rPr>
        <w:t>994</w:t>
      </w:r>
      <w:r>
        <w:rPr>
          <w:color w:val="000000"/>
          <w:sz w:val="28"/>
          <w:szCs w:val="28"/>
          <w:lang w:val="ru-RU"/>
        </w:rPr>
        <w:t xml:space="preserve"> </w:t>
      </w:r>
      <w:r w:rsidRPr="009A5D9E">
        <w:rPr>
          <w:color w:val="000000"/>
          <w:sz w:val="28"/>
          <w:szCs w:val="28"/>
        </w:rPr>
        <w:t>тис. грн</w:t>
      </w:r>
      <w:r>
        <w:rPr>
          <w:color w:val="000000"/>
          <w:sz w:val="28"/>
          <w:szCs w:val="28"/>
        </w:rPr>
        <w:t>.</w:t>
      </w:r>
      <w:r w:rsidRPr="009A5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087885" w:rsidRDefault="00087885" w:rsidP="00BF04CE">
      <w:pPr>
        <w:ind w:firstLine="720"/>
        <w:jc w:val="both"/>
        <w:rPr>
          <w:color w:val="000000"/>
          <w:sz w:val="28"/>
          <w:szCs w:val="28"/>
        </w:rPr>
      </w:pPr>
    </w:p>
    <w:p w:rsidR="00087885" w:rsidRDefault="00087885" w:rsidP="00BF04CE">
      <w:pPr>
        <w:ind w:firstLine="720"/>
        <w:jc w:val="both"/>
        <w:rPr>
          <w:color w:val="000000"/>
          <w:sz w:val="28"/>
          <w:szCs w:val="28"/>
        </w:rPr>
      </w:pPr>
    </w:p>
    <w:p w:rsidR="00087885" w:rsidRDefault="00087885" w:rsidP="00BF04CE">
      <w:pPr>
        <w:ind w:firstLine="720"/>
        <w:jc w:val="both"/>
        <w:rPr>
          <w:color w:val="000000"/>
          <w:sz w:val="28"/>
          <w:szCs w:val="28"/>
        </w:rPr>
      </w:pPr>
    </w:p>
    <w:p w:rsidR="00087885" w:rsidRPr="009A5D9E" w:rsidRDefault="00E576FA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‘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Pr="00126465" w:rsidRDefault="00BF04CE" w:rsidP="00BF04CE">
      <w:pPr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</w:t>
      </w:r>
      <w:r w:rsidRPr="00126465">
        <w:rPr>
          <w:b/>
        </w:rPr>
        <w:t xml:space="preserve">Таблиця </w:t>
      </w:r>
      <w:r>
        <w:rPr>
          <w:b/>
        </w:rPr>
        <w:t>3</w:t>
      </w:r>
    </w:p>
    <w:p w:rsidR="00BF04CE" w:rsidRPr="00126465" w:rsidRDefault="00BF04CE" w:rsidP="00BF04CE">
      <w:pPr>
        <w:jc w:val="center"/>
        <w:rPr>
          <w:color w:val="000000"/>
        </w:rPr>
      </w:pPr>
      <w:r w:rsidRPr="00096431">
        <w:rPr>
          <w:b/>
        </w:rPr>
        <w:t xml:space="preserve">Тарифи </w:t>
      </w:r>
      <w:r>
        <w:rPr>
          <w:b/>
        </w:rPr>
        <w:t>на комунальні послуги</w:t>
      </w:r>
    </w:p>
    <w:p w:rsidR="00BF04CE" w:rsidRPr="00323BC9" w:rsidRDefault="00BF04CE" w:rsidP="00BF04CE">
      <w:pPr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</w:t>
      </w:r>
      <w:r w:rsidRPr="00126465">
        <w:rPr>
          <w:color w:val="000000"/>
        </w:rPr>
        <w:t>тис. грн</w:t>
      </w:r>
      <w:r w:rsidRPr="009A5D9E">
        <w:rPr>
          <w:color w:val="000000"/>
          <w:sz w:val="28"/>
          <w:szCs w:val="28"/>
        </w:rPr>
        <w:t>.</w:t>
      </w:r>
    </w:p>
    <w:tbl>
      <w:tblPr>
        <w:tblW w:w="9731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2"/>
        <w:gridCol w:w="1516"/>
        <w:gridCol w:w="2022"/>
        <w:gridCol w:w="2022"/>
        <w:gridCol w:w="1389"/>
      </w:tblGrid>
      <w:tr w:rsidR="00BF04CE" w:rsidRPr="009A5D9E" w:rsidTr="004F247C">
        <w:trPr>
          <w:trHeight w:val="604"/>
        </w:trPr>
        <w:tc>
          <w:tcPr>
            <w:tcW w:w="2782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b/>
                <w:color w:val="000000"/>
              </w:rPr>
            </w:pPr>
            <w:r w:rsidRPr="009A5D9E">
              <w:rPr>
                <w:b/>
                <w:color w:val="000000"/>
              </w:rPr>
              <w:t>Показник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b/>
                <w:color w:val="000000"/>
              </w:rPr>
            </w:pPr>
            <w:r w:rsidRPr="009A5D9E">
              <w:rPr>
                <w:b/>
                <w:color w:val="000000"/>
              </w:rPr>
              <w:t>Примітка</w:t>
            </w:r>
          </w:p>
        </w:tc>
        <w:tc>
          <w:tcPr>
            <w:tcW w:w="2022" w:type="dxa"/>
            <w:vAlign w:val="center"/>
          </w:tcPr>
          <w:p w:rsidR="00BF04CE" w:rsidRPr="009A5D9E" w:rsidRDefault="00BF04CE" w:rsidP="004F247C">
            <w:pPr>
              <w:jc w:val="center"/>
              <w:rPr>
                <w:b/>
                <w:color w:val="000000"/>
              </w:rPr>
            </w:pPr>
            <w:r w:rsidRPr="009A5D9E">
              <w:rPr>
                <w:b/>
                <w:color w:val="000000"/>
              </w:rPr>
              <w:t xml:space="preserve">Тариф станом                   </w:t>
            </w:r>
            <w:r>
              <w:rPr>
                <w:b/>
                <w:color w:val="000000"/>
              </w:rPr>
              <w:t>на 01.01</w:t>
            </w:r>
            <w:r w:rsidRPr="009A5D9E">
              <w:rPr>
                <w:b/>
                <w:color w:val="000000"/>
              </w:rPr>
              <w:t>.201</w:t>
            </w:r>
            <w:r>
              <w:rPr>
                <w:b/>
                <w:color w:val="000000"/>
              </w:rPr>
              <w:t>9</w:t>
            </w:r>
            <w:r w:rsidRPr="009A5D9E">
              <w:rPr>
                <w:b/>
                <w:color w:val="000000"/>
              </w:rPr>
              <w:t xml:space="preserve">                  (грн. без ПДВ)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</w:t>
            </w:r>
            <w:r w:rsidRPr="009A5D9E">
              <w:rPr>
                <w:b/>
                <w:color w:val="000000"/>
              </w:rPr>
              <w:t>Тариф станом на 01.</w:t>
            </w:r>
            <w:r>
              <w:rPr>
                <w:b/>
                <w:color w:val="000000"/>
              </w:rPr>
              <w:t>01</w:t>
            </w:r>
            <w:r w:rsidRPr="009A5D9E">
              <w:rPr>
                <w:b/>
                <w:color w:val="000000"/>
              </w:rPr>
              <w:t>.20</w:t>
            </w:r>
            <w:r>
              <w:rPr>
                <w:b/>
                <w:color w:val="000000"/>
              </w:rPr>
              <w:t>20</w:t>
            </w:r>
            <w:r w:rsidRPr="009A5D9E">
              <w:rPr>
                <w:b/>
                <w:color w:val="000000"/>
              </w:rPr>
              <w:t xml:space="preserve">                          (грн. без ПДВ)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b/>
                <w:color w:val="000000"/>
              </w:rPr>
            </w:pPr>
            <w:r w:rsidRPr="009A5D9E">
              <w:rPr>
                <w:b/>
                <w:color w:val="000000"/>
              </w:rPr>
              <w:t>Темп зростання,</w:t>
            </w:r>
            <w:r>
              <w:rPr>
                <w:b/>
                <w:color w:val="000000"/>
              </w:rPr>
              <w:t xml:space="preserve">+/-, </w:t>
            </w:r>
            <w:r w:rsidRPr="009A5D9E">
              <w:rPr>
                <w:b/>
                <w:color w:val="000000"/>
              </w:rPr>
              <w:t>%</w:t>
            </w:r>
          </w:p>
        </w:tc>
      </w:tr>
      <w:tr w:rsidR="00BF04CE" w:rsidRPr="009A5D9E" w:rsidTr="004F247C">
        <w:trPr>
          <w:trHeight w:val="623"/>
        </w:trPr>
        <w:tc>
          <w:tcPr>
            <w:tcW w:w="2782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 w:rsidRPr="009A5D9E">
              <w:rPr>
                <w:color w:val="000000"/>
              </w:rPr>
              <w:t>Електроенергія</w:t>
            </w:r>
            <w:r>
              <w:rPr>
                <w:color w:val="000000"/>
              </w:rPr>
              <w:t>,  грн./КВт год*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Інші споживачі</w:t>
            </w:r>
          </w:p>
        </w:tc>
        <w:tc>
          <w:tcPr>
            <w:tcW w:w="2022" w:type="dxa"/>
            <w:vAlign w:val="center"/>
          </w:tcPr>
          <w:p w:rsidR="00BF04CE" w:rsidRPr="005911AA" w:rsidRDefault="00BF04CE" w:rsidP="004F247C">
            <w:pPr>
              <w:jc w:val="center"/>
              <w:rPr>
                <w:color w:val="000000"/>
              </w:rPr>
            </w:pPr>
            <w:r w:rsidRPr="005911AA">
              <w:rPr>
                <w:color w:val="000000"/>
              </w:rPr>
              <w:t>2,3338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F04CE" w:rsidRPr="005911AA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2,0224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-13,5%</w:t>
            </w:r>
          </w:p>
        </w:tc>
      </w:tr>
      <w:tr w:rsidR="00BF04CE" w:rsidRPr="009A5D9E" w:rsidTr="004F247C">
        <w:trPr>
          <w:trHeight w:val="849"/>
        </w:trPr>
        <w:tc>
          <w:tcPr>
            <w:tcW w:w="2782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 w:rsidRPr="009A5D9E">
              <w:rPr>
                <w:color w:val="000000"/>
              </w:rPr>
              <w:t>Водопостачання, водовідведення</w:t>
            </w:r>
            <w:r>
              <w:rPr>
                <w:color w:val="000000"/>
              </w:rPr>
              <w:t xml:space="preserve">, грн./куб. м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Інші споживачі</w:t>
            </w:r>
          </w:p>
        </w:tc>
        <w:tc>
          <w:tcPr>
            <w:tcW w:w="2022" w:type="dxa"/>
            <w:vAlign w:val="center"/>
          </w:tcPr>
          <w:p w:rsidR="00BF04CE" w:rsidRDefault="00BF04CE" w:rsidP="004F247C">
            <w:pPr>
              <w:jc w:val="center"/>
              <w:rPr>
                <w:color w:val="000000"/>
              </w:rPr>
            </w:pPr>
            <w:r>
              <w:t>15,24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04CE" w:rsidRPr="00664FF7" w:rsidRDefault="00BF04CE" w:rsidP="004F247C">
            <w:pPr>
              <w:jc w:val="center"/>
            </w:pPr>
            <w:r>
              <w:t>+13,9</w:t>
            </w:r>
            <w:r w:rsidRPr="00664FF7">
              <w:t>%</w:t>
            </w:r>
          </w:p>
        </w:tc>
      </w:tr>
      <w:tr w:rsidR="00BF04CE" w:rsidRPr="009A5D9E" w:rsidTr="004F247C">
        <w:trPr>
          <w:trHeight w:val="849"/>
        </w:trPr>
        <w:tc>
          <w:tcPr>
            <w:tcW w:w="2782" w:type="dxa"/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Теплова енергія, </w:t>
            </w:r>
          </w:p>
          <w:p w:rsidR="00BF04CE" w:rsidRPr="009A5D9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грн./</w:t>
            </w:r>
            <w:proofErr w:type="spellStart"/>
            <w:r>
              <w:rPr>
                <w:color w:val="000000"/>
              </w:rPr>
              <w:t>Гкал</w:t>
            </w:r>
            <w:proofErr w:type="spellEnd"/>
            <w:r>
              <w:rPr>
                <w:color w:val="000000"/>
              </w:rPr>
              <w:t xml:space="preserve">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Інші споживачі</w:t>
            </w:r>
          </w:p>
        </w:tc>
        <w:tc>
          <w:tcPr>
            <w:tcW w:w="2022" w:type="dxa"/>
            <w:vAlign w:val="center"/>
          </w:tcPr>
          <w:p w:rsidR="00BF04C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1518,66</w:t>
            </w:r>
          </w:p>
        </w:tc>
        <w:tc>
          <w:tcPr>
            <w:tcW w:w="2022" w:type="dxa"/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1525,35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BF04CE" w:rsidRDefault="00BF04CE" w:rsidP="004F247C">
            <w:pPr>
              <w:jc w:val="center"/>
            </w:pPr>
            <w:r>
              <w:t>+0,4%</w:t>
            </w:r>
          </w:p>
        </w:tc>
      </w:tr>
    </w:tbl>
    <w:p w:rsidR="00BF04CE" w:rsidRPr="00255C49" w:rsidRDefault="00BF04CE" w:rsidP="00BF04CE">
      <w:pPr>
        <w:ind w:firstLine="720"/>
        <w:jc w:val="both"/>
        <w:rPr>
          <w:color w:val="000000"/>
          <w:sz w:val="10"/>
          <w:szCs w:val="10"/>
        </w:rPr>
      </w:pPr>
    </w:p>
    <w:p w:rsidR="00BF04CE" w:rsidRDefault="00BF04CE" w:rsidP="00BF04CE">
      <w:pPr>
        <w:ind w:firstLine="720"/>
        <w:jc w:val="both"/>
        <w:rPr>
          <w:color w:val="000000"/>
        </w:rPr>
      </w:pPr>
      <w:r>
        <w:rPr>
          <w:color w:val="000000"/>
        </w:rPr>
        <w:t>*с</w:t>
      </w:r>
      <w:r w:rsidRPr="0026277F">
        <w:rPr>
          <w:color w:val="000000"/>
        </w:rPr>
        <w:t>ередньомісяч</w:t>
      </w:r>
      <w:r>
        <w:rPr>
          <w:color w:val="000000"/>
        </w:rPr>
        <w:t>не значення показника за 20</w:t>
      </w:r>
      <w:r w:rsidR="00805171">
        <w:rPr>
          <w:color w:val="000000"/>
        </w:rPr>
        <w:t>19</w:t>
      </w:r>
      <w:r>
        <w:rPr>
          <w:color w:val="000000"/>
        </w:rPr>
        <w:t xml:space="preserve"> рік складає 2,</w:t>
      </w:r>
      <w:r w:rsidR="00805171">
        <w:rPr>
          <w:color w:val="000000"/>
        </w:rPr>
        <w:t>13</w:t>
      </w:r>
      <w:r>
        <w:rPr>
          <w:color w:val="000000"/>
        </w:rPr>
        <w:t xml:space="preserve"> грн.  кВт. год без ПДВ  (відповідно  до коливань ринкової вартості електроенергії)</w:t>
      </w:r>
    </w:p>
    <w:p w:rsidR="00C2433B" w:rsidRPr="0026277F" w:rsidRDefault="00C2433B" w:rsidP="00BF04CE">
      <w:pPr>
        <w:ind w:firstLine="720"/>
        <w:jc w:val="both"/>
        <w:rPr>
          <w:color w:val="000000"/>
        </w:rPr>
      </w:pPr>
      <w:bookmarkStart w:id="0" w:name="_GoBack"/>
      <w:bookmarkEnd w:id="0"/>
    </w:p>
    <w:p w:rsidR="00BF04CE" w:rsidRPr="00255C49" w:rsidRDefault="00BF04CE" w:rsidP="00BF04CE">
      <w:pPr>
        <w:ind w:firstLine="720"/>
        <w:jc w:val="both"/>
        <w:rPr>
          <w:color w:val="000000"/>
          <w:sz w:val="10"/>
          <w:szCs w:val="10"/>
        </w:rPr>
      </w:pPr>
    </w:p>
    <w:p w:rsidR="00BF04CE" w:rsidRPr="0026277F" w:rsidRDefault="00BF04CE" w:rsidP="00BF04CE">
      <w:pPr>
        <w:ind w:firstLine="720"/>
        <w:jc w:val="both"/>
        <w:rPr>
          <w:rFonts w:eastAsiaTheme="minorHAnsi"/>
          <w:sz w:val="26"/>
          <w:szCs w:val="26"/>
          <w:lang w:eastAsia="uk-UA"/>
        </w:rPr>
      </w:pPr>
      <w:r w:rsidRPr="0026277F">
        <w:rPr>
          <w:rFonts w:eastAsiaTheme="minorHAnsi"/>
          <w:sz w:val="26"/>
          <w:szCs w:val="26"/>
          <w:lang w:eastAsia="uk-UA"/>
        </w:rPr>
        <w:t xml:space="preserve">Витрати на оплату праці будуть зростати за рахунок підвищення окладів з урахуванням підвищення мінімальної заробітної плати, прожиткового мінімуму та зростання індексу споживчих цін відповідно  Постанови КМУ від </w:t>
      </w:r>
      <w:r w:rsidR="00805171">
        <w:rPr>
          <w:rFonts w:eastAsiaTheme="minorHAnsi"/>
          <w:sz w:val="26"/>
          <w:szCs w:val="26"/>
          <w:lang w:eastAsia="uk-UA"/>
        </w:rPr>
        <w:t>15</w:t>
      </w:r>
      <w:r w:rsidRPr="0026277F">
        <w:rPr>
          <w:rFonts w:eastAsiaTheme="minorHAnsi"/>
          <w:sz w:val="26"/>
          <w:szCs w:val="26"/>
          <w:lang w:eastAsia="uk-UA"/>
        </w:rPr>
        <w:t>.0</w:t>
      </w:r>
      <w:r w:rsidR="00805171">
        <w:rPr>
          <w:rFonts w:eastAsiaTheme="minorHAnsi"/>
          <w:sz w:val="26"/>
          <w:szCs w:val="26"/>
          <w:lang w:eastAsia="uk-UA"/>
        </w:rPr>
        <w:t>5</w:t>
      </w:r>
      <w:r w:rsidRPr="0026277F">
        <w:rPr>
          <w:rFonts w:eastAsiaTheme="minorHAnsi"/>
          <w:sz w:val="26"/>
          <w:szCs w:val="26"/>
          <w:lang w:eastAsia="uk-UA"/>
        </w:rPr>
        <w:t>.201</w:t>
      </w:r>
      <w:r w:rsidR="00805171">
        <w:rPr>
          <w:rFonts w:eastAsiaTheme="minorHAnsi"/>
          <w:sz w:val="26"/>
          <w:szCs w:val="26"/>
          <w:lang w:eastAsia="uk-UA"/>
        </w:rPr>
        <w:t>9</w:t>
      </w:r>
      <w:r w:rsidRPr="0026277F">
        <w:rPr>
          <w:rFonts w:eastAsiaTheme="minorHAnsi"/>
          <w:sz w:val="26"/>
          <w:szCs w:val="26"/>
          <w:lang w:eastAsia="uk-UA"/>
        </w:rPr>
        <w:t xml:space="preserve"> №5</w:t>
      </w:r>
      <w:r w:rsidR="00805171">
        <w:rPr>
          <w:rFonts w:eastAsiaTheme="minorHAnsi"/>
          <w:sz w:val="26"/>
          <w:szCs w:val="26"/>
          <w:lang w:eastAsia="uk-UA"/>
        </w:rPr>
        <w:t>55</w:t>
      </w:r>
      <w:r w:rsidRPr="0026277F">
        <w:rPr>
          <w:rFonts w:eastAsiaTheme="minorHAnsi"/>
          <w:sz w:val="26"/>
          <w:szCs w:val="26"/>
          <w:lang w:eastAsia="uk-UA"/>
        </w:rPr>
        <w:t xml:space="preserve"> «Про схвалення Прогнозу економічного і соціального розвитку України на 20</w:t>
      </w:r>
      <w:r w:rsidR="00805171">
        <w:rPr>
          <w:rFonts w:eastAsiaTheme="minorHAnsi"/>
          <w:sz w:val="26"/>
          <w:szCs w:val="26"/>
          <w:lang w:eastAsia="uk-UA"/>
        </w:rPr>
        <w:t>20</w:t>
      </w:r>
      <w:r w:rsidRPr="0026277F">
        <w:rPr>
          <w:rFonts w:eastAsiaTheme="minorHAnsi"/>
          <w:sz w:val="26"/>
          <w:szCs w:val="26"/>
          <w:lang w:eastAsia="uk-UA"/>
        </w:rPr>
        <w:t>-202</w:t>
      </w:r>
      <w:r w:rsidR="00805171">
        <w:rPr>
          <w:rFonts w:eastAsiaTheme="minorHAnsi"/>
          <w:sz w:val="26"/>
          <w:szCs w:val="26"/>
          <w:lang w:eastAsia="uk-UA"/>
        </w:rPr>
        <w:t>2</w:t>
      </w:r>
      <w:r w:rsidRPr="0026277F">
        <w:rPr>
          <w:rFonts w:eastAsiaTheme="minorHAnsi"/>
          <w:sz w:val="26"/>
          <w:szCs w:val="26"/>
          <w:lang w:eastAsia="uk-UA"/>
        </w:rPr>
        <w:t xml:space="preserve"> рр.</w:t>
      </w:r>
      <w:r w:rsidR="00805171">
        <w:rPr>
          <w:rFonts w:eastAsiaTheme="minorHAnsi"/>
          <w:sz w:val="26"/>
          <w:szCs w:val="26"/>
          <w:lang w:eastAsia="uk-UA"/>
        </w:rPr>
        <w:t>».</w:t>
      </w:r>
      <w:r w:rsidRPr="0026277F">
        <w:rPr>
          <w:rFonts w:eastAsiaTheme="minorHAnsi"/>
          <w:sz w:val="26"/>
          <w:szCs w:val="26"/>
          <w:lang w:eastAsia="uk-UA"/>
        </w:rPr>
        <w:t xml:space="preserve"> </w:t>
      </w:r>
    </w:p>
    <w:p w:rsidR="00BF04CE" w:rsidRPr="0026277F" w:rsidRDefault="00BF04CE" w:rsidP="00BF04CE">
      <w:pPr>
        <w:pStyle w:val="rvps6"/>
        <w:ind w:firstLine="567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 xml:space="preserve"> Сума адміністративних витрат у 202</w:t>
      </w:r>
      <w:r w:rsidR="00805171">
        <w:rPr>
          <w:sz w:val="26"/>
          <w:szCs w:val="26"/>
        </w:rPr>
        <w:t>1</w:t>
      </w:r>
      <w:r>
        <w:rPr>
          <w:sz w:val="26"/>
          <w:szCs w:val="26"/>
        </w:rPr>
        <w:t xml:space="preserve"> році складатиме суму 1</w:t>
      </w:r>
      <w:r w:rsidR="00805171">
        <w:rPr>
          <w:sz w:val="26"/>
          <w:szCs w:val="26"/>
        </w:rPr>
        <w:t>3</w:t>
      </w:r>
      <w:r>
        <w:rPr>
          <w:sz w:val="26"/>
          <w:szCs w:val="26"/>
        </w:rPr>
        <w:t xml:space="preserve"> млн. </w:t>
      </w:r>
      <w:r w:rsidR="00805171">
        <w:rPr>
          <w:sz w:val="26"/>
          <w:szCs w:val="26"/>
        </w:rPr>
        <w:t>565</w:t>
      </w:r>
      <w:r>
        <w:rPr>
          <w:sz w:val="26"/>
          <w:szCs w:val="26"/>
        </w:rPr>
        <w:t xml:space="preserve"> тис. грн. Вона складається з витрат на оплату праці та відрахування на соціальні заходи (</w:t>
      </w:r>
      <w:r w:rsidR="00805171">
        <w:rPr>
          <w:sz w:val="26"/>
          <w:szCs w:val="26"/>
        </w:rPr>
        <w:t xml:space="preserve">10 </w:t>
      </w:r>
      <w:r>
        <w:rPr>
          <w:sz w:val="26"/>
          <w:szCs w:val="26"/>
        </w:rPr>
        <w:t xml:space="preserve">млн. </w:t>
      </w:r>
      <w:r w:rsidR="00805171">
        <w:rPr>
          <w:sz w:val="26"/>
          <w:szCs w:val="26"/>
        </w:rPr>
        <w:t>517</w:t>
      </w:r>
      <w:r>
        <w:rPr>
          <w:sz w:val="26"/>
          <w:szCs w:val="26"/>
        </w:rPr>
        <w:t xml:space="preserve"> тис. грн.), витрат на використання власних службових автомобілів ( </w:t>
      </w:r>
      <w:r w:rsidR="00805171">
        <w:rPr>
          <w:sz w:val="26"/>
          <w:szCs w:val="26"/>
        </w:rPr>
        <w:t>318</w:t>
      </w:r>
      <w:r>
        <w:rPr>
          <w:sz w:val="26"/>
          <w:szCs w:val="26"/>
        </w:rPr>
        <w:t xml:space="preserve"> тис. грн.), </w:t>
      </w:r>
      <w:r w:rsidR="002119F9">
        <w:rPr>
          <w:sz w:val="26"/>
          <w:szCs w:val="26"/>
        </w:rPr>
        <w:t xml:space="preserve">службові відрядження (8 тис. грн.), </w:t>
      </w:r>
      <w:r>
        <w:rPr>
          <w:sz w:val="26"/>
          <w:szCs w:val="26"/>
        </w:rPr>
        <w:t xml:space="preserve"> витрат на аудиторські послуги (</w:t>
      </w:r>
      <w:r w:rsidR="00805171">
        <w:rPr>
          <w:sz w:val="26"/>
          <w:szCs w:val="26"/>
        </w:rPr>
        <w:t>200</w:t>
      </w:r>
      <w:r>
        <w:rPr>
          <w:sz w:val="26"/>
          <w:szCs w:val="26"/>
        </w:rPr>
        <w:t xml:space="preserve"> тис. грн.), витрат на зв’язок ( </w:t>
      </w:r>
      <w:r w:rsidR="00805171">
        <w:rPr>
          <w:sz w:val="26"/>
          <w:szCs w:val="26"/>
        </w:rPr>
        <w:t>219</w:t>
      </w:r>
      <w:r>
        <w:rPr>
          <w:sz w:val="26"/>
          <w:szCs w:val="26"/>
        </w:rPr>
        <w:t xml:space="preserve"> тис. грн.), амортизаційні відрахування (</w:t>
      </w:r>
      <w:r w:rsidR="002119F9">
        <w:rPr>
          <w:sz w:val="26"/>
          <w:szCs w:val="26"/>
        </w:rPr>
        <w:t>54</w:t>
      </w:r>
      <w:r>
        <w:rPr>
          <w:sz w:val="26"/>
          <w:szCs w:val="26"/>
        </w:rPr>
        <w:t xml:space="preserve"> тис. грн.), юридичні послуги ( 1 млн. </w:t>
      </w:r>
      <w:r w:rsidR="002119F9">
        <w:rPr>
          <w:sz w:val="26"/>
          <w:szCs w:val="26"/>
        </w:rPr>
        <w:t>177</w:t>
      </w:r>
      <w:r>
        <w:rPr>
          <w:sz w:val="26"/>
          <w:szCs w:val="26"/>
        </w:rPr>
        <w:t xml:space="preserve"> тис. грн.) організаційно-технічні послуги</w:t>
      </w:r>
      <w:r w:rsidR="002119F9">
        <w:rPr>
          <w:sz w:val="26"/>
          <w:szCs w:val="26"/>
        </w:rPr>
        <w:t xml:space="preserve">: забезпечення підтримки ПЗ відділу кадрів, бухгалтерію, юридичний відділ, програм </w:t>
      </w:r>
      <w:proofErr w:type="spellStart"/>
      <w:r w:rsidR="002119F9">
        <w:rPr>
          <w:sz w:val="26"/>
          <w:szCs w:val="26"/>
        </w:rPr>
        <w:t>МЕДок</w:t>
      </w:r>
      <w:proofErr w:type="spellEnd"/>
      <w:r w:rsidR="002119F9">
        <w:rPr>
          <w:sz w:val="26"/>
          <w:szCs w:val="26"/>
        </w:rPr>
        <w:t xml:space="preserve"> та </w:t>
      </w:r>
      <w:proofErr w:type="spellStart"/>
      <w:r w:rsidR="002119F9">
        <w:rPr>
          <w:sz w:val="26"/>
          <w:szCs w:val="26"/>
        </w:rPr>
        <w:t>Ліга:Закон</w:t>
      </w:r>
      <w:proofErr w:type="spellEnd"/>
      <w:r w:rsidR="002119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(</w:t>
      </w:r>
      <w:r w:rsidR="002119F9">
        <w:rPr>
          <w:sz w:val="26"/>
          <w:szCs w:val="26"/>
        </w:rPr>
        <w:t>229</w:t>
      </w:r>
      <w:r>
        <w:rPr>
          <w:sz w:val="26"/>
          <w:szCs w:val="26"/>
        </w:rPr>
        <w:t xml:space="preserve"> тис. грн.), </w:t>
      </w:r>
      <w:r w:rsidR="002119F9">
        <w:rPr>
          <w:sz w:val="26"/>
          <w:szCs w:val="26"/>
        </w:rPr>
        <w:t xml:space="preserve">консультаційні та інформаційні </w:t>
      </w:r>
      <w:r>
        <w:rPr>
          <w:sz w:val="26"/>
          <w:szCs w:val="26"/>
        </w:rPr>
        <w:t>послуги</w:t>
      </w:r>
      <w:r w:rsidR="002119F9">
        <w:rPr>
          <w:sz w:val="26"/>
          <w:szCs w:val="26"/>
        </w:rPr>
        <w:t>: публікація оголошень на сайтах  пошуку вакансій  (17 тис. грн.) оцінки майна (15</w:t>
      </w:r>
      <w:r>
        <w:rPr>
          <w:sz w:val="26"/>
          <w:szCs w:val="26"/>
        </w:rPr>
        <w:t xml:space="preserve"> тис. грн.), витрати на підвищення кваліфікації та перепідготовку кадрів (</w:t>
      </w:r>
      <w:r w:rsidR="002119F9">
        <w:rPr>
          <w:sz w:val="26"/>
          <w:szCs w:val="26"/>
        </w:rPr>
        <w:t>28</w:t>
      </w:r>
      <w:r>
        <w:rPr>
          <w:sz w:val="26"/>
          <w:szCs w:val="26"/>
        </w:rPr>
        <w:t xml:space="preserve"> тис. грн.) та інші адміністративні витрати (</w:t>
      </w:r>
      <w:r w:rsidR="002119F9">
        <w:rPr>
          <w:sz w:val="26"/>
          <w:szCs w:val="26"/>
        </w:rPr>
        <w:t>784</w:t>
      </w:r>
      <w:r>
        <w:rPr>
          <w:sz w:val="26"/>
          <w:szCs w:val="26"/>
        </w:rPr>
        <w:t xml:space="preserve"> тис. грн.), у тому числі канцтовари, підписка на періодичні видання, поштові витрати, податок на землю (2</w:t>
      </w:r>
      <w:r w:rsidR="002119F9">
        <w:rPr>
          <w:sz w:val="26"/>
          <w:szCs w:val="26"/>
        </w:rPr>
        <w:t>20</w:t>
      </w:r>
      <w:r>
        <w:rPr>
          <w:sz w:val="26"/>
          <w:szCs w:val="26"/>
        </w:rPr>
        <w:t xml:space="preserve"> тис. грн.), РКО, архівація (</w:t>
      </w:r>
      <w:r w:rsidR="002119F9">
        <w:rPr>
          <w:sz w:val="26"/>
          <w:szCs w:val="26"/>
        </w:rPr>
        <w:t>71</w:t>
      </w:r>
      <w:r>
        <w:rPr>
          <w:sz w:val="26"/>
          <w:szCs w:val="26"/>
        </w:rPr>
        <w:t xml:space="preserve"> тис. грн.),</w:t>
      </w:r>
      <w:r w:rsidR="002119F9">
        <w:rPr>
          <w:sz w:val="26"/>
          <w:szCs w:val="26"/>
        </w:rPr>
        <w:t xml:space="preserve"> комунальні послуги (291 тис. грн.)</w:t>
      </w:r>
      <w:r>
        <w:rPr>
          <w:sz w:val="26"/>
          <w:szCs w:val="26"/>
        </w:rPr>
        <w:t>. Витрати з</w:t>
      </w:r>
      <w:r w:rsidRPr="002E683C">
        <w:rPr>
          <w:sz w:val="26"/>
          <w:szCs w:val="26"/>
        </w:rPr>
        <w:t xml:space="preserve">а статтею юридичні  послуги </w:t>
      </w:r>
      <w:r>
        <w:rPr>
          <w:sz w:val="26"/>
          <w:szCs w:val="26"/>
        </w:rPr>
        <w:t xml:space="preserve">заплановані у сумі </w:t>
      </w:r>
      <w:r w:rsidRPr="002E683C">
        <w:rPr>
          <w:sz w:val="26"/>
          <w:szCs w:val="26"/>
        </w:rPr>
        <w:t xml:space="preserve"> 1</w:t>
      </w:r>
      <w:r>
        <w:rPr>
          <w:sz w:val="26"/>
          <w:szCs w:val="26"/>
        </w:rPr>
        <w:t xml:space="preserve"> млн. </w:t>
      </w:r>
      <w:r w:rsidR="0053266C">
        <w:rPr>
          <w:sz w:val="26"/>
          <w:szCs w:val="26"/>
        </w:rPr>
        <w:t>177</w:t>
      </w:r>
      <w:r w:rsidRPr="002E683C">
        <w:rPr>
          <w:sz w:val="26"/>
          <w:szCs w:val="26"/>
        </w:rPr>
        <w:t xml:space="preserve"> млн. грн.</w:t>
      </w:r>
      <w:r>
        <w:rPr>
          <w:sz w:val="26"/>
          <w:szCs w:val="26"/>
        </w:rPr>
        <w:t xml:space="preserve">, кошти будуть спрямовані на </w:t>
      </w:r>
      <w:r w:rsidRPr="00101335">
        <w:rPr>
          <w:sz w:val="26"/>
          <w:szCs w:val="26"/>
        </w:rPr>
        <w:t>судов</w:t>
      </w:r>
      <w:r>
        <w:rPr>
          <w:sz w:val="26"/>
          <w:szCs w:val="26"/>
        </w:rPr>
        <w:t>і</w:t>
      </w:r>
      <w:r w:rsidRPr="00101335">
        <w:rPr>
          <w:sz w:val="26"/>
          <w:szCs w:val="26"/>
        </w:rPr>
        <w:t xml:space="preserve"> витрат</w:t>
      </w:r>
      <w:r>
        <w:rPr>
          <w:sz w:val="26"/>
          <w:szCs w:val="26"/>
        </w:rPr>
        <w:t>и</w:t>
      </w:r>
      <w:r w:rsidR="00BC5F5C">
        <w:rPr>
          <w:sz w:val="26"/>
          <w:szCs w:val="26"/>
        </w:rPr>
        <w:t xml:space="preserve">, які виникли  із </w:t>
      </w:r>
      <w:proofErr w:type="spellStart"/>
      <w:r w:rsidR="00BC5F5C">
        <w:rPr>
          <w:sz w:val="26"/>
          <w:szCs w:val="26"/>
        </w:rPr>
        <w:t>заборгованісті</w:t>
      </w:r>
      <w:proofErr w:type="spellEnd"/>
      <w:r w:rsidR="00BC5F5C">
        <w:rPr>
          <w:sz w:val="26"/>
          <w:szCs w:val="26"/>
        </w:rPr>
        <w:t xml:space="preserve"> підприємства </w:t>
      </w:r>
      <w:r w:rsidRPr="0026277F">
        <w:rPr>
          <w:sz w:val="26"/>
          <w:szCs w:val="26"/>
        </w:rPr>
        <w:t xml:space="preserve"> за договорами цільової поворотної допомоги, яка була використана при реконструкції адміністративної будівлі</w:t>
      </w:r>
      <w:r w:rsidR="00BC5F5C">
        <w:rPr>
          <w:sz w:val="26"/>
          <w:szCs w:val="26"/>
        </w:rPr>
        <w:t xml:space="preserve"> по договору доручення</w:t>
      </w:r>
      <w:r w:rsidRPr="0026277F">
        <w:rPr>
          <w:sz w:val="26"/>
          <w:szCs w:val="26"/>
        </w:rPr>
        <w:t xml:space="preserve"> Міністерства інфраструктури України у 2002-2004 </w:t>
      </w:r>
      <w:proofErr w:type="spellStart"/>
      <w:r w:rsidRPr="0026277F">
        <w:rPr>
          <w:sz w:val="26"/>
          <w:szCs w:val="26"/>
        </w:rPr>
        <w:t>рр</w:t>
      </w:r>
      <w:proofErr w:type="spellEnd"/>
      <w:r w:rsidR="00BC5F5C">
        <w:rPr>
          <w:sz w:val="26"/>
          <w:szCs w:val="26"/>
        </w:rPr>
        <w:t>,</w:t>
      </w:r>
      <w:r>
        <w:rPr>
          <w:sz w:val="26"/>
          <w:szCs w:val="26"/>
        </w:rPr>
        <w:t xml:space="preserve"> на судові справи </w:t>
      </w:r>
      <w:r w:rsidRPr="0026277F">
        <w:rPr>
          <w:sz w:val="26"/>
          <w:szCs w:val="26"/>
        </w:rPr>
        <w:t xml:space="preserve"> </w:t>
      </w:r>
      <w:r w:rsidR="0053266C">
        <w:rPr>
          <w:sz w:val="26"/>
          <w:szCs w:val="26"/>
        </w:rPr>
        <w:t>з  ДП «</w:t>
      </w:r>
      <w:proofErr w:type="spellStart"/>
      <w:r w:rsidR="0053266C">
        <w:rPr>
          <w:sz w:val="26"/>
          <w:szCs w:val="26"/>
        </w:rPr>
        <w:t>Украерорух</w:t>
      </w:r>
      <w:proofErr w:type="spellEnd"/>
      <w:r w:rsidR="0053266C">
        <w:rPr>
          <w:sz w:val="26"/>
          <w:szCs w:val="26"/>
        </w:rPr>
        <w:t xml:space="preserve">», ДП МА Бориспіль </w:t>
      </w:r>
      <w:r>
        <w:rPr>
          <w:sz w:val="26"/>
          <w:szCs w:val="26"/>
        </w:rPr>
        <w:t>та  по транспортним пригодам.</w:t>
      </w:r>
    </w:p>
    <w:p w:rsidR="00BF04CE" w:rsidRDefault="00BF04CE" w:rsidP="00BF04CE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253B21">
        <w:rPr>
          <w:sz w:val="26"/>
          <w:szCs w:val="26"/>
        </w:rPr>
        <w:t>Досягнення балансу між доходами</w:t>
      </w:r>
      <w:r>
        <w:rPr>
          <w:sz w:val="26"/>
          <w:szCs w:val="26"/>
        </w:rPr>
        <w:t xml:space="preserve"> та витратами є основною метою комерційного підприємства.</w:t>
      </w:r>
      <w:r w:rsidRPr="00253B21">
        <w:rPr>
          <w:sz w:val="26"/>
          <w:szCs w:val="26"/>
        </w:rPr>
        <w:t xml:space="preserve"> Ф</w:t>
      </w:r>
      <w:r>
        <w:rPr>
          <w:sz w:val="26"/>
          <w:szCs w:val="26"/>
        </w:rPr>
        <w:t>актичні витрати будуть здійснюватися  протягом року тільки у відповідності до отриманих доходів по фактично укладеним договорам про надання послуг та інших надходжень.</w:t>
      </w: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Default="0053266C" w:rsidP="00BF04CE">
      <w:pPr>
        <w:ind w:firstLine="708"/>
        <w:jc w:val="both"/>
        <w:rPr>
          <w:sz w:val="26"/>
          <w:szCs w:val="26"/>
        </w:rPr>
      </w:pPr>
    </w:p>
    <w:p w:rsidR="0053266C" w:rsidRPr="00253B21" w:rsidRDefault="0053266C" w:rsidP="00BF04CE">
      <w:pPr>
        <w:ind w:firstLine="708"/>
        <w:jc w:val="both"/>
        <w:rPr>
          <w:sz w:val="26"/>
          <w:szCs w:val="26"/>
        </w:rPr>
      </w:pPr>
    </w:p>
    <w:p w:rsidR="00BF04CE" w:rsidRDefault="00BF04CE" w:rsidP="00BF04CE">
      <w:pPr>
        <w:jc w:val="center"/>
        <w:rPr>
          <w:b/>
        </w:rPr>
      </w:pPr>
      <w:r>
        <w:rPr>
          <w:b/>
        </w:rPr>
        <w:lastRenderedPageBreak/>
        <w:t xml:space="preserve">Операційні  витрати </w:t>
      </w:r>
      <w:r w:rsidRPr="00126465">
        <w:rPr>
          <w:b/>
        </w:rPr>
        <w:t xml:space="preserve"> підприємства</w:t>
      </w:r>
    </w:p>
    <w:p w:rsidR="00BF04CE" w:rsidRDefault="00BF04CE" w:rsidP="00BF04CE">
      <w:pPr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</w:t>
      </w:r>
      <w:r w:rsidRPr="00126465">
        <w:rPr>
          <w:b/>
        </w:rPr>
        <w:t xml:space="preserve">Таблиця </w:t>
      </w:r>
      <w:r>
        <w:rPr>
          <w:b/>
        </w:rPr>
        <w:t>4</w:t>
      </w:r>
      <w:r>
        <w:rPr>
          <w:color w:val="000000"/>
        </w:rPr>
        <w:t xml:space="preserve">      </w:t>
      </w:r>
      <w:r w:rsidRPr="00126465">
        <w:rPr>
          <w:color w:val="000000"/>
        </w:rPr>
        <w:t>тис. грн</w:t>
      </w:r>
      <w:r w:rsidRPr="009A5D9E">
        <w:rPr>
          <w:color w:val="000000"/>
          <w:sz w:val="28"/>
          <w:szCs w:val="28"/>
        </w:rPr>
        <w:t>.</w:t>
      </w:r>
    </w:p>
    <w:tbl>
      <w:tblPr>
        <w:tblW w:w="1017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268"/>
        <w:gridCol w:w="1027"/>
        <w:gridCol w:w="922"/>
        <w:gridCol w:w="906"/>
        <w:gridCol w:w="1114"/>
        <w:gridCol w:w="993"/>
        <w:gridCol w:w="845"/>
        <w:gridCol w:w="1139"/>
        <w:gridCol w:w="959"/>
      </w:tblGrid>
      <w:tr w:rsidR="0053266C" w:rsidRPr="0053266C" w:rsidTr="0053266C">
        <w:trPr>
          <w:trHeight w:val="868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Елементи операційних витрат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b/>
                <w:bCs/>
                <w:color w:val="000000"/>
                <w:sz w:val="22"/>
                <w:szCs w:val="22"/>
                <w:lang w:eastAsia="uk-UA"/>
              </w:rPr>
              <w:t>ФАКТ 2019</w:t>
            </w:r>
          </w:p>
        </w:tc>
        <w:tc>
          <w:tcPr>
            <w:tcW w:w="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b/>
                <w:bCs/>
                <w:color w:val="000000"/>
                <w:sz w:val="22"/>
                <w:szCs w:val="22"/>
                <w:lang w:eastAsia="uk-UA"/>
              </w:rPr>
              <w:t xml:space="preserve">ПЛАН 2020 </w:t>
            </w:r>
          </w:p>
        </w:tc>
        <w:tc>
          <w:tcPr>
            <w:tcW w:w="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b/>
                <w:bCs/>
                <w:color w:val="000000"/>
                <w:sz w:val="22"/>
                <w:szCs w:val="22"/>
                <w:lang w:eastAsia="uk-UA"/>
              </w:rPr>
              <w:t>ПРОГ-НОЗ 2020</w:t>
            </w:r>
          </w:p>
        </w:tc>
        <w:tc>
          <w:tcPr>
            <w:tcW w:w="1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b/>
                <w:bCs/>
                <w:color w:val="000000"/>
                <w:sz w:val="22"/>
                <w:szCs w:val="22"/>
                <w:lang w:eastAsia="uk-UA"/>
              </w:rPr>
              <w:t>ПЛАН 2021</w:t>
            </w:r>
          </w:p>
        </w:tc>
        <w:tc>
          <w:tcPr>
            <w:tcW w:w="1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b/>
                <w:bCs/>
                <w:color w:val="000000"/>
                <w:sz w:val="22"/>
                <w:szCs w:val="22"/>
                <w:lang w:eastAsia="uk-UA"/>
              </w:rPr>
              <w:t>Прогноз  2020 до факту 2019</w:t>
            </w:r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b/>
                <w:bCs/>
                <w:color w:val="000000"/>
                <w:sz w:val="22"/>
                <w:szCs w:val="22"/>
                <w:lang w:eastAsia="uk-UA"/>
              </w:rPr>
              <w:t>План 2021 до плану 2020</w:t>
            </w:r>
          </w:p>
        </w:tc>
      </w:tr>
      <w:tr w:rsidR="0053266C" w:rsidRPr="0053266C" w:rsidTr="0053266C">
        <w:trPr>
          <w:trHeight w:val="588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C" w:rsidRPr="0053266C" w:rsidRDefault="0053266C" w:rsidP="0053266C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C" w:rsidRPr="0053266C" w:rsidRDefault="0053266C" w:rsidP="0053266C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C" w:rsidRPr="0053266C" w:rsidRDefault="0053266C" w:rsidP="0053266C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C" w:rsidRPr="0053266C" w:rsidRDefault="0053266C" w:rsidP="0053266C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11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266C" w:rsidRPr="0053266C" w:rsidRDefault="0053266C" w:rsidP="0053266C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53266C">
              <w:rPr>
                <w:b/>
                <w:bCs/>
                <w:color w:val="000000"/>
                <w:lang w:eastAsia="uk-UA"/>
              </w:rPr>
              <w:t>Відх</w:t>
            </w:r>
            <w:proofErr w:type="spellEnd"/>
            <w:r w:rsidRPr="0053266C">
              <w:rPr>
                <w:b/>
                <w:bCs/>
                <w:color w:val="000000"/>
                <w:lang w:eastAsia="uk-UA"/>
              </w:rPr>
              <w:t>. (+/-)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%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proofErr w:type="spellStart"/>
            <w:r w:rsidRPr="0053266C">
              <w:rPr>
                <w:b/>
                <w:bCs/>
                <w:color w:val="000000"/>
                <w:lang w:eastAsia="uk-UA"/>
              </w:rPr>
              <w:t>Відх</w:t>
            </w:r>
            <w:proofErr w:type="spellEnd"/>
            <w:r w:rsidRPr="0053266C">
              <w:rPr>
                <w:b/>
                <w:bCs/>
                <w:color w:val="000000"/>
                <w:lang w:eastAsia="uk-UA"/>
              </w:rPr>
              <w:t>. (+/-)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%</w:t>
            </w:r>
          </w:p>
        </w:tc>
      </w:tr>
      <w:tr w:rsidR="0053266C" w:rsidRPr="0053266C" w:rsidTr="0053266C">
        <w:trPr>
          <w:trHeight w:val="46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 xml:space="preserve">Матеріальні витрати, у </w:t>
            </w:r>
            <w:proofErr w:type="spellStart"/>
            <w:r w:rsidRPr="0053266C">
              <w:rPr>
                <w:color w:val="000000"/>
                <w:lang w:eastAsia="uk-UA"/>
              </w:rPr>
              <w:t>т.ч</w:t>
            </w:r>
            <w:proofErr w:type="spellEnd"/>
            <w:r w:rsidRPr="0053266C">
              <w:rPr>
                <w:color w:val="000000"/>
                <w:lang w:eastAsia="uk-UA"/>
              </w:rPr>
              <w:t>.: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15 910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19 976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18 916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20 879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3 006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903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105</w:t>
            </w:r>
          </w:p>
        </w:tc>
      </w:tr>
      <w:tr w:rsidR="0053266C" w:rsidRPr="0053266C" w:rsidTr="0053266C">
        <w:trPr>
          <w:trHeight w:val="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Сировина та матеріали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3 784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5 308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5 076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5 850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1 292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542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110</w:t>
            </w:r>
          </w:p>
        </w:tc>
      </w:tr>
      <w:tr w:rsidR="0053266C" w:rsidRPr="0053266C" w:rsidTr="0053266C">
        <w:trPr>
          <w:trHeight w:val="35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Паливо та енергія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12 126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14 668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13 840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15 029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1 714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361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102</w:t>
            </w:r>
          </w:p>
        </w:tc>
      </w:tr>
      <w:tr w:rsidR="0053266C" w:rsidRPr="0053266C" w:rsidTr="0053266C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Оплата праці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37 270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44 550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41 639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49 035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4 369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4 485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110</w:t>
            </w:r>
          </w:p>
        </w:tc>
      </w:tr>
      <w:tr w:rsidR="0053266C" w:rsidRPr="0053266C" w:rsidTr="0053266C">
        <w:trPr>
          <w:trHeight w:val="602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Відрахування на соціальні заходи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8 108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9 735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9 236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10 867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1 128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1 132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112</w:t>
            </w:r>
          </w:p>
        </w:tc>
      </w:tr>
      <w:tr w:rsidR="0053266C" w:rsidRPr="0053266C" w:rsidTr="0053266C">
        <w:trPr>
          <w:trHeight w:val="33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Амортизація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10 144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8 106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8 267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9 202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-1 877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81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1 096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114</w:t>
            </w:r>
          </w:p>
        </w:tc>
      </w:tr>
      <w:tr w:rsidR="0053266C" w:rsidRPr="0053266C" w:rsidTr="0053266C">
        <w:trPr>
          <w:trHeight w:val="378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Інші операційні витрати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80 322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11 704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11 028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11 931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-69 294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227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color w:val="000000"/>
                <w:lang w:eastAsia="uk-UA"/>
              </w:rPr>
            </w:pPr>
            <w:r w:rsidRPr="0053266C">
              <w:rPr>
                <w:color w:val="000000"/>
                <w:lang w:eastAsia="uk-UA"/>
              </w:rPr>
              <w:t>102</w:t>
            </w:r>
          </w:p>
        </w:tc>
      </w:tr>
      <w:tr w:rsidR="0053266C" w:rsidRPr="0053266C" w:rsidTr="0053266C">
        <w:trPr>
          <w:trHeight w:val="709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ind w:right="33"/>
              <w:jc w:val="right"/>
              <w:rPr>
                <w:i/>
                <w:iCs/>
                <w:color w:val="000000"/>
                <w:sz w:val="20"/>
                <w:szCs w:val="20"/>
                <w:lang w:eastAsia="uk-UA"/>
              </w:rPr>
            </w:pPr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 xml:space="preserve">у </w:t>
            </w:r>
            <w:proofErr w:type="spellStart"/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 xml:space="preserve">. нетипові </w:t>
            </w:r>
            <w:proofErr w:type="spellStart"/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>витра</w:t>
            </w:r>
            <w:proofErr w:type="spellEnd"/>
            <w:r>
              <w:rPr>
                <w:i/>
                <w:iCs/>
                <w:color w:val="000000"/>
                <w:sz w:val="20"/>
                <w:szCs w:val="20"/>
                <w:lang w:eastAsia="uk-UA"/>
              </w:rPr>
              <w:t>-</w:t>
            </w:r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 xml:space="preserve">ти, у </w:t>
            </w:r>
            <w:proofErr w:type="spellStart"/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>т.ч</w:t>
            </w:r>
            <w:proofErr w:type="spellEnd"/>
            <w:r w:rsidRPr="0053266C">
              <w:rPr>
                <w:i/>
                <w:iCs/>
                <w:color w:val="000000"/>
                <w:sz w:val="20"/>
                <w:szCs w:val="20"/>
                <w:lang w:eastAsia="uk-UA"/>
              </w:rPr>
              <w:t>. резерв сумнівних боргів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69 029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53266C">
              <w:rPr>
                <w:i/>
                <w:iCs/>
                <w:color w:val="000000"/>
                <w:sz w:val="22"/>
                <w:szCs w:val="22"/>
                <w:lang w:eastAsia="uk-UA"/>
              </w:rPr>
              <w:t>-69 029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53266C">
              <w:rPr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53266C">
              <w:rPr>
                <w:i/>
                <w:iCs/>
                <w:color w:val="000000"/>
                <w:lang w:eastAsia="uk-UA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i/>
                <w:iCs/>
                <w:color w:val="000000"/>
                <w:lang w:eastAsia="uk-UA"/>
              </w:rPr>
            </w:pPr>
            <w:r w:rsidRPr="0053266C">
              <w:rPr>
                <w:i/>
                <w:iCs/>
                <w:color w:val="000000"/>
                <w:lang w:eastAsia="uk-UA"/>
              </w:rPr>
              <w:t> </w:t>
            </w:r>
          </w:p>
        </w:tc>
      </w:tr>
      <w:tr w:rsidR="0053266C" w:rsidRPr="0053266C" w:rsidTr="0053266C">
        <w:trPr>
          <w:trHeight w:val="616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 xml:space="preserve"> Усього операційні витрати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151 754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94 071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89 086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101 914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-62 668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59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12 828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66"/>
            <w:vAlign w:val="center"/>
            <w:hideMark/>
          </w:tcPr>
          <w:p w:rsidR="0053266C" w:rsidRPr="0053266C" w:rsidRDefault="0053266C" w:rsidP="0053266C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53266C">
              <w:rPr>
                <w:b/>
                <w:bCs/>
                <w:color w:val="000000"/>
                <w:lang w:eastAsia="uk-UA"/>
              </w:rPr>
              <w:t>108</w:t>
            </w:r>
          </w:p>
        </w:tc>
      </w:tr>
    </w:tbl>
    <w:p w:rsidR="0053266C" w:rsidRDefault="0053266C" w:rsidP="00BF04CE">
      <w:pPr>
        <w:ind w:firstLine="720"/>
        <w:jc w:val="center"/>
        <w:outlineLvl w:val="0"/>
        <w:rPr>
          <w:color w:val="000000"/>
          <w:sz w:val="28"/>
          <w:szCs w:val="28"/>
        </w:rPr>
      </w:pPr>
    </w:p>
    <w:p w:rsidR="00BF04CE" w:rsidRDefault="00BF04CE" w:rsidP="00BF04CE">
      <w:pPr>
        <w:jc w:val="right"/>
        <w:rPr>
          <w:b/>
        </w:rPr>
      </w:pPr>
      <w:r w:rsidRPr="0088608E">
        <w:rPr>
          <w:b/>
        </w:rPr>
        <w:t xml:space="preserve">Рис. </w:t>
      </w:r>
      <w:r>
        <w:rPr>
          <w:b/>
        </w:rPr>
        <w:t>2</w:t>
      </w:r>
    </w:p>
    <w:p w:rsidR="00BF04CE" w:rsidRPr="004739FD" w:rsidRDefault="00BF04CE" w:rsidP="00BF04CE">
      <w:pPr>
        <w:jc w:val="both"/>
        <w:rPr>
          <w:noProof/>
          <w:lang w:eastAsia="uk-UA"/>
        </w:rPr>
      </w:pPr>
      <w:r w:rsidRPr="00A86297">
        <w:rPr>
          <w:noProof/>
          <w:lang w:eastAsia="uk-UA"/>
        </w:rPr>
        <w:t xml:space="preserve"> </w:t>
      </w:r>
      <w:r>
        <w:rPr>
          <w:noProof/>
          <w:lang w:eastAsia="uk-UA"/>
        </w:rPr>
        <w:drawing>
          <wp:inline distT="0" distB="0" distL="0" distR="0" wp14:anchorId="3EAA0664" wp14:editId="1BC3F389">
            <wp:extent cx="3172460" cy="3736092"/>
            <wp:effectExtent l="0" t="0" r="8890" b="1714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Del="00A04B8C">
        <w:rPr>
          <w:noProof/>
          <w:lang w:eastAsia="uk-UA"/>
        </w:rPr>
        <w:t xml:space="preserve"> </w:t>
      </w:r>
      <w:r w:rsidR="0053266C">
        <w:rPr>
          <w:noProof/>
          <w:lang w:eastAsia="uk-UA"/>
        </w:rPr>
        <w:drawing>
          <wp:inline distT="0" distB="0" distL="0" distR="0" wp14:anchorId="6CF22607" wp14:editId="3C486302">
            <wp:extent cx="3053080" cy="3744402"/>
            <wp:effectExtent l="0" t="0" r="13970" b="889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F04CE" w:rsidRDefault="00BF04CE" w:rsidP="00BF04CE">
      <w:pPr>
        <w:ind w:firstLine="567"/>
        <w:jc w:val="both"/>
        <w:rPr>
          <w:sz w:val="26"/>
          <w:szCs w:val="26"/>
        </w:rPr>
      </w:pPr>
    </w:p>
    <w:p w:rsidR="00BF04CE" w:rsidRDefault="00BF04CE" w:rsidP="00BF04CE">
      <w:pPr>
        <w:ind w:firstLine="567"/>
        <w:jc w:val="both"/>
        <w:rPr>
          <w:sz w:val="26"/>
          <w:szCs w:val="26"/>
        </w:rPr>
      </w:pPr>
      <w:r w:rsidRPr="00857B54">
        <w:rPr>
          <w:sz w:val="26"/>
          <w:szCs w:val="26"/>
        </w:rPr>
        <w:t xml:space="preserve">На охорону праці </w:t>
      </w:r>
      <w:r>
        <w:rPr>
          <w:sz w:val="26"/>
          <w:szCs w:val="26"/>
          <w:lang w:val="ru-RU"/>
        </w:rPr>
        <w:t>у</w:t>
      </w:r>
      <w:r w:rsidRPr="00857B54">
        <w:rPr>
          <w:sz w:val="26"/>
          <w:szCs w:val="26"/>
        </w:rPr>
        <w:t xml:space="preserve"> 202</w:t>
      </w:r>
      <w:r w:rsidR="0053266C">
        <w:rPr>
          <w:sz w:val="26"/>
          <w:szCs w:val="26"/>
        </w:rPr>
        <w:t>1</w:t>
      </w:r>
      <w:r w:rsidRPr="00857B54">
        <w:rPr>
          <w:sz w:val="26"/>
          <w:szCs w:val="26"/>
        </w:rPr>
        <w:t xml:space="preserve"> р</w:t>
      </w:r>
      <w:proofErr w:type="spellStart"/>
      <w:r>
        <w:rPr>
          <w:sz w:val="26"/>
          <w:szCs w:val="26"/>
          <w:lang w:val="ru-RU"/>
        </w:rPr>
        <w:t>оц</w:t>
      </w:r>
      <w:proofErr w:type="spellEnd"/>
      <w:r>
        <w:rPr>
          <w:sz w:val="26"/>
          <w:szCs w:val="26"/>
        </w:rPr>
        <w:t>і</w:t>
      </w:r>
      <w:r w:rsidRPr="00857B54">
        <w:rPr>
          <w:sz w:val="26"/>
          <w:szCs w:val="26"/>
        </w:rPr>
        <w:t xml:space="preserve"> </w:t>
      </w:r>
      <w:proofErr w:type="spellStart"/>
      <w:r w:rsidRPr="00857B54">
        <w:rPr>
          <w:sz w:val="26"/>
          <w:szCs w:val="26"/>
        </w:rPr>
        <w:t>запланов</w:t>
      </w:r>
      <w:proofErr w:type="spellEnd"/>
      <w:r>
        <w:rPr>
          <w:sz w:val="26"/>
          <w:szCs w:val="26"/>
          <w:lang w:val="ru-RU"/>
        </w:rPr>
        <w:t>ан</w:t>
      </w:r>
      <w:r>
        <w:rPr>
          <w:sz w:val="26"/>
          <w:szCs w:val="26"/>
        </w:rPr>
        <w:t>і</w:t>
      </w:r>
      <w:r w:rsidRPr="00857B54">
        <w:rPr>
          <w:sz w:val="26"/>
          <w:szCs w:val="26"/>
        </w:rPr>
        <w:t xml:space="preserve"> витрати у розмірі </w:t>
      </w:r>
      <w:r w:rsidR="00237E15">
        <w:rPr>
          <w:sz w:val="26"/>
          <w:szCs w:val="26"/>
        </w:rPr>
        <w:t xml:space="preserve"> 353,3 </w:t>
      </w:r>
      <w:r>
        <w:rPr>
          <w:sz w:val="26"/>
          <w:szCs w:val="26"/>
        </w:rPr>
        <w:t>тис. грн</w:t>
      </w:r>
      <w:r w:rsidR="00237E15">
        <w:rPr>
          <w:sz w:val="26"/>
          <w:szCs w:val="26"/>
        </w:rPr>
        <w:t xml:space="preserve">., у тому числі </w:t>
      </w:r>
      <w:r>
        <w:rPr>
          <w:sz w:val="26"/>
          <w:szCs w:val="26"/>
        </w:rPr>
        <w:t xml:space="preserve">з навчання посадових осіб та спеціалістів, лабораторних  досліджень, атестація робочих місць – </w:t>
      </w:r>
      <w:r w:rsidR="00237E15">
        <w:rPr>
          <w:sz w:val="26"/>
          <w:szCs w:val="26"/>
        </w:rPr>
        <w:t>33</w:t>
      </w:r>
      <w:r>
        <w:rPr>
          <w:sz w:val="26"/>
          <w:szCs w:val="26"/>
        </w:rPr>
        <w:t xml:space="preserve"> тис. грн., придбання спецодягу, спецвзуття та інших засобів захисту</w:t>
      </w:r>
      <w:r w:rsidR="00237E15">
        <w:rPr>
          <w:sz w:val="26"/>
          <w:szCs w:val="26"/>
        </w:rPr>
        <w:t xml:space="preserve"> 218 тис. грн., </w:t>
      </w:r>
      <w:r>
        <w:rPr>
          <w:sz w:val="26"/>
          <w:szCs w:val="26"/>
        </w:rPr>
        <w:t xml:space="preserve"> проведення медоглядів- </w:t>
      </w:r>
      <w:r w:rsidR="00237E15">
        <w:rPr>
          <w:sz w:val="26"/>
          <w:szCs w:val="26"/>
        </w:rPr>
        <w:t>26</w:t>
      </w:r>
      <w:r>
        <w:rPr>
          <w:sz w:val="26"/>
          <w:szCs w:val="26"/>
        </w:rPr>
        <w:t xml:space="preserve"> тис. грн., придбання літератури, спецхарчування, аптечки тощо – </w:t>
      </w:r>
      <w:r w:rsidR="00237E15">
        <w:rPr>
          <w:sz w:val="26"/>
          <w:szCs w:val="26"/>
        </w:rPr>
        <w:t>33</w:t>
      </w:r>
      <w:r>
        <w:rPr>
          <w:sz w:val="26"/>
          <w:szCs w:val="26"/>
        </w:rPr>
        <w:t xml:space="preserve"> тис. грн,</w:t>
      </w:r>
      <w:r w:rsidR="00237E15" w:rsidRPr="00237E15">
        <w:rPr>
          <w:sz w:val="26"/>
          <w:szCs w:val="26"/>
        </w:rPr>
        <w:t xml:space="preserve"> </w:t>
      </w:r>
      <w:r w:rsidR="00237E15">
        <w:rPr>
          <w:sz w:val="26"/>
          <w:szCs w:val="26"/>
        </w:rPr>
        <w:t xml:space="preserve">проведення  випробування та </w:t>
      </w:r>
      <w:r w:rsidR="00237E15" w:rsidRPr="00237E15">
        <w:rPr>
          <w:sz w:val="26"/>
          <w:szCs w:val="26"/>
        </w:rPr>
        <w:t xml:space="preserve"> </w:t>
      </w:r>
      <w:r w:rsidR="00237E15">
        <w:rPr>
          <w:sz w:val="26"/>
          <w:szCs w:val="26"/>
        </w:rPr>
        <w:t>вимірювання  обладнання та електромереж – 43,3 тис. грн</w:t>
      </w:r>
      <w:r>
        <w:rPr>
          <w:sz w:val="26"/>
          <w:szCs w:val="26"/>
        </w:rPr>
        <w:t xml:space="preserve"> та інші  за Переліком заходів та засобів з охорони праці  ( згідно пос</w:t>
      </w:r>
      <w:r w:rsidR="00237E15">
        <w:rPr>
          <w:sz w:val="26"/>
          <w:szCs w:val="26"/>
        </w:rPr>
        <w:t>танови КМУ від 27.06.2003 №994 зі змінами).</w:t>
      </w:r>
    </w:p>
    <w:p w:rsidR="00BF04CE" w:rsidRDefault="00BF04CE" w:rsidP="00BF04CE">
      <w:pPr>
        <w:ind w:firstLine="567"/>
        <w:jc w:val="both"/>
        <w:rPr>
          <w:sz w:val="26"/>
          <w:szCs w:val="26"/>
        </w:rPr>
      </w:pPr>
    </w:p>
    <w:p w:rsidR="00BF04CE" w:rsidRPr="0026277F" w:rsidRDefault="00BF04CE" w:rsidP="00BF04CE">
      <w:pPr>
        <w:pStyle w:val="af"/>
        <w:numPr>
          <w:ilvl w:val="0"/>
          <w:numId w:val="15"/>
        </w:numPr>
        <w:jc w:val="center"/>
        <w:rPr>
          <w:b/>
          <w:color w:val="000000"/>
          <w:sz w:val="28"/>
          <w:szCs w:val="28"/>
        </w:rPr>
      </w:pPr>
      <w:r w:rsidRPr="0026277F">
        <w:rPr>
          <w:b/>
          <w:color w:val="000000"/>
          <w:sz w:val="28"/>
          <w:szCs w:val="28"/>
        </w:rPr>
        <w:lastRenderedPageBreak/>
        <w:t>Капітальні інвестиції</w:t>
      </w:r>
    </w:p>
    <w:p w:rsidR="00BF04CE" w:rsidRPr="0026277F" w:rsidRDefault="00BF04CE" w:rsidP="00BF04CE">
      <w:pPr>
        <w:pStyle w:val="af"/>
        <w:ind w:left="1080"/>
        <w:rPr>
          <w:b/>
          <w:color w:val="000000"/>
          <w:sz w:val="28"/>
          <w:szCs w:val="28"/>
        </w:rPr>
      </w:pPr>
    </w:p>
    <w:p w:rsidR="00BF04CE" w:rsidRDefault="00BF04CE" w:rsidP="00BF04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Проведений а</w:t>
      </w:r>
      <w:r w:rsidRPr="0026277F">
        <w:rPr>
          <w:color w:val="000000"/>
          <w:sz w:val="28"/>
          <w:szCs w:val="28"/>
        </w:rPr>
        <w:t>наліз</w:t>
      </w:r>
      <w:r>
        <w:rPr>
          <w:color w:val="000000"/>
          <w:sz w:val="28"/>
          <w:szCs w:val="28"/>
        </w:rPr>
        <w:t>у періоду з 201</w:t>
      </w:r>
      <w:r w:rsidR="00237E15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 рік по 20</w:t>
      </w:r>
      <w:r w:rsidR="00237E15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рік відображає</w:t>
      </w:r>
      <w:r w:rsidRPr="009A5D9E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зростання</w:t>
      </w:r>
      <w:r w:rsidRPr="009A5D9E">
        <w:rPr>
          <w:rFonts w:eastAsia="Calibri"/>
          <w:color w:val="000000"/>
          <w:sz w:val="28"/>
          <w:szCs w:val="28"/>
          <w:lang w:eastAsia="en-US"/>
        </w:rPr>
        <w:t xml:space="preserve"> обсяг</w:t>
      </w:r>
      <w:r>
        <w:rPr>
          <w:rFonts w:eastAsia="Calibri"/>
          <w:color w:val="000000"/>
          <w:sz w:val="28"/>
          <w:szCs w:val="28"/>
          <w:lang w:eastAsia="en-US"/>
        </w:rPr>
        <w:t>ів</w:t>
      </w:r>
      <w:r w:rsidRPr="009A5D9E">
        <w:rPr>
          <w:rFonts w:eastAsia="Calibri"/>
          <w:color w:val="000000"/>
          <w:sz w:val="28"/>
          <w:szCs w:val="28"/>
          <w:lang w:eastAsia="en-US"/>
        </w:rPr>
        <w:t xml:space="preserve"> капітальних вкладень</w:t>
      </w:r>
      <w:r>
        <w:rPr>
          <w:rFonts w:eastAsia="Calibri"/>
          <w:color w:val="000000"/>
          <w:sz w:val="28"/>
          <w:szCs w:val="28"/>
          <w:lang w:eastAsia="en-US"/>
        </w:rPr>
        <w:t xml:space="preserve"> за останні роки,</w:t>
      </w:r>
      <w:r w:rsidRPr="009A5D9E">
        <w:rPr>
          <w:rFonts w:eastAsia="Calibri"/>
          <w:color w:val="000000"/>
          <w:sz w:val="28"/>
          <w:szCs w:val="28"/>
          <w:lang w:eastAsia="en-US"/>
        </w:rPr>
        <w:t xml:space="preserve"> що свідчить про зміцнення матеріальної бази ДП «Укрсервіс Мінтрансу». Оновлення і поліпшення основних фондів здійснюється у межах наявних коштів після сплати та погашення всіх обов’язкових </w:t>
      </w:r>
      <w:r>
        <w:rPr>
          <w:rFonts w:eastAsia="Calibri"/>
          <w:color w:val="000000"/>
          <w:sz w:val="28"/>
          <w:szCs w:val="28"/>
          <w:lang w:eastAsia="en-US"/>
        </w:rPr>
        <w:t>виплат</w:t>
      </w:r>
      <w:r w:rsidRPr="009A5D9E">
        <w:rPr>
          <w:rFonts w:eastAsia="Calibri"/>
          <w:color w:val="000000"/>
          <w:sz w:val="28"/>
          <w:szCs w:val="28"/>
          <w:lang w:eastAsia="en-US"/>
        </w:rPr>
        <w:t xml:space="preserve">, пов’язаних з утриманням будівлі,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виплат </w:t>
      </w:r>
      <w:r w:rsidRPr="009A5D9E">
        <w:rPr>
          <w:rFonts w:eastAsia="Calibri"/>
          <w:color w:val="000000"/>
          <w:sz w:val="28"/>
          <w:szCs w:val="28"/>
          <w:lang w:eastAsia="en-US"/>
        </w:rPr>
        <w:t>персоналу, платежів до бюджету та державних фондів. Так, за період 20</w:t>
      </w:r>
      <w:r>
        <w:rPr>
          <w:rFonts w:eastAsia="Calibri"/>
          <w:color w:val="000000"/>
          <w:sz w:val="28"/>
          <w:szCs w:val="28"/>
          <w:lang w:eastAsia="en-US"/>
        </w:rPr>
        <w:t>16</w:t>
      </w:r>
      <w:r w:rsidRPr="009A5D9E">
        <w:rPr>
          <w:rFonts w:eastAsia="Calibri"/>
          <w:color w:val="000000"/>
          <w:sz w:val="28"/>
          <w:szCs w:val="28"/>
          <w:lang w:eastAsia="en-US"/>
        </w:rPr>
        <w:t>-201</w:t>
      </w:r>
      <w:r>
        <w:rPr>
          <w:rFonts w:eastAsia="Calibri"/>
          <w:color w:val="000000"/>
          <w:sz w:val="28"/>
          <w:szCs w:val="28"/>
          <w:lang w:eastAsia="en-US"/>
        </w:rPr>
        <w:t>9</w:t>
      </w:r>
      <w:r w:rsidRPr="009A5D9E">
        <w:rPr>
          <w:rFonts w:eastAsia="Calibri"/>
          <w:color w:val="000000"/>
          <w:sz w:val="28"/>
          <w:szCs w:val="28"/>
          <w:lang w:eastAsia="en-US"/>
        </w:rPr>
        <w:t xml:space="preserve"> рр. оновлено основних фондів:</w:t>
      </w:r>
    </w:p>
    <w:p w:rsidR="00BF04CE" w:rsidRDefault="00BF04CE" w:rsidP="00BF04CE">
      <w:pPr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BF04CE" w:rsidRPr="00126465" w:rsidRDefault="00BF04CE" w:rsidP="00BF04CE">
      <w:pPr>
        <w:jc w:val="right"/>
        <w:rPr>
          <w:b/>
        </w:rPr>
      </w:pPr>
      <w:r w:rsidRPr="00126465">
        <w:rPr>
          <w:b/>
        </w:rPr>
        <w:t xml:space="preserve">Таблиця </w:t>
      </w:r>
      <w:r>
        <w:rPr>
          <w:b/>
        </w:rPr>
        <w:t>5</w:t>
      </w:r>
    </w:p>
    <w:p w:rsidR="00BF04CE" w:rsidRPr="00245BCD" w:rsidRDefault="00BF04CE" w:rsidP="00BF04CE">
      <w:pPr>
        <w:jc w:val="center"/>
        <w:rPr>
          <w:color w:val="000000"/>
          <w:sz w:val="28"/>
          <w:szCs w:val="28"/>
        </w:rPr>
      </w:pPr>
      <w:r w:rsidRPr="00245BCD">
        <w:rPr>
          <w:b/>
          <w:sz w:val="28"/>
          <w:szCs w:val="28"/>
          <w:lang w:val="ru-RU"/>
        </w:rPr>
        <w:t>Кап</w:t>
      </w:r>
      <w:proofErr w:type="spellStart"/>
      <w:r w:rsidRPr="00245BCD">
        <w:rPr>
          <w:b/>
          <w:sz w:val="28"/>
          <w:szCs w:val="28"/>
        </w:rPr>
        <w:t>італьні</w:t>
      </w:r>
      <w:proofErr w:type="spellEnd"/>
      <w:r w:rsidRPr="00245BCD">
        <w:rPr>
          <w:b/>
          <w:sz w:val="28"/>
          <w:szCs w:val="28"/>
        </w:rPr>
        <w:t xml:space="preserve"> інвестиції за 201</w:t>
      </w:r>
      <w:r>
        <w:rPr>
          <w:b/>
          <w:sz w:val="28"/>
          <w:szCs w:val="28"/>
          <w:lang w:val="ru-RU"/>
        </w:rPr>
        <w:t>6</w:t>
      </w:r>
      <w:r w:rsidRPr="00245BCD">
        <w:rPr>
          <w:b/>
          <w:sz w:val="28"/>
          <w:szCs w:val="28"/>
        </w:rPr>
        <w:t>-201</w:t>
      </w:r>
      <w:r>
        <w:rPr>
          <w:b/>
          <w:sz w:val="28"/>
          <w:szCs w:val="28"/>
          <w:lang w:val="ru-RU"/>
        </w:rPr>
        <w:t>9</w:t>
      </w:r>
      <w:r w:rsidRPr="00245BCD">
        <w:rPr>
          <w:b/>
          <w:sz w:val="28"/>
          <w:szCs w:val="28"/>
        </w:rPr>
        <w:t xml:space="preserve"> рр</w:t>
      </w:r>
      <w:r>
        <w:rPr>
          <w:b/>
          <w:sz w:val="28"/>
          <w:szCs w:val="28"/>
        </w:rPr>
        <w:t>.</w:t>
      </w:r>
    </w:p>
    <w:p w:rsidR="00BF04CE" w:rsidRDefault="00BF04CE" w:rsidP="00BF04CE">
      <w:pPr>
        <w:ind w:firstLine="720"/>
        <w:jc w:val="center"/>
        <w:outlineLvl w:val="0"/>
        <w:rPr>
          <w:color w:val="000000"/>
        </w:rPr>
      </w:pPr>
      <w:r>
        <w:rPr>
          <w:color w:val="000000"/>
        </w:rPr>
        <w:t xml:space="preserve">                               </w:t>
      </w:r>
    </w:p>
    <w:tbl>
      <w:tblPr>
        <w:tblW w:w="9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1"/>
        <w:gridCol w:w="6889"/>
        <w:gridCol w:w="1045"/>
      </w:tblGrid>
      <w:tr w:rsidR="00BF04CE" w:rsidRPr="009A5D9E" w:rsidTr="004F247C">
        <w:trPr>
          <w:trHeight w:val="687"/>
        </w:trPr>
        <w:tc>
          <w:tcPr>
            <w:tcW w:w="920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5D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Рік</w:t>
            </w:r>
          </w:p>
        </w:tc>
        <w:tc>
          <w:tcPr>
            <w:tcW w:w="7364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5D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Інвестиції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5D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Сума</w:t>
            </w: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,</w:t>
            </w:r>
            <w:r w:rsidRPr="009A5D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 xml:space="preserve">    </w:t>
            </w:r>
          </w:p>
          <w:p w:rsidR="00BF04CE" w:rsidRPr="009A5D9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 w:rsidRPr="009A5D9E"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тис. грн.</w:t>
            </w:r>
          </w:p>
        </w:tc>
      </w:tr>
      <w:tr w:rsidR="00BF04CE" w:rsidTr="004F247C">
        <w:trPr>
          <w:trHeight w:val="1747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Pr="009A5D9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2017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Придбання ОЗ (м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еблі,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сервер, кондиціонери,  котел електричний, 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побутова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техніка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оргтехніка) – 290,0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тис. грн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Інші НМА (мобільні телефони, крісло, вішалка,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термоповітряна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паяльна станція, шліфувальна машина, гільйотина, мікрохвильова, комутатори та ін.) – 31,0 тис. грн.;</w:t>
            </w:r>
          </w:p>
          <w:p w:rsidR="00BF04CE" w:rsidRPr="009A5D9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Нематеріальні активи (ліцензії) – 693,0 тис. грн.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1014,0</w:t>
            </w:r>
          </w:p>
        </w:tc>
      </w:tr>
      <w:tr w:rsidR="00BF04CE" w:rsidTr="004F247C">
        <w:trPr>
          <w:trHeight w:val="17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2018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Придбання ОЗ (м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еблі,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сервер, кондиціонери,  котел електричний, 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побутова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техніка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оргтехніка) – 2412,6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грн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Інші НМА (мобільні телефони, крісло, вішалка, </w:t>
            </w:r>
            <w:proofErr w:type="spellStart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термоповітряна</w:t>
            </w:r>
            <w:proofErr w:type="spellEnd"/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паяльна станція, шліфувальна машина, мікрохвильова, комутатори та ін.) – 93,9 тис. грн.;</w:t>
            </w:r>
          </w:p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Нематеріальні активи (ліцензії) – 1289,2 тис. грн.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3795,7</w:t>
            </w:r>
          </w:p>
        </w:tc>
      </w:tr>
      <w:tr w:rsidR="00BF04CE" w:rsidTr="004F247C">
        <w:trPr>
          <w:trHeight w:val="17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2019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Придбання ОЗ (комутатори, телевізор, фронтальний навантажувач, пересувні риштування, м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еблі, побутова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техніка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,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оргтехніка тощо ) – 1762,9 тис. 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грн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Інші НМА (побутова техніка, меблі, холодильники, відео реєстратор тощо) – 149,1 тис. грн.;</w:t>
            </w:r>
          </w:p>
          <w:p w:rsidR="00BF04CE" w:rsidRDefault="00BF04CE" w:rsidP="004F247C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Нематеріальні активи (ліцензії) – 487,6 тис. грн.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2399,6</w:t>
            </w:r>
          </w:p>
          <w:p w:rsidR="00BF04CE" w:rsidRDefault="00BF04CE" w:rsidP="004F24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</w:tc>
      </w:tr>
      <w:tr w:rsidR="003B6AF1" w:rsidTr="004F247C">
        <w:trPr>
          <w:trHeight w:val="172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1" w:rsidRDefault="003B6AF1" w:rsidP="004F247C">
            <w:pPr>
              <w:jc w:val="center"/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eastAsia="en-US"/>
              </w:rPr>
              <w:t>2020 (прогноз)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1" w:rsidRDefault="003B6AF1" w:rsidP="003B6AF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Придбання ОЗ (мережеве телекомунікаційне серверне обладнання та обладнання для захисту мережі, кліматичне та інше обладнання, м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еблі, побутова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техніка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,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комп’ютерна та  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 xml:space="preserve">оргтехніка тощо ) – 1822,0 тис. </w:t>
            </w:r>
            <w:r w:rsidRPr="009A5D9E">
              <w:rPr>
                <w:rFonts w:eastAsia="Calibri"/>
                <w:color w:val="000000"/>
                <w:sz w:val="26"/>
                <w:szCs w:val="26"/>
                <w:lang w:eastAsia="en-US"/>
              </w:rPr>
              <w:t>грн</w:t>
            </w: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.;</w:t>
            </w:r>
          </w:p>
          <w:p w:rsidR="003B6AF1" w:rsidRDefault="003B6AF1" w:rsidP="003B6AF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Інші НМА (побутова техніка, меблі, холодильники, відео реєстратор тощо) – 175,0 тис. грн.;</w:t>
            </w:r>
          </w:p>
          <w:p w:rsidR="003B6AF1" w:rsidRDefault="003B6AF1" w:rsidP="003B6AF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Нематеріальні активи (ліцензії) – 2 млн. 200 тис. грн.</w:t>
            </w:r>
          </w:p>
          <w:p w:rsidR="003B6AF1" w:rsidRDefault="003B6AF1" w:rsidP="003B6AF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  <w:r>
              <w:rPr>
                <w:rFonts w:eastAsia="Calibri"/>
                <w:color w:val="000000"/>
                <w:sz w:val="26"/>
                <w:szCs w:val="26"/>
                <w:lang w:eastAsia="en-US"/>
              </w:rPr>
              <w:t>Модернізація пожежної сигналізації – 2 млн. 968 тис. грн.</w:t>
            </w:r>
          </w:p>
          <w:p w:rsidR="003B6AF1" w:rsidRDefault="003B6AF1" w:rsidP="003B6AF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  <w:p w:rsidR="003B6AF1" w:rsidRDefault="003B6AF1" w:rsidP="003B6AF1">
            <w:pPr>
              <w:rPr>
                <w:rFonts w:eastAsia="Calibri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6AF1" w:rsidRDefault="003B6AF1" w:rsidP="004F247C">
            <w:pPr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7165,0</w:t>
            </w:r>
          </w:p>
        </w:tc>
      </w:tr>
    </w:tbl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ind w:firstLine="709"/>
        <w:jc w:val="both"/>
        <w:rPr>
          <w:color w:val="000000"/>
          <w:sz w:val="28"/>
          <w:szCs w:val="28"/>
        </w:rPr>
      </w:pPr>
    </w:p>
    <w:p w:rsidR="00490FEC" w:rsidRDefault="00490FEC" w:rsidP="00BF04CE">
      <w:pPr>
        <w:ind w:firstLine="709"/>
        <w:jc w:val="both"/>
        <w:rPr>
          <w:color w:val="000000"/>
          <w:sz w:val="28"/>
          <w:szCs w:val="28"/>
        </w:rPr>
      </w:pPr>
    </w:p>
    <w:p w:rsidR="00490FEC" w:rsidRDefault="00490FEC" w:rsidP="00BF04CE">
      <w:pPr>
        <w:ind w:firstLine="709"/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 w:rsidRPr="009A5D9E">
        <w:rPr>
          <w:color w:val="000000"/>
          <w:sz w:val="28"/>
          <w:szCs w:val="28"/>
        </w:rPr>
        <w:t>В 20</w:t>
      </w:r>
      <w:r>
        <w:rPr>
          <w:color w:val="000000"/>
          <w:sz w:val="28"/>
          <w:szCs w:val="28"/>
        </w:rPr>
        <w:t>2</w:t>
      </w:r>
      <w:r w:rsidR="003B6AF1">
        <w:rPr>
          <w:color w:val="000000"/>
          <w:sz w:val="28"/>
          <w:szCs w:val="28"/>
        </w:rPr>
        <w:t>1</w:t>
      </w:r>
      <w:r w:rsidRPr="009A5D9E">
        <w:rPr>
          <w:color w:val="000000"/>
          <w:sz w:val="28"/>
          <w:szCs w:val="28"/>
        </w:rPr>
        <w:t xml:space="preserve"> році  </w:t>
      </w:r>
      <w:r>
        <w:rPr>
          <w:color w:val="000000"/>
          <w:sz w:val="28"/>
          <w:szCs w:val="28"/>
        </w:rPr>
        <w:t xml:space="preserve">на інвестиції </w:t>
      </w:r>
      <w:r w:rsidRPr="009A5D9E">
        <w:rPr>
          <w:color w:val="000000"/>
          <w:sz w:val="28"/>
          <w:szCs w:val="28"/>
        </w:rPr>
        <w:t xml:space="preserve">планується </w:t>
      </w:r>
      <w:r>
        <w:rPr>
          <w:color w:val="000000"/>
          <w:sz w:val="28"/>
          <w:szCs w:val="28"/>
        </w:rPr>
        <w:t>витратити</w:t>
      </w:r>
      <w:r w:rsidRPr="009A5D9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8</w:t>
      </w:r>
      <w:r w:rsidRPr="009A5D9E">
        <w:rPr>
          <w:color w:val="000000"/>
          <w:sz w:val="28"/>
          <w:szCs w:val="28"/>
        </w:rPr>
        <w:t xml:space="preserve"> млн.  грн., а саме:</w:t>
      </w:r>
      <w:r w:rsidRPr="00C542AE">
        <w:rPr>
          <w:color w:val="000000"/>
          <w:sz w:val="28"/>
          <w:szCs w:val="28"/>
        </w:rPr>
        <w:t xml:space="preserve"> </w:t>
      </w:r>
    </w:p>
    <w:p w:rsidR="001A7709" w:rsidRDefault="001A7709" w:rsidP="00BF04CE">
      <w:pPr>
        <w:ind w:firstLine="720"/>
        <w:jc w:val="both"/>
        <w:rPr>
          <w:color w:val="000000"/>
          <w:sz w:val="28"/>
          <w:szCs w:val="28"/>
        </w:rPr>
      </w:pPr>
    </w:p>
    <w:p w:rsidR="00BF04CE" w:rsidRPr="00126465" w:rsidRDefault="00BF04CE" w:rsidP="00BF04CE">
      <w:pPr>
        <w:jc w:val="right"/>
        <w:rPr>
          <w:b/>
        </w:rPr>
      </w:pPr>
      <w:r w:rsidRPr="00126465">
        <w:rPr>
          <w:b/>
        </w:rPr>
        <w:t xml:space="preserve">Таблиця </w:t>
      </w:r>
      <w:r>
        <w:rPr>
          <w:b/>
        </w:rPr>
        <w:t>6</w:t>
      </w:r>
    </w:p>
    <w:p w:rsidR="00BF04CE" w:rsidRPr="00C05108" w:rsidRDefault="00BF04CE" w:rsidP="00BF04CE">
      <w:pPr>
        <w:jc w:val="center"/>
        <w:rPr>
          <w:b/>
          <w:sz w:val="28"/>
          <w:szCs w:val="28"/>
        </w:rPr>
      </w:pPr>
      <w:r w:rsidRPr="002519FB">
        <w:rPr>
          <w:b/>
          <w:sz w:val="28"/>
          <w:szCs w:val="28"/>
        </w:rPr>
        <w:t xml:space="preserve">Капітальні інвестиції </w:t>
      </w:r>
      <w:r w:rsidRPr="00A86297">
        <w:rPr>
          <w:b/>
          <w:sz w:val="28"/>
          <w:szCs w:val="28"/>
        </w:rPr>
        <w:t>на 202</w:t>
      </w:r>
      <w:r w:rsidR="003B6AF1">
        <w:rPr>
          <w:b/>
          <w:sz w:val="28"/>
          <w:szCs w:val="28"/>
        </w:rPr>
        <w:t>1</w:t>
      </w:r>
      <w:r w:rsidRPr="002519FB">
        <w:rPr>
          <w:b/>
          <w:sz w:val="28"/>
          <w:szCs w:val="28"/>
        </w:rPr>
        <w:t xml:space="preserve"> рік</w:t>
      </w:r>
    </w:p>
    <w:p w:rsidR="00BF04CE" w:rsidRPr="009A5D9E" w:rsidRDefault="00BF04CE" w:rsidP="00BF04CE">
      <w:pPr>
        <w:ind w:firstLine="72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</w:t>
      </w:r>
      <w:r w:rsidRPr="00126465">
        <w:rPr>
          <w:color w:val="000000"/>
        </w:rPr>
        <w:t>тис. грн</w:t>
      </w:r>
      <w:r w:rsidRPr="009A5D9E">
        <w:rPr>
          <w:color w:val="000000"/>
          <w:sz w:val="28"/>
          <w:szCs w:val="28"/>
        </w:rPr>
        <w:t>.</w:t>
      </w:r>
    </w:p>
    <w:tbl>
      <w:tblPr>
        <w:tblW w:w="9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0"/>
        <w:gridCol w:w="1522"/>
        <w:gridCol w:w="1609"/>
      </w:tblGrid>
      <w:tr w:rsidR="00BF04CE" w:rsidRPr="00C05108" w:rsidTr="004F247C">
        <w:trPr>
          <w:trHeight w:val="396"/>
        </w:trPr>
        <w:tc>
          <w:tcPr>
            <w:tcW w:w="6660" w:type="dxa"/>
            <w:shd w:val="clear" w:color="auto" w:fill="auto"/>
            <w:vAlign w:val="center"/>
          </w:tcPr>
          <w:p w:rsidR="00BF04CE" w:rsidRPr="0075598B" w:rsidRDefault="00BF04CE" w:rsidP="004F247C">
            <w:pPr>
              <w:jc w:val="center"/>
              <w:rPr>
                <w:b/>
                <w:color w:val="000000"/>
              </w:rPr>
            </w:pPr>
            <w:r w:rsidRPr="0075598B">
              <w:rPr>
                <w:b/>
                <w:color w:val="000000"/>
              </w:rPr>
              <w:t>Назва показника</w:t>
            </w:r>
          </w:p>
        </w:tc>
        <w:tc>
          <w:tcPr>
            <w:tcW w:w="1522" w:type="dxa"/>
          </w:tcPr>
          <w:p w:rsidR="00BF04CE" w:rsidRPr="0075598B" w:rsidRDefault="00BF04CE" w:rsidP="00E1122A">
            <w:pPr>
              <w:jc w:val="center"/>
              <w:rPr>
                <w:b/>
                <w:color w:val="000000"/>
              </w:rPr>
            </w:pPr>
            <w:r w:rsidRPr="0075598B">
              <w:rPr>
                <w:b/>
                <w:color w:val="000000"/>
              </w:rPr>
              <w:t>Сума                                 (з ПДВ), тис. грн.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F04CE" w:rsidRPr="0075598B" w:rsidRDefault="00BF04CE" w:rsidP="004F247C">
            <w:pPr>
              <w:jc w:val="center"/>
              <w:rPr>
                <w:b/>
                <w:color w:val="000000"/>
              </w:rPr>
            </w:pPr>
            <w:r w:rsidRPr="0075598B">
              <w:rPr>
                <w:b/>
                <w:color w:val="000000"/>
              </w:rPr>
              <w:t>Сума                                 (</w:t>
            </w:r>
            <w:proofErr w:type="spellStart"/>
            <w:r w:rsidR="00E1122A">
              <w:rPr>
                <w:b/>
                <w:color w:val="000000"/>
              </w:rPr>
              <w:t>бе</w:t>
            </w:r>
            <w:proofErr w:type="spellEnd"/>
            <w:r w:rsidRPr="0075598B">
              <w:rPr>
                <w:b/>
                <w:color w:val="000000"/>
                <w:lang w:val="ru-RU"/>
              </w:rPr>
              <w:t>з</w:t>
            </w:r>
            <w:r w:rsidRPr="0075598B">
              <w:rPr>
                <w:b/>
                <w:color w:val="000000"/>
              </w:rPr>
              <w:t xml:space="preserve"> ПДВ), тис. грн.</w:t>
            </w:r>
          </w:p>
        </w:tc>
      </w:tr>
      <w:tr w:rsidR="00BF04CE" w:rsidRPr="00C05108" w:rsidTr="004F247C">
        <w:trPr>
          <w:trHeight w:val="1895"/>
        </w:trPr>
        <w:tc>
          <w:tcPr>
            <w:tcW w:w="6660" w:type="dxa"/>
            <w:shd w:val="clear" w:color="auto" w:fill="auto"/>
            <w:vAlign w:val="center"/>
          </w:tcPr>
          <w:p w:rsidR="00BF04CE" w:rsidRPr="00C05108" w:rsidRDefault="00BF04CE" w:rsidP="004F247C">
            <w:pPr>
              <w:rPr>
                <w:i/>
              </w:rPr>
            </w:pPr>
            <w:r w:rsidRPr="00C05108">
              <w:t>Придбання (виготовлення) основних засобів</w:t>
            </w:r>
            <w:r w:rsidRPr="00C05108">
              <w:rPr>
                <w:i/>
              </w:rPr>
              <w:t xml:space="preserve"> </w:t>
            </w:r>
            <w:r w:rsidRPr="00C05108">
              <w:t xml:space="preserve">(вартістю більше 6000 грн. без ПДВ): </w:t>
            </w:r>
          </w:p>
          <w:p w:rsidR="00BF04CE" w:rsidRPr="00C05108" w:rsidRDefault="00BF04CE" w:rsidP="004F247C">
            <w:pPr>
              <w:rPr>
                <w:i/>
              </w:rPr>
            </w:pPr>
            <w:r w:rsidRPr="00C05108">
              <w:rPr>
                <w:i/>
              </w:rPr>
              <w:t xml:space="preserve"> </w:t>
            </w:r>
            <w:r>
              <w:rPr>
                <w:i/>
              </w:rPr>
              <w:t>Обладнання,</w:t>
            </w:r>
            <w:r w:rsidRPr="00C05108">
              <w:rPr>
                <w:i/>
              </w:rPr>
              <w:t xml:space="preserve"> комп’ютерна техніка та оргтехніка, меблі, побутова техніка, килими, текстиль, інструменти, обладнання для захисту мережі від кібератак</w:t>
            </w:r>
            <w:r>
              <w:rPr>
                <w:i/>
              </w:rPr>
              <w:t>,</w:t>
            </w:r>
            <w:r w:rsidRPr="00C05108">
              <w:rPr>
                <w:i/>
              </w:rPr>
              <w:t xml:space="preserve"> т</w:t>
            </w:r>
            <w:r>
              <w:rPr>
                <w:i/>
              </w:rPr>
              <w:t>р</w:t>
            </w:r>
            <w:r w:rsidRPr="00C05108">
              <w:rPr>
                <w:i/>
              </w:rPr>
              <w:t>а</w:t>
            </w:r>
            <w:r>
              <w:rPr>
                <w:i/>
              </w:rPr>
              <w:t xml:space="preserve">нспортні засоби та </w:t>
            </w:r>
            <w:r w:rsidRPr="00C05108">
              <w:rPr>
                <w:i/>
              </w:rPr>
              <w:t xml:space="preserve"> ін. </w:t>
            </w:r>
          </w:p>
        </w:tc>
        <w:tc>
          <w:tcPr>
            <w:tcW w:w="1522" w:type="dxa"/>
            <w:vAlign w:val="center"/>
          </w:tcPr>
          <w:p w:rsidR="00BF04CE" w:rsidRPr="005C5820" w:rsidRDefault="001A7709" w:rsidP="004F247C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>5030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F04CE" w:rsidRPr="00C05108" w:rsidRDefault="001A7709" w:rsidP="004F247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4192</w:t>
            </w:r>
          </w:p>
        </w:tc>
      </w:tr>
      <w:tr w:rsidR="00BF04CE" w:rsidRPr="00C05108" w:rsidTr="004F247C">
        <w:trPr>
          <w:trHeight w:val="1454"/>
        </w:trPr>
        <w:tc>
          <w:tcPr>
            <w:tcW w:w="6660" w:type="dxa"/>
            <w:shd w:val="clear" w:color="auto" w:fill="auto"/>
            <w:vAlign w:val="center"/>
          </w:tcPr>
          <w:p w:rsidR="00BF04CE" w:rsidRPr="00C05108" w:rsidRDefault="00BF04CE" w:rsidP="004F247C">
            <w:r w:rsidRPr="00C05108">
              <w:t>Придбання (виготовлення) інших необоротних матеріальних активів (вартістю менше 6000 грн. без ПДВ):</w:t>
            </w:r>
          </w:p>
          <w:p w:rsidR="00BF04CE" w:rsidRPr="00C05108" w:rsidRDefault="00BF04CE" w:rsidP="004F247C">
            <w:pPr>
              <w:rPr>
                <w:i/>
              </w:rPr>
            </w:pPr>
            <w:r w:rsidRPr="00C05108">
              <w:t xml:space="preserve"> </w:t>
            </w:r>
            <w:r w:rsidRPr="00C05108">
              <w:rPr>
                <w:i/>
              </w:rPr>
              <w:t xml:space="preserve">меблі, побутова техніка, килими, текстиль, інструменти та ін. </w:t>
            </w:r>
          </w:p>
        </w:tc>
        <w:tc>
          <w:tcPr>
            <w:tcW w:w="1522" w:type="dxa"/>
            <w:vAlign w:val="center"/>
          </w:tcPr>
          <w:p w:rsidR="00BF04CE" w:rsidRPr="005C5820" w:rsidRDefault="001A7709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F04CE" w:rsidRPr="00C05108" w:rsidRDefault="001A7709" w:rsidP="004F247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292</w:t>
            </w:r>
          </w:p>
        </w:tc>
      </w:tr>
      <w:tr w:rsidR="00BF04CE" w:rsidRPr="00C05108" w:rsidTr="004F247C">
        <w:trPr>
          <w:trHeight w:val="1611"/>
        </w:trPr>
        <w:tc>
          <w:tcPr>
            <w:tcW w:w="6660" w:type="dxa"/>
            <w:shd w:val="clear" w:color="auto" w:fill="auto"/>
            <w:vAlign w:val="center"/>
          </w:tcPr>
          <w:p w:rsidR="00BF04CE" w:rsidRPr="00C05108" w:rsidRDefault="00BF04CE" w:rsidP="004F247C">
            <w:r w:rsidRPr="00C05108">
              <w:t>Придбання (виготовлення) інших нематеріальних активів:</w:t>
            </w:r>
          </w:p>
          <w:p w:rsidR="00BF04CE" w:rsidRPr="00C05108" w:rsidRDefault="00BF04CE" w:rsidP="004F247C">
            <w:pPr>
              <w:rPr>
                <w:i/>
              </w:rPr>
            </w:pPr>
            <w:r w:rsidRPr="00C05108">
              <w:rPr>
                <w:i/>
              </w:rPr>
              <w:t xml:space="preserve">програмне забезпечення для ПК,  захисту мереж від </w:t>
            </w:r>
            <w:proofErr w:type="spellStart"/>
            <w:r w:rsidRPr="00C05108">
              <w:rPr>
                <w:i/>
              </w:rPr>
              <w:t>кіберзагроз</w:t>
            </w:r>
            <w:proofErr w:type="spellEnd"/>
            <w:r w:rsidRPr="00C05108">
              <w:rPr>
                <w:i/>
              </w:rPr>
              <w:t>, ліцензії клієнтського доступу до ПЗ, антивірусного захисту та інше програмне забезпечення</w:t>
            </w:r>
          </w:p>
        </w:tc>
        <w:tc>
          <w:tcPr>
            <w:tcW w:w="1522" w:type="dxa"/>
            <w:vAlign w:val="center"/>
          </w:tcPr>
          <w:p w:rsidR="00BF04CE" w:rsidRPr="005C5820" w:rsidRDefault="001A7709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</w:t>
            </w:r>
          </w:p>
        </w:tc>
        <w:tc>
          <w:tcPr>
            <w:tcW w:w="1609" w:type="dxa"/>
            <w:shd w:val="clear" w:color="auto" w:fill="auto"/>
            <w:vAlign w:val="center"/>
          </w:tcPr>
          <w:p w:rsidR="00BF04CE" w:rsidRPr="00C05108" w:rsidRDefault="001A7709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ru-RU"/>
              </w:rPr>
              <w:t>1600</w:t>
            </w:r>
          </w:p>
        </w:tc>
      </w:tr>
      <w:tr w:rsidR="00BF04CE" w:rsidRPr="00C05108" w:rsidTr="004F247C">
        <w:trPr>
          <w:trHeight w:val="1301"/>
        </w:trPr>
        <w:tc>
          <w:tcPr>
            <w:tcW w:w="66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4CE" w:rsidRPr="00C05108" w:rsidRDefault="00BF04CE" w:rsidP="001A7709">
            <w:pPr>
              <w:rPr>
                <w:i/>
              </w:rPr>
            </w:pPr>
            <w:r w:rsidRPr="00C05108">
              <w:t xml:space="preserve">Модернізація (добудова, дообладнання, реконструкція) основних засобів: </w:t>
            </w:r>
            <w:r w:rsidRPr="00C05108">
              <w:rPr>
                <w:i/>
              </w:rPr>
              <w:t xml:space="preserve">заміна пожежних адресних комбінованих сповіщувач </w:t>
            </w:r>
            <w:r w:rsidRPr="00C05108">
              <w:rPr>
                <w:i/>
                <w:lang w:val="en-US"/>
              </w:rPr>
              <w:t>Bosch</w:t>
            </w:r>
            <w:r w:rsidRPr="00C05108">
              <w:rPr>
                <w:i/>
              </w:rPr>
              <w:t xml:space="preserve"> </w:t>
            </w:r>
            <w:r w:rsidRPr="00C05108">
              <w:rPr>
                <w:i/>
                <w:lang w:val="en-US"/>
              </w:rPr>
              <w:t>FAP</w:t>
            </w:r>
            <w:r w:rsidRPr="00C05108">
              <w:rPr>
                <w:i/>
              </w:rPr>
              <w:t>-</w:t>
            </w:r>
            <w:r w:rsidRPr="00C05108">
              <w:rPr>
                <w:i/>
                <w:lang w:val="en-US"/>
              </w:rPr>
              <w:t>OTC</w:t>
            </w:r>
            <w:r w:rsidRPr="00C05108">
              <w:rPr>
                <w:i/>
              </w:rPr>
              <w:t>420</w:t>
            </w:r>
            <w:r w:rsidR="001A7709">
              <w:rPr>
                <w:i/>
              </w:rPr>
              <w:t xml:space="preserve"> станції пожежної сигналізації та модернізація системи гарантованого живлення </w:t>
            </w:r>
            <w:r w:rsidR="00BC5F5C">
              <w:rPr>
                <w:i/>
              </w:rPr>
              <w:t xml:space="preserve"> та інші</w:t>
            </w:r>
          </w:p>
        </w:tc>
        <w:tc>
          <w:tcPr>
            <w:tcW w:w="1522" w:type="dxa"/>
            <w:tcBorders>
              <w:bottom w:val="single" w:sz="4" w:space="0" w:color="auto"/>
            </w:tcBorders>
            <w:vAlign w:val="center"/>
          </w:tcPr>
          <w:p w:rsidR="00BF04CE" w:rsidRPr="005C5820" w:rsidRDefault="001A7709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2300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04CE" w:rsidRPr="00C05108" w:rsidRDefault="001A7709" w:rsidP="004F247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1916</w:t>
            </w:r>
          </w:p>
        </w:tc>
      </w:tr>
      <w:tr w:rsidR="00BF04CE" w:rsidRPr="005C5820" w:rsidTr="004F247C">
        <w:trPr>
          <w:trHeight w:val="712"/>
        </w:trPr>
        <w:tc>
          <w:tcPr>
            <w:tcW w:w="6660" w:type="dxa"/>
            <w:shd w:val="clear" w:color="auto" w:fill="FFFF66"/>
            <w:vAlign w:val="center"/>
          </w:tcPr>
          <w:p w:rsidR="00BF04CE" w:rsidRPr="00C05108" w:rsidRDefault="00BF04CE" w:rsidP="004F247C">
            <w:pPr>
              <w:jc w:val="center"/>
              <w:rPr>
                <w:b/>
                <w:color w:val="000000"/>
              </w:rPr>
            </w:pPr>
            <w:r w:rsidRPr="00C05108">
              <w:rPr>
                <w:b/>
                <w:color w:val="000000"/>
              </w:rPr>
              <w:t>РАЗОМ:</w:t>
            </w:r>
          </w:p>
        </w:tc>
        <w:tc>
          <w:tcPr>
            <w:tcW w:w="1522" w:type="dxa"/>
            <w:shd w:val="clear" w:color="auto" w:fill="FFFF66"/>
            <w:vAlign w:val="center"/>
          </w:tcPr>
          <w:p w:rsidR="00BF04CE" w:rsidRPr="005C5820" w:rsidRDefault="001A7709" w:rsidP="004F247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9280</w:t>
            </w:r>
          </w:p>
        </w:tc>
        <w:tc>
          <w:tcPr>
            <w:tcW w:w="1609" w:type="dxa"/>
            <w:shd w:val="clear" w:color="auto" w:fill="FFFF66"/>
            <w:vAlign w:val="center"/>
          </w:tcPr>
          <w:p w:rsidR="00BF04CE" w:rsidRPr="005C5820" w:rsidRDefault="001A7709" w:rsidP="004F247C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8000</w:t>
            </w:r>
          </w:p>
        </w:tc>
      </w:tr>
    </w:tbl>
    <w:p w:rsidR="00BF04CE" w:rsidRPr="009A5D9E" w:rsidRDefault="00BF04CE" w:rsidP="00BF04CE">
      <w:pPr>
        <w:jc w:val="both"/>
        <w:rPr>
          <w:color w:val="000000"/>
          <w:sz w:val="10"/>
          <w:szCs w:val="10"/>
        </w:rPr>
      </w:pPr>
      <w:r w:rsidRPr="009A5D9E">
        <w:rPr>
          <w:color w:val="000000"/>
          <w:sz w:val="28"/>
          <w:szCs w:val="28"/>
        </w:rPr>
        <w:t xml:space="preserve"> </w:t>
      </w:r>
    </w:p>
    <w:p w:rsidR="00BF04CE" w:rsidRDefault="00BF04CE" w:rsidP="00BF04CE">
      <w:pPr>
        <w:rPr>
          <w:b/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</w:p>
    <w:p w:rsidR="00BF04CE" w:rsidRDefault="00BF04CE" w:rsidP="00BF04CE">
      <w:pPr>
        <w:rPr>
          <w:b/>
          <w:color w:val="000000"/>
          <w:sz w:val="28"/>
          <w:szCs w:val="28"/>
        </w:rPr>
      </w:pPr>
    </w:p>
    <w:p w:rsidR="00BF04CE" w:rsidRPr="009A5D9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4. </w:t>
      </w:r>
      <w:r w:rsidRPr="009A5D9E">
        <w:rPr>
          <w:b/>
          <w:color w:val="000000"/>
          <w:sz w:val="28"/>
          <w:szCs w:val="28"/>
        </w:rPr>
        <w:t xml:space="preserve">Обов’язкові платежі ДП «Укрсервіс Мінтрансу» </w:t>
      </w:r>
    </w:p>
    <w:p w:rsidR="00BF04CE" w:rsidRDefault="00BF04CE" w:rsidP="00BF04CE">
      <w:pPr>
        <w:tabs>
          <w:tab w:val="left" w:pos="4253"/>
        </w:tabs>
        <w:ind w:firstLine="720"/>
        <w:jc w:val="center"/>
        <w:rPr>
          <w:b/>
          <w:color w:val="000000"/>
          <w:sz w:val="28"/>
          <w:szCs w:val="28"/>
        </w:rPr>
      </w:pPr>
      <w:r w:rsidRPr="009A5D9E">
        <w:rPr>
          <w:b/>
          <w:color w:val="000000"/>
          <w:sz w:val="28"/>
          <w:szCs w:val="28"/>
        </w:rPr>
        <w:t>до бюджету та державних цільових фондів</w:t>
      </w:r>
    </w:p>
    <w:p w:rsidR="00BF04CE" w:rsidRDefault="00BF04CE" w:rsidP="00BF04CE">
      <w:pPr>
        <w:tabs>
          <w:tab w:val="left" w:pos="4253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BF04CE" w:rsidRPr="009A5D9E" w:rsidRDefault="00BF04CE" w:rsidP="00BF04CE">
      <w:pPr>
        <w:tabs>
          <w:tab w:val="left" w:pos="4253"/>
        </w:tabs>
        <w:ind w:firstLine="720"/>
        <w:jc w:val="center"/>
        <w:rPr>
          <w:b/>
          <w:color w:val="000000"/>
          <w:sz w:val="28"/>
          <w:szCs w:val="28"/>
        </w:rPr>
      </w:pPr>
    </w:p>
    <w:p w:rsidR="00BF04CE" w:rsidRPr="009A5D9E" w:rsidRDefault="00BF04CE" w:rsidP="00BF04CE">
      <w:pPr>
        <w:rPr>
          <w:b/>
          <w:color w:val="000000"/>
          <w:sz w:val="10"/>
          <w:szCs w:val="10"/>
        </w:rPr>
      </w:pPr>
    </w:p>
    <w:p w:rsidR="00BF04CE" w:rsidRDefault="00BF04CE" w:rsidP="00BF04CE">
      <w:pPr>
        <w:ind w:firstLine="709"/>
        <w:jc w:val="both"/>
        <w:rPr>
          <w:color w:val="000000"/>
          <w:sz w:val="28"/>
          <w:szCs w:val="28"/>
        </w:rPr>
      </w:pPr>
      <w:r w:rsidRPr="009A5D9E">
        <w:rPr>
          <w:color w:val="000000"/>
          <w:sz w:val="28"/>
          <w:szCs w:val="28"/>
        </w:rPr>
        <w:t xml:space="preserve">Сплату </w:t>
      </w:r>
      <w:r>
        <w:rPr>
          <w:color w:val="000000"/>
          <w:sz w:val="28"/>
          <w:szCs w:val="28"/>
        </w:rPr>
        <w:t xml:space="preserve">  </w:t>
      </w:r>
      <w:r w:rsidRPr="009A5D9E">
        <w:rPr>
          <w:color w:val="000000"/>
          <w:sz w:val="28"/>
          <w:szCs w:val="28"/>
        </w:rPr>
        <w:t xml:space="preserve">податків </w:t>
      </w:r>
      <w:r>
        <w:rPr>
          <w:color w:val="000000"/>
          <w:sz w:val="28"/>
          <w:szCs w:val="28"/>
        </w:rPr>
        <w:t xml:space="preserve"> </w:t>
      </w:r>
      <w:r w:rsidRPr="009A5D9E">
        <w:rPr>
          <w:color w:val="000000"/>
          <w:sz w:val="28"/>
          <w:szCs w:val="28"/>
        </w:rPr>
        <w:t xml:space="preserve">та зборів </w:t>
      </w:r>
      <w:r>
        <w:rPr>
          <w:color w:val="000000"/>
          <w:sz w:val="28"/>
          <w:szCs w:val="28"/>
        </w:rPr>
        <w:t xml:space="preserve">  </w:t>
      </w:r>
      <w:r w:rsidRPr="009A5D9E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 xml:space="preserve">  </w:t>
      </w:r>
      <w:r w:rsidRPr="009A5D9E">
        <w:rPr>
          <w:color w:val="000000"/>
          <w:sz w:val="28"/>
          <w:szCs w:val="28"/>
        </w:rPr>
        <w:t xml:space="preserve">бюджету </w:t>
      </w:r>
      <w:r>
        <w:rPr>
          <w:color w:val="000000"/>
          <w:sz w:val="28"/>
          <w:szCs w:val="28"/>
        </w:rPr>
        <w:t xml:space="preserve">  </w:t>
      </w:r>
      <w:r w:rsidRPr="009A5D9E">
        <w:rPr>
          <w:color w:val="000000"/>
          <w:sz w:val="28"/>
          <w:szCs w:val="28"/>
        </w:rPr>
        <w:t xml:space="preserve">та </w:t>
      </w:r>
      <w:r>
        <w:rPr>
          <w:color w:val="000000"/>
          <w:sz w:val="28"/>
          <w:szCs w:val="28"/>
        </w:rPr>
        <w:t xml:space="preserve">   </w:t>
      </w:r>
      <w:r w:rsidRPr="009A5D9E">
        <w:rPr>
          <w:color w:val="000000"/>
          <w:sz w:val="28"/>
          <w:szCs w:val="28"/>
        </w:rPr>
        <w:t>державних цільових фондів  ДП «Укрсервіс Мінтрансу» проводить вчасно та у відповідності з чинним законодавством України</w:t>
      </w:r>
      <w:r>
        <w:rPr>
          <w:color w:val="000000"/>
          <w:sz w:val="28"/>
          <w:szCs w:val="28"/>
        </w:rPr>
        <w:t xml:space="preserve">. </w:t>
      </w:r>
    </w:p>
    <w:p w:rsidR="00BF04CE" w:rsidRDefault="00BF04CE" w:rsidP="00BF04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Pr="002201E0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20 рік заплановано коштів на </w:t>
      </w:r>
      <w:r w:rsidRPr="002201E0">
        <w:rPr>
          <w:color w:val="000000"/>
          <w:sz w:val="28"/>
          <w:szCs w:val="28"/>
        </w:rPr>
        <w:t xml:space="preserve"> сплату податків і зборів д</w:t>
      </w:r>
      <w:r>
        <w:rPr>
          <w:color w:val="000000"/>
          <w:sz w:val="28"/>
          <w:szCs w:val="28"/>
        </w:rPr>
        <w:t>о Державного бюджету України  (</w:t>
      </w:r>
      <w:r w:rsidRPr="002201E0">
        <w:rPr>
          <w:color w:val="000000"/>
          <w:sz w:val="28"/>
          <w:szCs w:val="28"/>
        </w:rPr>
        <w:t>податков</w:t>
      </w:r>
      <w:r>
        <w:rPr>
          <w:color w:val="000000"/>
          <w:sz w:val="28"/>
          <w:szCs w:val="28"/>
        </w:rPr>
        <w:t>их</w:t>
      </w:r>
      <w:r w:rsidRPr="002201E0">
        <w:rPr>
          <w:color w:val="000000"/>
          <w:sz w:val="28"/>
          <w:szCs w:val="28"/>
        </w:rPr>
        <w:t xml:space="preserve"> платежі</w:t>
      </w:r>
      <w:r>
        <w:rPr>
          <w:color w:val="000000"/>
          <w:sz w:val="28"/>
          <w:szCs w:val="28"/>
        </w:rPr>
        <w:t>в</w:t>
      </w:r>
      <w:r w:rsidRPr="002201E0">
        <w:rPr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>на  суму</w:t>
      </w:r>
      <w:r w:rsidRPr="002201E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близько 3</w:t>
      </w:r>
      <w:r w:rsidR="001A7709">
        <w:rPr>
          <w:color w:val="000000"/>
          <w:sz w:val="28"/>
          <w:szCs w:val="28"/>
        </w:rPr>
        <w:t>2</w:t>
      </w:r>
      <w:r w:rsidRPr="002201E0">
        <w:rPr>
          <w:color w:val="000000"/>
          <w:sz w:val="28"/>
          <w:szCs w:val="28"/>
        </w:rPr>
        <w:t xml:space="preserve"> млн. </w:t>
      </w:r>
      <w:r w:rsidR="001A7709">
        <w:rPr>
          <w:color w:val="000000"/>
          <w:sz w:val="28"/>
          <w:szCs w:val="28"/>
        </w:rPr>
        <w:t>375</w:t>
      </w:r>
      <w:r w:rsidRPr="002201E0">
        <w:rPr>
          <w:color w:val="000000"/>
          <w:sz w:val="28"/>
          <w:szCs w:val="28"/>
        </w:rPr>
        <w:t xml:space="preserve"> тис. грн., </w:t>
      </w:r>
      <w:r>
        <w:rPr>
          <w:color w:val="000000"/>
          <w:sz w:val="28"/>
          <w:szCs w:val="28"/>
        </w:rPr>
        <w:t xml:space="preserve">у тому числі податок на доходи фізичних осіб у розмірі 8 млн. </w:t>
      </w:r>
      <w:r w:rsidR="001A7709">
        <w:rPr>
          <w:color w:val="000000"/>
          <w:sz w:val="28"/>
          <w:szCs w:val="28"/>
          <w:lang w:val="ru-RU"/>
        </w:rPr>
        <w:t>827</w:t>
      </w:r>
      <w:r w:rsidR="001A7709">
        <w:rPr>
          <w:color w:val="000000"/>
          <w:sz w:val="28"/>
          <w:szCs w:val="28"/>
        </w:rPr>
        <w:t xml:space="preserve"> тис. грн.</w:t>
      </w:r>
    </w:p>
    <w:p w:rsidR="00BF04CE" w:rsidRDefault="00BF04CE" w:rsidP="00BF04CE">
      <w:pPr>
        <w:ind w:firstLine="709"/>
        <w:jc w:val="both"/>
        <w:rPr>
          <w:color w:val="000000"/>
          <w:sz w:val="28"/>
          <w:szCs w:val="28"/>
        </w:rPr>
      </w:pPr>
    </w:p>
    <w:p w:rsidR="00E1122A" w:rsidRDefault="00E1122A" w:rsidP="00BF04CE">
      <w:pPr>
        <w:ind w:firstLine="709"/>
        <w:jc w:val="both"/>
        <w:rPr>
          <w:color w:val="000000"/>
          <w:sz w:val="28"/>
          <w:szCs w:val="28"/>
        </w:rPr>
      </w:pPr>
    </w:p>
    <w:p w:rsidR="00E1122A" w:rsidRDefault="00E1122A" w:rsidP="00BF04CE">
      <w:pPr>
        <w:ind w:firstLine="709"/>
        <w:jc w:val="both"/>
        <w:rPr>
          <w:color w:val="000000"/>
          <w:sz w:val="28"/>
          <w:szCs w:val="28"/>
        </w:rPr>
      </w:pPr>
    </w:p>
    <w:p w:rsidR="00E1122A" w:rsidRDefault="00E1122A" w:rsidP="00BF04CE">
      <w:pPr>
        <w:ind w:firstLine="709"/>
        <w:jc w:val="both"/>
        <w:rPr>
          <w:color w:val="000000"/>
          <w:sz w:val="28"/>
          <w:szCs w:val="28"/>
        </w:rPr>
      </w:pPr>
    </w:p>
    <w:p w:rsidR="001A7709" w:rsidRDefault="001A7709" w:rsidP="00BF04CE">
      <w:pPr>
        <w:ind w:firstLine="709"/>
        <w:jc w:val="both"/>
        <w:rPr>
          <w:color w:val="000000"/>
          <w:sz w:val="28"/>
          <w:szCs w:val="28"/>
        </w:rPr>
      </w:pPr>
    </w:p>
    <w:p w:rsidR="001A7709" w:rsidRDefault="001A7709" w:rsidP="00BF04CE">
      <w:pPr>
        <w:ind w:firstLine="709"/>
        <w:jc w:val="both"/>
        <w:rPr>
          <w:color w:val="000000"/>
          <w:sz w:val="28"/>
          <w:szCs w:val="28"/>
        </w:rPr>
      </w:pPr>
    </w:p>
    <w:p w:rsidR="00BF04CE" w:rsidRPr="001A7709" w:rsidRDefault="001A7709" w:rsidP="001A7709">
      <w:pPr>
        <w:ind w:firstLine="709"/>
        <w:jc w:val="right"/>
        <w:rPr>
          <w:b/>
        </w:rPr>
      </w:pPr>
      <w:r w:rsidRPr="001A7709">
        <w:rPr>
          <w:b/>
        </w:rPr>
        <w:t>Таблиця</w:t>
      </w:r>
      <w:r>
        <w:rPr>
          <w:b/>
        </w:rPr>
        <w:t xml:space="preserve"> 7</w:t>
      </w:r>
      <w:r w:rsidRPr="001A7709">
        <w:rPr>
          <w:b/>
        </w:rPr>
        <w:t xml:space="preserve"> </w:t>
      </w:r>
    </w:p>
    <w:p w:rsidR="00BF04CE" w:rsidRDefault="00BF04CE" w:rsidP="00BF04CE">
      <w:pPr>
        <w:ind w:firstLine="709"/>
        <w:jc w:val="both"/>
        <w:rPr>
          <w:color w:val="000000"/>
          <w:sz w:val="28"/>
          <w:szCs w:val="28"/>
        </w:rPr>
      </w:pPr>
    </w:p>
    <w:p w:rsidR="001A7709" w:rsidRDefault="00BF04CE" w:rsidP="00BF04CE">
      <w:pPr>
        <w:jc w:val="center"/>
        <w:rPr>
          <w:b/>
          <w:lang w:val="ru-RU"/>
        </w:rPr>
      </w:pPr>
      <w:r w:rsidRPr="0092557A">
        <w:rPr>
          <w:b/>
        </w:rPr>
        <w:t>Сплата податків, зборів та інших обов’язкових платежів</w:t>
      </w:r>
      <w:r>
        <w:rPr>
          <w:b/>
          <w:lang w:val="ru-RU"/>
        </w:rPr>
        <w:t xml:space="preserve"> </w:t>
      </w:r>
      <w:r w:rsidR="001A7709">
        <w:rPr>
          <w:b/>
          <w:lang w:val="ru-RU"/>
        </w:rPr>
        <w:t xml:space="preserve"> у </w:t>
      </w:r>
      <w:r>
        <w:rPr>
          <w:b/>
          <w:lang w:val="ru-RU"/>
        </w:rPr>
        <w:t>201</w:t>
      </w:r>
      <w:r w:rsidR="001A7709">
        <w:rPr>
          <w:b/>
          <w:lang w:val="ru-RU"/>
        </w:rPr>
        <w:t>9</w:t>
      </w:r>
      <w:r>
        <w:rPr>
          <w:b/>
          <w:lang w:val="ru-RU"/>
        </w:rPr>
        <w:t>-202</w:t>
      </w:r>
      <w:r w:rsidR="001A7709">
        <w:rPr>
          <w:b/>
          <w:lang w:val="ru-RU"/>
        </w:rPr>
        <w:t>1</w:t>
      </w:r>
      <w:r w:rsidRPr="0092557A">
        <w:rPr>
          <w:b/>
          <w:lang w:val="ru-RU"/>
        </w:rPr>
        <w:t xml:space="preserve">  </w:t>
      </w:r>
      <w:proofErr w:type="spellStart"/>
      <w:r w:rsidRPr="0092557A">
        <w:rPr>
          <w:b/>
          <w:lang w:val="ru-RU"/>
        </w:rPr>
        <w:t>рр</w:t>
      </w:r>
      <w:proofErr w:type="spellEnd"/>
      <w:r w:rsidRPr="0092557A">
        <w:rPr>
          <w:b/>
          <w:lang w:val="ru-RU"/>
        </w:rPr>
        <w:t>.</w:t>
      </w:r>
      <w:r w:rsidR="001A7709">
        <w:rPr>
          <w:b/>
          <w:lang w:val="ru-RU"/>
        </w:rPr>
        <w:t xml:space="preserve"> </w:t>
      </w:r>
    </w:p>
    <w:p w:rsidR="00BF04CE" w:rsidRDefault="001A7709" w:rsidP="001A7709">
      <w:pPr>
        <w:jc w:val="right"/>
        <w:rPr>
          <w:b/>
          <w:lang w:val="ru-RU"/>
        </w:rPr>
      </w:pPr>
      <w:r>
        <w:rPr>
          <w:b/>
          <w:lang w:val="ru-RU"/>
        </w:rPr>
        <w:t>тис. грн.</w:t>
      </w:r>
    </w:p>
    <w:tbl>
      <w:tblPr>
        <w:tblW w:w="10049" w:type="dxa"/>
        <w:tblInd w:w="-5" w:type="dxa"/>
        <w:tblLook w:val="04A0" w:firstRow="1" w:lastRow="0" w:firstColumn="1" w:lastColumn="0" w:noHBand="0" w:noVBand="1"/>
      </w:tblPr>
      <w:tblGrid>
        <w:gridCol w:w="1116"/>
        <w:gridCol w:w="2935"/>
        <w:gridCol w:w="1457"/>
        <w:gridCol w:w="1381"/>
        <w:gridCol w:w="1703"/>
        <w:gridCol w:w="1457"/>
      </w:tblGrid>
      <w:tr w:rsidR="001A7709" w:rsidRPr="001A7709" w:rsidTr="001A7709">
        <w:trPr>
          <w:trHeight w:val="768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КОДИ РЯДКА ФП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Найменування показника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Факт 2019 рік, грн.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План 2020 рік, грн.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Прогноз 2020 рік, грн.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План 2021 рік, грн.</w:t>
            </w:r>
          </w:p>
        </w:tc>
      </w:tr>
      <w:tr w:rsidR="001A7709" w:rsidRPr="001A7709" w:rsidTr="001A7709">
        <w:trPr>
          <w:trHeight w:val="95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709" w:rsidRPr="001A7709" w:rsidRDefault="001A7709" w:rsidP="001A7709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b/>
                <w:bCs/>
                <w:color w:val="00206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2060"/>
                <w:sz w:val="22"/>
                <w:szCs w:val="22"/>
                <w:lang w:eastAsia="uk-UA"/>
              </w:rPr>
              <w:t>Сплата податків, зборів та інших обов’язкових платежів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1A7709" w:rsidRPr="001A7709" w:rsidTr="00BC5F5C">
        <w:trPr>
          <w:trHeight w:val="121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2110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Сплата  податків, зборів  до Державного бюджету України (податкові платежі), усього,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15411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23439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18232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20542</w:t>
            </w:r>
          </w:p>
        </w:tc>
      </w:tr>
      <w:tr w:rsidR="001A7709" w:rsidRPr="001A7709" w:rsidTr="001A7709">
        <w:trPr>
          <w:trHeight w:val="7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2111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Податок на прибуток підприємств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4217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1A7709" w:rsidRPr="001A7709" w:rsidTr="001A7709">
        <w:trPr>
          <w:trHeight w:val="79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2112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 xml:space="preserve">ПДВ, що підлягає сплаті до бюджету за підсумками звітного періоду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8948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11253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10734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11711</w:t>
            </w:r>
          </w:p>
        </w:tc>
      </w:tr>
      <w:tr w:rsidR="001A7709" w:rsidRPr="001A7709" w:rsidTr="001A7709">
        <w:trPr>
          <w:trHeight w:val="51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i/>
                <w:iCs/>
                <w:color w:val="000000"/>
                <w:sz w:val="22"/>
                <w:szCs w:val="22"/>
                <w:lang w:eastAsia="uk-UA"/>
              </w:rPr>
              <w:t>2114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FF0000"/>
                <w:sz w:val="22"/>
                <w:szCs w:val="22"/>
                <w:lang w:eastAsia="uk-UA"/>
              </w:rPr>
            </w:pPr>
            <w:r w:rsidRPr="001A7709">
              <w:rPr>
                <w:color w:val="FF0000"/>
                <w:sz w:val="22"/>
                <w:szCs w:val="22"/>
                <w:lang w:eastAsia="uk-UA"/>
              </w:rPr>
              <w:t>Акцизний податок (алкоголь 5%)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3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4</w:t>
            </w:r>
          </w:p>
        </w:tc>
      </w:tr>
      <w:tr w:rsidR="001A7709" w:rsidRPr="001A7709" w:rsidTr="001A7709">
        <w:trPr>
          <w:trHeight w:val="5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2118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Податок з доходів фізичних осіб (НДФЛ)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6462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7965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7495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8827</w:t>
            </w:r>
          </w:p>
        </w:tc>
      </w:tr>
      <w:tr w:rsidR="001A7709" w:rsidRPr="001A7709" w:rsidTr="00BC5F5C">
        <w:trPr>
          <w:trHeight w:val="714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2119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i/>
                <w:iCs/>
                <w:color w:val="000000"/>
                <w:sz w:val="22"/>
                <w:szCs w:val="22"/>
                <w:lang w:eastAsia="uk-UA"/>
              </w:rPr>
              <w:t>інші податки та збори (розшифрувати)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538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664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625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736</w:t>
            </w:r>
          </w:p>
        </w:tc>
      </w:tr>
      <w:tr w:rsidR="001A7709" w:rsidRPr="001A7709" w:rsidTr="001A7709">
        <w:trPr>
          <w:trHeight w:val="26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2119/1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Військовий збір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538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664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625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736</w:t>
            </w:r>
          </w:p>
        </w:tc>
      </w:tr>
      <w:tr w:rsidR="001A7709" w:rsidRPr="001A7709" w:rsidTr="00BC5F5C">
        <w:trPr>
          <w:trHeight w:val="133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2120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Сплата податків та зборів до місцевих бюджетів (податкові платежі), усього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580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211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211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230</w:t>
            </w:r>
          </w:p>
        </w:tc>
      </w:tr>
      <w:tr w:rsidR="001A7709" w:rsidRPr="001A7709" w:rsidTr="001A7709">
        <w:trPr>
          <w:trHeight w:val="917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2122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Плата за землю (у складі податку на майно)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570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201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220</w:t>
            </w:r>
          </w:p>
        </w:tc>
      </w:tr>
      <w:tr w:rsidR="001A7709" w:rsidRPr="001A7709" w:rsidTr="001A7709">
        <w:trPr>
          <w:trHeight w:val="28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2123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 xml:space="preserve">орендна плата в бюджет 30% 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 </w:t>
            </w:r>
          </w:p>
        </w:tc>
      </w:tr>
      <w:tr w:rsidR="001A7709" w:rsidRPr="001A7709" w:rsidTr="00BC5F5C">
        <w:trPr>
          <w:trHeight w:val="53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2124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i/>
                <w:i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i/>
                <w:iCs/>
                <w:color w:val="000000"/>
                <w:sz w:val="22"/>
                <w:szCs w:val="22"/>
                <w:lang w:eastAsia="uk-UA"/>
              </w:rPr>
              <w:t>Інші податки та збори, 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9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10</w:t>
            </w:r>
          </w:p>
        </w:tc>
      </w:tr>
      <w:tr w:rsidR="001A7709" w:rsidRPr="001A7709" w:rsidTr="001A7709">
        <w:trPr>
          <w:trHeight w:val="45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2124/1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патенти та ліцензії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8</w:t>
            </w:r>
          </w:p>
        </w:tc>
      </w:tr>
      <w:tr w:rsidR="001A7709" w:rsidRPr="001A7709" w:rsidTr="001A7709">
        <w:trPr>
          <w:trHeight w:val="458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2124/3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екологічний податок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</w:t>
            </w:r>
          </w:p>
        </w:tc>
      </w:tr>
      <w:tr w:rsidR="001A7709" w:rsidRPr="001A7709" w:rsidTr="00BC5F5C">
        <w:trPr>
          <w:trHeight w:val="809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2130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Інші податки, збори на користь держави,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7711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9735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9236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10867</w:t>
            </w:r>
          </w:p>
        </w:tc>
      </w:tr>
      <w:tr w:rsidR="001A7709" w:rsidRPr="001A7709" w:rsidTr="001A7709">
        <w:trPr>
          <w:trHeight w:val="102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2133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Єдиний внесок на загальнообов’язкове державне соціальне страхування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7711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9735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9236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color w:val="000000"/>
                <w:sz w:val="22"/>
                <w:szCs w:val="22"/>
                <w:lang w:eastAsia="uk-UA"/>
              </w:rPr>
              <w:t>10867</w:t>
            </w:r>
          </w:p>
        </w:tc>
      </w:tr>
      <w:tr w:rsidR="001A7709" w:rsidRPr="001A7709" w:rsidTr="00BC5F5C">
        <w:trPr>
          <w:trHeight w:val="51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2140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Погашення податкового боргу, усього, у тому числі: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0</w:t>
            </w:r>
          </w:p>
        </w:tc>
      </w:tr>
      <w:tr w:rsidR="001A7709" w:rsidRPr="001A7709" w:rsidTr="00BC5F5C">
        <w:trPr>
          <w:trHeight w:val="512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 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УСЬОГО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24240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34049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28304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7709" w:rsidRPr="001A7709" w:rsidRDefault="001A7709" w:rsidP="001A7709">
            <w:pPr>
              <w:jc w:val="center"/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1A7709">
              <w:rPr>
                <w:b/>
                <w:bCs/>
                <w:color w:val="000000"/>
                <w:sz w:val="22"/>
                <w:szCs w:val="22"/>
                <w:lang w:eastAsia="uk-UA"/>
              </w:rPr>
              <w:t>32375</w:t>
            </w:r>
          </w:p>
        </w:tc>
      </w:tr>
    </w:tbl>
    <w:p w:rsidR="001A7709" w:rsidRDefault="001A7709" w:rsidP="00BF04CE">
      <w:pPr>
        <w:jc w:val="center"/>
        <w:rPr>
          <w:b/>
          <w:lang w:val="ru-RU"/>
        </w:rPr>
      </w:pPr>
    </w:p>
    <w:p w:rsidR="00BF04CE" w:rsidRDefault="00BF04CE" w:rsidP="00BF04CE">
      <w:pPr>
        <w:jc w:val="center"/>
        <w:rPr>
          <w:b/>
          <w:lang w:val="ru-RU"/>
        </w:rPr>
      </w:pPr>
    </w:p>
    <w:p w:rsidR="00BF04CE" w:rsidRDefault="00BF04CE" w:rsidP="00BF04CE">
      <w:pPr>
        <w:jc w:val="center"/>
        <w:rPr>
          <w:b/>
          <w:lang w:val="ru-RU"/>
        </w:rPr>
      </w:pPr>
    </w:p>
    <w:p w:rsidR="00BC5F5C" w:rsidRDefault="00BC5F5C" w:rsidP="00BF04CE">
      <w:pPr>
        <w:jc w:val="center"/>
        <w:rPr>
          <w:b/>
          <w:lang w:val="ru-RU"/>
        </w:rPr>
      </w:pPr>
    </w:p>
    <w:p w:rsidR="00BF04CE" w:rsidRDefault="00BF04CE" w:rsidP="00BF04CE">
      <w:pPr>
        <w:jc w:val="right"/>
        <w:rPr>
          <w:b/>
          <w:lang w:val="ru-RU"/>
        </w:rPr>
      </w:pPr>
      <w:r w:rsidRPr="00126465">
        <w:rPr>
          <w:b/>
        </w:rPr>
        <w:t xml:space="preserve">Таблиця </w:t>
      </w:r>
      <w:r>
        <w:rPr>
          <w:b/>
          <w:lang w:val="ru-RU"/>
        </w:rPr>
        <w:t>8</w:t>
      </w:r>
    </w:p>
    <w:p w:rsidR="00BC5F5C" w:rsidRPr="00A103EF" w:rsidRDefault="00BC5F5C" w:rsidP="00BF04CE">
      <w:pPr>
        <w:jc w:val="right"/>
        <w:rPr>
          <w:b/>
          <w:lang w:val="ru-RU"/>
        </w:rPr>
      </w:pPr>
    </w:p>
    <w:p w:rsidR="00BF04CE" w:rsidRPr="0026277F" w:rsidRDefault="00BF04CE" w:rsidP="00BF04CE">
      <w:pPr>
        <w:jc w:val="center"/>
        <w:rPr>
          <w:b/>
          <w:color w:val="000000"/>
          <w:sz w:val="28"/>
          <w:szCs w:val="28"/>
        </w:rPr>
      </w:pPr>
      <w:r w:rsidRPr="0026277F">
        <w:rPr>
          <w:b/>
          <w:color w:val="000000"/>
          <w:sz w:val="28"/>
          <w:szCs w:val="28"/>
        </w:rPr>
        <w:t xml:space="preserve">Інформація </w:t>
      </w:r>
    </w:p>
    <w:p w:rsidR="00BF04CE" w:rsidRPr="0026277F" w:rsidRDefault="00BF04CE" w:rsidP="00BF04CE">
      <w:pPr>
        <w:jc w:val="center"/>
        <w:rPr>
          <w:b/>
          <w:color w:val="000000"/>
          <w:sz w:val="28"/>
          <w:szCs w:val="28"/>
        </w:rPr>
      </w:pPr>
      <w:r w:rsidRPr="0026277F">
        <w:rPr>
          <w:b/>
          <w:color w:val="000000"/>
          <w:sz w:val="28"/>
          <w:szCs w:val="28"/>
        </w:rPr>
        <w:t xml:space="preserve">щодо боргів по поворотній фінансовій допомозі </w:t>
      </w:r>
    </w:p>
    <w:p w:rsidR="00BF04CE" w:rsidRPr="0026277F" w:rsidRDefault="00BF04CE" w:rsidP="00BF04CE">
      <w:pPr>
        <w:jc w:val="center"/>
        <w:rPr>
          <w:b/>
          <w:color w:val="000000"/>
          <w:sz w:val="28"/>
          <w:szCs w:val="28"/>
        </w:rPr>
      </w:pPr>
      <w:r w:rsidRPr="0026277F">
        <w:rPr>
          <w:b/>
          <w:color w:val="000000"/>
          <w:sz w:val="28"/>
          <w:szCs w:val="28"/>
        </w:rPr>
        <w:t>на реконструкцію адміністративної будівлі Міністерства інфраструктури України</w:t>
      </w:r>
    </w:p>
    <w:p w:rsidR="00BF04CE" w:rsidRPr="004229C8" w:rsidRDefault="00BF04CE" w:rsidP="00BF04CE">
      <w:pPr>
        <w:jc w:val="center"/>
        <w:rPr>
          <w:color w:val="000000"/>
        </w:rPr>
      </w:pPr>
      <w:r>
        <w:rPr>
          <w:color w:val="000000"/>
        </w:rPr>
        <w:t>станом на 31.</w:t>
      </w:r>
      <w:r w:rsidR="00384D18">
        <w:rPr>
          <w:color w:val="000000"/>
        </w:rPr>
        <w:t>03.20</w:t>
      </w:r>
    </w:p>
    <w:p w:rsidR="00BF04CE" w:rsidRDefault="00BF04CE" w:rsidP="00BF04CE">
      <w:pPr>
        <w:jc w:val="center"/>
        <w:rPr>
          <w:b/>
          <w:color w:val="000000"/>
        </w:rPr>
      </w:pPr>
    </w:p>
    <w:p w:rsidR="00BF04CE" w:rsidRPr="0092557A" w:rsidRDefault="00BF04CE" w:rsidP="00BF04CE">
      <w:pPr>
        <w:jc w:val="center"/>
        <w:rPr>
          <w:b/>
          <w:color w:val="000000"/>
        </w:rPr>
      </w:pP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7"/>
        <w:gridCol w:w="1975"/>
        <w:gridCol w:w="2954"/>
      </w:tblGrid>
      <w:tr w:rsidR="00BF04CE" w:rsidRPr="009A5D9E" w:rsidTr="004F247C">
        <w:tc>
          <w:tcPr>
            <w:tcW w:w="5098" w:type="dxa"/>
            <w:shd w:val="pct25" w:color="auto" w:fill="auto"/>
            <w:vAlign w:val="center"/>
          </w:tcPr>
          <w:p w:rsidR="00BF04CE" w:rsidRPr="0092557A" w:rsidRDefault="00BF04CE" w:rsidP="004F247C">
            <w:pPr>
              <w:jc w:val="center"/>
              <w:rPr>
                <w:b/>
                <w:color w:val="000000"/>
              </w:rPr>
            </w:pPr>
            <w:r w:rsidRPr="0092557A">
              <w:rPr>
                <w:b/>
                <w:color w:val="000000"/>
              </w:rPr>
              <w:t>Показник</w:t>
            </w:r>
          </w:p>
        </w:tc>
        <w:tc>
          <w:tcPr>
            <w:tcW w:w="1985" w:type="dxa"/>
            <w:shd w:val="pct25" w:color="auto" w:fill="auto"/>
            <w:vAlign w:val="center"/>
          </w:tcPr>
          <w:p w:rsidR="00BF04CE" w:rsidRPr="0092557A" w:rsidRDefault="00BF04CE" w:rsidP="004F247C">
            <w:pPr>
              <w:jc w:val="center"/>
              <w:rPr>
                <w:b/>
                <w:color w:val="000000"/>
              </w:rPr>
            </w:pPr>
            <w:r w:rsidRPr="0092557A">
              <w:rPr>
                <w:b/>
                <w:color w:val="000000"/>
              </w:rPr>
              <w:t xml:space="preserve">Сума, </w:t>
            </w:r>
            <w:r>
              <w:rPr>
                <w:b/>
                <w:color w:val="000000"/>
              </w:rPr>
              <w:t>млн</w:t>
            </w:r>
            <w:r w:rsidRPr="0092557A">
              <w:rPr>
                <w:b/>
                <w:color w:val="000000"/>
              </w:rPr>
              <w:t>. грн.</w:t>
            </w:r>
          </w:p>
        </w:tc>
        <w:tc>
          <w:tcPr>
            <w:tcW w:w="2970" w:type="dxa"/>
            <w:shd w:val="pct25" w:color="auto" w:fill="auto"/>
            <w:vAlign w:val="center"/>
          </w:tcPr>
          <w:p w:rsidR="00BF04CE" w:rsidRPr="0092557A" w:rsidRDefault="00BF04CE" w:rsidP="004F247C">
            <w:pPr>
              <w:jc w:val="center"/>
              <w:rPr>
                <w:b/>
                <w:color w:val="000000"/>
              </w:rPr>
            </w:pPr>
            <w:r w:rsidRPr="0092557A">
              <w:rPr>
                <w:b/>
                <w:color w:val="000000"/>
              </w:rPr>
              <w:t>Примітка</w:t>
            </w:r>
          </w:p>
        </w:tc>
      </w:tr>
      <w:tr w:rsidR="00BF04CE" w:rsidRPr="009A5D9E" w:rsidTr="004F247C">
        <w:trPr>
          <w:trHeight w:val="441"/>
        </w:trPr>
        <w:tc>
          <w:tcPr>
            <w:tcW w:w="5098" w:type="dxa"/>
            <w:shd w:val="clear" w:color="auto" w:fill="auto"/>
            <w:vAlign w:val="center"/>
          </w:tcPr>
          <w:p w:rsidR="00BF04CE" w:rsidRDefault="00BF04CE" w:rsidP="004F247C">
            <w:pPr>
              <w:rPr>
                <w:color w:val="000000"/>
              </w:rPr>
            </w:pPr>
          </w:p>
          <w:p w:rsidR="00BF04CE" w:rsidRDefault="00BF04CE" w:rsidP="004F247C">
            <w:pPr>
              <w:rPr>
                <w:color w:val="000000"/>
              </w:rPr>
            </w:pPr>
            <w:r w:rsidRPr="004229C8">
              <w:rPr>
                <w:color w:val="000000"/>
              </w:rPr>
              <w:t xml:space="preserve">Загальна сума заборгованості ДП «Укрсервіс Мінтрансу» перед позичальниками фінансової допомоги – підприємствами галузі  </w:t>
            </w:r>
          </w:p>
          <w:p w:rsidR="00BF04CE" w:rsidRPr="004229C8" w:rsidRDefault="00BF04CE" w:rsidP="004F247C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04CE" w:rsidRPr="0092557A" w:rsidRDefault="00BF04CE" w:rsidP="004F247C">
            <w:pPr>
              <w:jc w:val="center"/>
              <w:rPr>
                <w:b/>
                <w:color w:val="000000"/>
              </w:rPr>
            </w:pPr>
            <w:r w:rsidRPr="0026277F">
              <w:rPr>
                <w:b/>
                <w:color w:val="000000"/>
              </w:rPr>
              <w:t>134,822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F04CE" w:rsidRPr="004229C8" w:rsidRDefault="00BF04CE" w:rsidP="004F247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За </w:t>
            </w:r>
            <w:r w:rsidRPr="004229C8">
              <w:rPr>
                <w:color w:val="000000"/>
                <w:sz w:val="22"/>
                <w:szCs w:val="22"/>
              </w:rPr>
              <w:t>договор</w:t>
            </w:r>
            <w:r>
              <w:rPr>
                <w:color w:val="000000"/>
                <w:sz w:val="22"/>
                <w:szCs w:val="22"/>
              </w:rPr>
              <w:t>ами</w:t>
            </w:r>
            <w:r w:rsidRPr="004229C8">
              <w:rPr>
                <w:color w:val="000000"/>
                <w:sz w:val="22"/>
                <w:szCs w:val="22"/>
              </w:rPr>
              <w:t xml:space="preserve"> та угодам </w:t>
            </w:r>
          </w:p>
        </w:tc>
      </w:tr>
      <w:tr w:rsidR="00BF04CE" w:rsidRPr="009A5D9E" w:rsidTr="004F247C">
        <w:trPr>
          <w:trHeight w:val="441"/>
        </w:trPr>
        <w:tc>
          <w:tcPr>
            <w:tcW w:w="5098" w:type="dxa"/>
            <w:shd w:val="clear" w:color="auto" w:fill="auto"/>
            <w:vAlign w:val="center"/>
          </w:tcPr>
          <w:p w:rsidR="00BF04CE" w:rsidRDefault="00BF04CE" w:rsidP="004F247C">
            <w:pPr>
              <w:rPr>
                <w:color w:val="000000"/>
              </w:rPr>
            </w:pPr>
          </w:p>
          <w:p w:rsidR="00BF04CE" w:rsidRDefault="00BF04CE" w:rsidP="004F247C">
            <w:pPr>
              <w:rPr>
                <w:color w:val="000000"/>
              </w:rPr>
            </w:pPr>
            <w:r w:rsidRPr="004229C8">
              <w:rPr>
                <w:color w:val="000000"/>
              </w:rPr>
              <w:t xml:space="preserve">Загальна сума заборгованості  Міністерства  інфраструктури України (довірителя) перед  ДП «Укрсервіс Мінтрансу» (повіреним) </w:t>
            </w:r>
          </w:p>
          <w:p w:rsidR="00BF04CE" w:rsidRPr="004229C8" w:rsidRDefault="00BF04CE" w:rsidP="004F247C">
            <w:pPr>
              <w:rPr>
                <w:color w:val="00000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F04CE" w:rsidRDefault="00BF04CE" w:rsidP="004F247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148,479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BF04CE" w:rsidRPr="004229C8" w:rsidRDefault="00BF04CE" w:rsidP="004F247C">
            <w:pPr>
              <w:jc w:val="center"/>
              <w:rPr>
                <w:color w:val="000000"/>
                <w:sz w:val="22"/>
                <w:szCs w:val="22"/>
              </w:rPr>
            </w:pPr>
            <w:r w:rsidRPr="004229C8">
              <w:rPr>
                <w:sz w:val="22"/>
                <w:szCs w:val="22"/>
              </w:rPr>
              <w:t xml:space="preserve">договір доручення </w:t>
            </w:r>
            <w:r w:rsidRPr="0026277F">
              <w:rPr>
                <w:sz w:val="22"/>
                <w:szCs w:val="22"/>
              </w:rPr>
              <w:t>№000/030-2002 від 11.11.</w:t>
            </w:r>
            <w:r w:rsidRPr="004229C8">
              <w:rPr>
                <w:sz w:val="22"/>
                <w:szCs w:val="22"/>
              </w:rPr>
              <w:t>2002р.</w:t>
            </w:r>
          </w:p>
        </w:tc>
      </w:tr>
    </w:tbl>
    <w:p w:rsidR="00BF04CE" w:rsidRDefault="00BF04CE" w:rsidP="00BF04CE">
      <w:pPr>
        <w:jc w:val="both"/>
        <w:rPr>
          <w:color w:val="000000"/>
          <w:sz w:val="28"/>
          <w:szCs w:val="28"/>
        </w:rPr>
      </w:pPr>
      <w:r w:rsidRPr="00B81227">
        <w:rPr>
          <w:color w:val="000000"/>
          <w:sz w:val="28"/>
          <w:szCs w:val="28"/>
        </w:rPr>
        <w:t xml:space="preserve"> </w:t>
      </w:r>
    </w:p>
    <w:p w:rsidR="00BC5F5C" w:rsidRDefault="00BC5F5C" w:rsidP="00BF04CE">
      <w:pPr>
        <w:jc w:val="both"/>
        <w:rPr>
          <w:color w:val="000000"/>
          <w:sz w:val="28"/>
          <w:szCs w:val="28"/>
        </w:rPr>
      </w:pPr>
    </w:p>
    <w:p w:rsidR="00BF04CE" w:rsidRPr="0026277F" w:rsidRDefault="00BF04CE" w:rsidP="00BF04CE">
      <w:pPr>
        <w:ind w:firstLine="709"/>
        <w:jc w:val="both"/>
        <w:rPr>
          <w:i/>
          <w:color w:val="FFFFFF" w:themeColor="background1"/>
          <w:sz w:val="28"/>
          <w:szCs w:val="28"/>
        </w:rPr>
      </w:pPr>
    </w:p>
    <w:p w:rsidR="00BF04CE" w:rsidRDefault="00BF04CE" w:rsidP="00BF04C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виконання Наказу Міністерства транспорту України від 11.11.2002 №798  «Про фінансування робіт про реконструкцію будівлі за </w:t>
      </w:r>
      <w:r w:rsidRPr="00743D80">
        <w:rPr>
          <w:color w:val="000000"/>
          <w:sz w:val="28"/>
          <w:szCs w:val="28"/>
        </w:rPr>
        <w:t>адресом</w:t>
      </w:r>
      <w:r>
        <w:rPr>
          <w:color w:val="000000"/>
          <w:sz w:val="28"/>
          <w:szCs w:val="28"/>
        </w:rPr>
        <w:t xml:space="preserve"> пр. Перемоги, 14» та Договору доручення від 11.11.2002 №000/030-2002   у 2020</w:t>
      </w:r>
      <w:r w:rsidRPr="009A5D9E">
        <w:rPr>
          <w:color w:val="000000"/>
          <w:sz w:val="28"/>
          <w:szCs w:val="28"/>
        </w:rPr>
        <w:t xml:space="preserve"> році</w:t>
      </w:r>
      <w:r>
        <w:rPr>
          <w:color w:val="000000"/>
          <w:sz w:val="28"/>
          <w:szCs w:val="28"/>
        </w:rPr>
        <w:t xml:space="preserve"> </w:t>
      </w:r>
      <w:r w:rsidRPr="009A5D9E">
        <w:rPr>
          <w:color w:val="000000"/>
          <w:sz w:val="28"/>
          <w:szCs w:val="28"/>
        </w:rPr>
        <w:t xml:space="preserve">ДП «Укрсервіс Мінтрансу» </w:t>
      </w:r>
      <w:r>
        <w:rPr>
          <w:color w:val="000000" w:themeColor="text1"/>
          <w:sz w:val="28"/>
          <w:szCs w:val="28"/>
        </w:rPr>
        <w:t xml:space="preserve">спільно з Міністерством  інфраструктури України </w:t>
      </w:r>
      <w:r>
        <w:rPr>
          <w:color w:val="000000"/>
          <w:sz w:val="28"/>
          <w:szCs w:val="28"/>
        </w:rPr>
        <w:t xml:space="preserve"> буде опрацьовувати питання  щодо погашення заборгованості з  </w:t>
      </w:r>
      <w:r w:rsidRPr="009A5D9E">
        <w:rPr>
          <w:color w:val="000000"/>
          <w:sz w:val="28"/>
          <w:szCs w:val="28"/>
        </w:rPr>
        <w:t>поворотн</w:t>
      </w:r>
      <w:r>
        <w:rPr>
          <w:color w:val="000000"/>
          <w:sz w:val="28"/>
          <w:szCs w:val="28"/>
        </w:rPr>
        <w:t>ої</w:t>
      </w:r>
      <w:r w:rsidRPr="009A5D9E">
        <w:rPr>
          <w:color w:val="000000"/>
          <w:sz w:val="28"/>
          <w:szCs w:val="28"/>
        </w:rPr>
        <w:t xml:space="preserve"> фінансов</w:t>
      </w:r>
      <w:r>
        <w:rPr>
          <w:color w:val="000000"/>
          <w:sz w:val="28"/>
          <w:szCs w:val="28"/>
        </w:rPr>
        <w:t>ої</w:t>
      </w:r>
      <w:r w:rsidRPr="009A5D9E">
        <w:rPr>
          <w:color w:val="000000"/>
          <w:sz w:val="28"/>
          <w:szCs w:val="28"/>
        </w:rPr>
        <w:t xml:space="preserve"> допомог</w:t>
      </w:r>
      <w:r>
        <w:rPr>
          <w:color w:val="000000"/>
          <w:sz w:val="28"/>
          <w:szCs w:val="28"/>
        </w:rPr>
        <w:t>и згідно умов</w:t>
      </w:r>
      <w:r w:rsidRPr="009A5D9E">
        <w:rPr>
          <w:color w:val="000000"/>
          <w:sz w:val="28"/>
          <w:szCs w:val="28"/>
        </w:rPr>
        <w:t xml:space="preserve"> договорів та мирови</w:t>
      </w:r>
      <w:r>
        <w:rPr>
          <w:color w:val="000000"/>
          <w:sz w:val="28"/>
          <w:szCs w:val="28"/>
        </w:rPr>
        <w:t>х</w:t>
      </w:r>
      <w:r w:rsidRPr="009A5D9E">
        <w:rPr>
          <w:color w:val="000000"/>
          <w:sz w:val="28"/>
          <w:szCs w:val="28"/>
        </w:rPr>
        <w:t xml:space="preserve"> угод, яка була надана підприємству в </w:t>
      </w:r>
      <w:r w:rsidRPr="00191C7C">
        <w:rPr>
          <w:color w:val="000000"/>
          <w:sz w:val="28"/>
          <w:szCs w:val="28"/>
        </w:rPr>
        <w:t>2003-</w:t>
      </w:r>
      <w:r w:rsidRPr="009A5D9E">
        <w:rPr>
          <w:color w:val="000000"/>
          <w:sz w:val="28"/>
          <w:szCs w:val="28"/>
        </w:rPr>
        <w:t>2004 р</w:t>
      </w:r>
      <w:r w:rsidRPr="00191C7C">
        <w:rPr>
          <w:color w:val="000000"/>
          <w:sz w:val="28"/>
          <w:szCs w:val="28"/>
        </w:rPr>
        <w:t>р.</w:t>
      </w:r>
      <w:r w:rsidRPr="009A5D9E">
        <w:rPr>
          <w:color w:val="000000"/>
          <w:sz w:val="28"/>
          <w:szCs w:val="28"/>
        </w:rPr>
        <w:t xml:space="preserve"> на реконструкцію адміністративної будівлі </w:t>
      </w:r>
      <w:r>
        <w:rPr>
          <w:color w:val="000000" w:themeColor="text1"/>
          <w:sz w:val="28"/>
          <w:szCs w:val="28"/>
        </w:rPr>
        <w:t>Міністерством  інфраструктури України</w:t>
      </w:r>
      <w:r w:rsidRPr="009A5D9E">
        <w:rPr>
          <w:color w:val="000000"/>
          <w:sz w:val="28"/>
          <w:szCs w:val="28"/>
        </w:rPr>
        <w:t>.</w:t>
      </w:r>
    </w:p>
    <w:p w:rsidR="00BF04CE" w:rsidRDefault="00BF04CE" w:rsidP="00BF04CE">
      <w:pPr>
        <w:ind w:firstLine="709"/>
        <w:jc w:val="both"/>
        <w:rPr>
          <w:color w:val="FFFFFF" w:themeColor="background1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B81227">
        <w:rPr>
          <w:color w:val="000000"/>
          <w:sz w:val="28"/>
          <w:szCs w:val="28"/>
        </w:rPr>
        <w:t xml:space="preserve">овернення поворотної фінансової допомоги на реконструкцію </w:t>
      </w:r>
      <w:proofErr w:type="spellStart"/>
      <w:r w:rsidRPr="00B81227">
        <w:rPr>
          <w:color w:val="000000"/>
          <w:sz w:val="28"/>
          <w:szCs w:val="28"/>
        </w:rPr>
        <w:t>адмінбудівлі</w:t>
      </w:r>
      <w:proofErr w:type="spellEnd"/>
      <w:r w:rsidRPr="00B81227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іністерства Інфраструктури України </w:t>
      </w:r>
      <w:r w:rsidRPr="00B81227">
        <w:rPr>
          <w:color w:val="000000"/>
          <w:sz w:val="28"/>
          <w:szCs w:val="28"/>
        </w:rPr>
        <w:t xml:space="preserve">ДП «Укрсервіс Мінтрансу» </w:t>
      </w:r>
      <w:r>
        <w:rPr>
          <w:color w:val="000000"/>
          <w:sz w:val="28"/>
          <w:szCs w:val="28"/>
        </w:rPr>
        <w:t xml:space="preserve"> може здійснювати</w:t>
      </w:r>
      <w:r w:rsidRPr="00B8122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тільки </w:t>
      </w:r>
      <w:r w:rsidRPr="00B81227">
        <w:rPr>
          <w:color w:val="000000"/>
          <w:sz w:val="28"/>
          <w:szCs w:val="28"/>
        </w:rPr>
        <w:t xml:space="preserve">за рахунок вільних грошових коштів, які залишаються після сплати першочергових обов'язкових платежів, а саме: поточних витрат на утримання будівлі, зарплати персоналу, соціальних виплат, інших податків і платежів до бюджету, проведення необхідної модернізації будівлі та інженерних систем, придбання основних засобів і нематеріальних активів і підтримки приміщень в </w:t>
      </w:r>
      <w:r>
        <w:rPr>
          <w:color w:val="000000"/>
          <w:sz w:val="28"/>
          <w:szCs w:val="28"/>
        </w:rPr>
        <w:t>належному стані відповідно законодавчих норм санітарії та безпеки</w:t>
      </w:r>
      <w:r w:rsidRPr="00B81227">
        <w:rPr>
          <w:color w:val="000000"/>
          <w:sz w:val="28"/>
          <w:szCs w:val="28"/>
        </w:rPr>
        <w:t>. Тому враховую</w:t>
      </w:r>
      <w:r w:rsidRPr="007A7B25">
        <w:rPr>
          <w:color w:val="000000"/>
          <w:sz w:val="28"/>
          <w:szCs w:val="28"/>
        </w:rPr>
        <w:t>чи</w:t>
      </w:r>
      <w:r w:rsidRPr="00B81227">
        <w:rPr>
          <w:color w:val="000000"/>
          <w:sz w:val="28"/>
          <w:szCs w:val="28"/>
        </w:rPr>
        <w:t xml:space="preserve"> рівень планових надходжень підприємство </w:t>
      </w:r>
      <w:r>
        <w:rPr>
          <w:color w:val="000000"/>
          <w:sz w:val="28"/>
          <w:szCs w:val="28"/>
        </w:rPr>
        <w:t>не має можливості у</w:t>
      </w:r>
      <w:r w:rsidRPr="00B81227">
        <w:rPr>
          <w:color w:val="000000"/>
          <w:sz w:val="28"/>
          <w:szCs w:val="28"/>
        </w:rPr>
        <w:t xml:space="preserve">  20</w:t>
      </w:r>
      <w:r>
        <w:rPr>
          <w:color w:val="000000"/>
          <w:sz w:val="28"/>
          <w:szCs w:val="28"/>
        </w:rPr>
        <w:t>2</w:t>
      </w:r>
      <w:r w:rsidR="001A7709">
        <w:rPr>
          <w:color w:val="000000"/>
          <w:sz w:val="28"/>
          <w:szCs w:val="28"/>
        </w:rPr>
        <w:t>1</w:t>
      </w:r>
      <w:r w:rsidRPr="00B81227">
        <w:rPr>
          <w:color w:val="000000"/>
          <w:sz w:val="28"/>
          <w:szCs w:val="28"/>
        </w:rPr>
        <w:t xml:space="preserve"> році повер</w:t>
      </w:r>
      <w:r>
        <w:rPr>
          <w:color w:val="000000"/>
          <w:sz w:val="28"/>
          <w:szCs w:val="28"/>
        </w:rPr>
        <w:t>нути</w:t>
      </w:r>
      <w:r w:rsidRPr="00B81227">
        <w:rPr>
          <w:color w:val="000000"/>
          <w:sz w:val="28"/>
          <w:szCs w:val="28"/>
        </w:rPr>
        <w:t xml:space="preserve"> суму заборгованості.</w:t>
      </w:r>
    </w:p>
    <w:p w:rsidR="00BF04CE" w:rsidRDefault="00BF04CE" w:rsidP="00BF04CE">
      <w:pPr>
        <w:ind w:firstLine="709"/>
        <w:jc w:val="both"/>
        <w:rPr>
          <w:color w:val="FFFFFF" w:themeColor="background1"/>
          <w:sz w:val="28"/>
          <w:szCs w:val="28"/>
        </w:rPr>
      </w:pPr>
      <w:r w:rsidRPr="00677421">
        <w:rPr>
          <w:color w:val="FFFFFF" w:themeColor="background1"/>
          <w:sz w:val="28"/>
          <w:szCs w:val="28"/>
        </w:rPr>
        <w:t xml:space="preserve">на 2019  рік ?? млн. ?? тис. грн. </w:t>
      </w:r>
    </w:p>
    <w:p w:rsidR="00BF04CE" w:rsidRDefault="00BF04CE" w:rsidP="00BF04CE">
      <w:pPr>
        <w:ind w:firstLine="720"/>
        <w:jc w:val="center"/>
        <w:rPr>
          <w:color w:val="000000"/>
          <w:sz w:val="28"/>
          <w:szCs w:val="28"/>
        </w:rPr>
      </w:pPr>
    </w:p>
    <w:p w:rsidR="00BC5F5C" w:rsidRDefault="00BC5F5C" w:rsidP="00BF04CE">
      <w:pPr>
        <w:ind w:firstLine="720"/>
        <w:jc w:val="center"/>
        <w:rPr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</w:t>
      </w:r>
      <w:r w:rsidRPr="005358DB">
        <w:rPr>
          <w:b/>
          <w:color w:val="000000"/>
          <w:sz w:val="28"/>
          <w:szCs w:val="28"/>
        </w:rPr>
        <w:t xml:space="preserve"> </w:t>
      </w:r>
      <w:r w:rsidRPr="009A5D9E">
        <w:rPr>
          <w:b/>
          <w:color w:val="000000"/>
          <w:sz w:val="28"/>
          <w:szCs w:val="28"/>
        </w:rPr>
        <w:t>Фінансовий результат</w:t>
      </w:r>
    </w:p>
    <w:p w:rsidR="00BF04C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</w:p>
    <w:p w:rsidR="00BF04CE" w:rsidRDefault="00BF04CE" w:rsidP="00BF04CE">
      <w:pPr>
        <w:ind w:firstLine="567"/>
        <w:jc w:val="both"/>
        <w:rPr>
          <w:color w:val="000000"/>
          <w:sz w:val="28"/>
          <w:szCs w:val="28"/>
        </w:rPr>
      </w:pPr>
      <w:r w:rsidRPr="009A5D9E">
        <w:rPr>
          <w:color w:val="000000"/>
          <w:sz w:val="28"/>
          <w:szCs w:val="28"/>
        </w:rPr>
        <w:t>Фінансовим планом ДП «Укрсервіс Мінтрансу» на 20</w:t>
      </w:r>
      <w:r>
        <w:rPr>
          <w:color w:val="000000"/>
          <w:sz w:val="28"/>
          <w:szCs w:val="28"/>
        </w:rPr>
        <w:t>2</w:t>
      </w:r>
      <w:r w:rsidR="00384D18">
        <w:rPr>
          <w:color w:val="000000"/>
          <w:sz w:val="28"/>
          <w:szCs w:val="28"/>
        </w:rPr>
        <w:t>1</w:t>
      </w:r>
      <w:r w:rsidRPr="009A5D9E">
        <w:rPr>
          <w:color w:val="000000"/>
          <w:sz w:val="28"/>
          <w:szCs w:val="28"/>
        </w:rPr>
        <w:t xml:space="preserve"> рік планується беззбиткова діяльність підприємства.</w:t>
      </w:r>
    </w:p>
    <w:p w:rsidR="00BF04CE" w:rsidRDefault="00BF04CE" w:rsidP="00BF04CE">
      <w:pPr>
        <w:ind w:firstLine="567"/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ind w:firstLine="567"/>
        <w:jc w:val="both"/>
        <w:rPr>
          <w:color w:val="000000"/>
          <w:sz w:val="28"/>
          <w:szCs w:val="28"/>
        </w:rPr>
      </w:pPr>
    </w:p>
    <w:p w:rsidR="00BF04CE" w:rsidRDefault="00BF04CE" w:rsidP="00BF04CE">
      <w:pPr>
        <w:ind w:firstLine="567"/>
        <w:jc w:val="both"/>
        <w:rPr>
          <w:color w:val="000000"/>
          <w:sz w:val="28"/>
          <w:szCs w:val="28"/>
        </w:rPr>
      </w:pPr>
    </w:p>
    <w:p w:rsidR="00BF04CE" w:rsidRPr="00A103EF" w:rsidRDefault="00BF04CE" w:rsidP="00BF04CE">
      <w:pPr>
        <w:jc w:val="right"/>
        <w:rPr>
          <w:b/>
          <w:lang w:val="ru-RU"/>
        </w:rPr>
      </w:pPr>
      <w:r w:rsidRPr="00126465">
        <w:rPr>
          <w:b/>
        </w:rPr>
        <w:t xml:space="preserve">Таблиця </w:t>
      </w:r>
      <w:r>
        <w:rPr>
          <w:b/>
          <w:lang w:val="ru-RU"/>
        </w:rPr>
        <w:t>9</w:t>
      </w:r>
    </w:p>
    <w:p w:rsidR="00BF04CE" w:rsidRPr="0026277F" w:rsidRDefault="00BF04CE" w:rsidP="00BF04CE">
      <w:pPr>
        <w:ind w:firstLine="720"/>
        <w:jc w:val="center"/>
        <w:rPr>
          <w:b/>
          <w:color w:val="000000"/>
          <w:sz w:val="28"/>
          <w:szCs w:val="28"/>
          <w:lang w:val="ru-RU"/>
        </w:rPr>
      </w:pPr>
      <w:r w:rsidRPr="0026277F">
        <w:rPr>
          <w:b/>
          <w:color w:val="000000"/>
          <w:sz w:val="28"/>
          <w:szCs w:val="28"/>
        </w:rPr>
        <w:t>Основні показники прибутковості  в 201</w:t>
      </w:r>
      <w:r w:rsidR="00BC5F5C">
        <w:rPr>
          <w:b/>
          <w:color w:val="000000"/>
          <w:sz w:val="28"/>
          <w:szCs w:val="28"/>
          <w:lang w:val="ru-RU"/>
        </w:rPr>
        <w:t>9</w:t>
      </w:r>
      <w:r w:rsidRPr="0026277F">
        <w:rPr>
          <w:b/>
          <w:color w:val="000000"/>
          <w:sz w:val="28"/>
          <w:szCs w:val="28"/>
        </w:rPr>
        <w:t>-202</w:t>
      </w:r>
      <w:r w:rsidR="00BC5F5C">
        <w:rPr>
          <w:b/>
          <w:color w:val="000000"/>
          <w:sz w:val="28"/>
          <w:szCs w:val="28"/>
        </w:rPr>
        <w:t>1</w:t>
      </w:r>
      <w:r w:rsidRPr="0026277F">
        <w:rPr>
          <w:b/>
          <w:color w:val="000000"/>
          <w:sz w:val="28"/>
          <w:szCs w:val="28"/>
        </w:rPr>
        <w:t xml:space="preserve"> </w:t>
      </w:r>
      <w:proofErr w:type="spellStart"/>
      <w:r w:rsidRPr="0026277F">
        <w:rPr>
          <w:b/>
          <w:color w:val="000000"/>
          <w:sz w:val="28"/>
          <w:szCs w:val="28"/>
        </w:rPr>
        <w:t>р.р</w:t>
      </w:r>
      <w:proofErr w:type="spellEnd"/>
      <w:r w:rsidRPr="0026277F">
        <w:rPr>
          <w:b/>
          <w:color w:val="000000"/>
          <w:sz w:val="28"/>
          <w:szCs w:val="28"/>
        </w:rPr>
        <w:t>.</w:t>
      </w:r>
    </w:p>
    <w:p w:rsidR="00BF04CE" w:rsidRDefault="00BF04CE" w:rsidP="00BF04CE">
      <w:pPr>
        <w:ind w:firstLine="720"/>
        <w:jc w:val="center"/>
        <w:rPr>
          <w:color w:val="000000"/>
        </w:rPr>
      </w:pPr>
      <w:r w:rsidRPr="00C05108">
        <w:rPr>
          <w:color w:val="000000"/>
        </w:rPr>
        <w:t xml:space="preserve">                                                                                                                                             тис. грн.</w:t>
      </w:r>
    </w:p>
    <w:p w:rsidR="00384D18" w:rsidRDefault="00384D18" w:rsidP="00BF04CE">
      <w:pPr>
        <w:ind w:firstLine="720"/>
        <w:jc w:val="center"/>
        <w:rPr>
          <w:color w:val="000000"/>
        </w:rPr>
      </w:pPr>
    </w:p>
    <w:tbl>
      <w:tblPr>
        <w:tblW w:w="9935" w:type="dxa"/>
        <w:tblInd w:w="-5" w:type="dxa"/>
        <w:tblLook w:val="04A0" w:firstRow="1" w:lastRow="0" w:firstColumn="1" w:lastColumn="0" w:noHBand="0" w:noVBand="1"/>
      </w:tblPr>
      <w:tblGrid>
        <w:gridCol w:w="4010"/>
        <w:gridCol w:w="1071"/>
        <w:gridCol w:w="1599"/>
        <w:gridCol w:w="1085"/>
        <w:gridCol w:w="1085"/>
        <w:gridCol w:w="1085"/>
      </w:tblGrid>
      <w:tr w:rsidR="00384D18" w:rsidRPr="00384D18" w:rsidTr="005E083A">
        <w:trPr>
          <w:trHeight w:val="686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Показник/ роки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2019 ФАКТ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2020 ПРОГНОЗ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 xml:space="preserve">2019 ПЛАН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 xml:space="preserve">2020 ПЛАН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 xml:space="preserve">2021 ПЛАН </w:t>
            </w:r>
          </w:p>
        </w:tc>
      </w:tr>
      <w:tr w:rsidR="00384D18" w:rsidRPr="00384D18" w:rsidTr="005E083A">
        <w:trPr>
          <w:trHeight w:val="403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18" w:rsidRPr="00384D18" w:rsidRDefault="00384D18" w:rsidP="00384D18">
            <w:pPr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Валовий прибуток/збиток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-4 712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-5 354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-4 811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4 352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3 854</w:t>
            </w:r>
          </w:p>
        </w:tc>
      </w:tr>
      <w:tr w:rsidR="00384D18" w:rsidRPr="00384D18" w:rsidTr="005E083A">
        <w:trPr>
          <w:trHeight w:val="435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D18" w:rsidRPr="00384D18" w:rsidRDefault="00384D18" w:rsidP="00384D18">
            <w:pPr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Операційний прибуток/ збиток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-86 028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-16 468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-18 283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-7 584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color w:val="000000"/>
                <w:lang w:eastAsia="uk-UA"/>
              </w:rPr>
            </w:pPr>
            <w:r w:rsidRPr="00384D18">
              <w:rPr>
                <w:color w:val="000000"/>
                <w:lang w:eastAsia="uk-UA"/>
              </w:rPr>
              <w:t>-10 962</w:t>
            </w:r>
          </w:p>
        </w:tc>
      </w:tr>
      <w:tr w:rsidR="005E083A" w:rsidRPr="00384D18" w:rsidTr="005E083A">
        <w:trPr>
          <w:trHeight w:val="447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75" w:color="FFFF99" w:fill="FFFF9D"/>
            <w:noWrap/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Чистий прибуток/збиток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FFFF99" w:fill="FFFF9D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-32465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FFFF99" w:fill="FFFF9D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-11389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FFFF99" w:fill="FFFF9D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FFFF99" w:fill="FFFF9D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0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75" w:color="FFFF99" w:fill="FFFF9D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0</w:t>
            </w:r>
          </w:p>
        </w:tc>
      </w:tr>
      <w:tr w:rsidR="00384D18" w:rsidRPr="00384D18" w:rsidTr="005E083A">
        <w:trPr>
          <w:trHeight w:val="468"/>
        </w:trPr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sz w:val="22"/>
                <w:szCs w:val="22"/>
                <w:lang w:eastAsia="uk-UA"/>
              </w:rPr>
            </w:pPr>
            <w:r w:rsidRPr="00384D18">
              <w:rPr>
                <w:b/>
                <w:bCs/>
                <w:color w:val="000000"/>
                <w:sz w:val="22"/>
                <w:szCs w:val="22"/>
                <w:lang w:eastAsia="uk-UA"/>
              </w:rPr>
              <w:t>Реальний чистий прибуток/збиток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-22 321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-3 122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10 144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8 106</w:t>
            </w: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jc w:val="center"/>
              <w:rPr>
                <w:b/>
                <w:bCs/>
                <w:color w:val="000000"/>
                <w:lang w:eastAsia="uk-UA"/>
              </w:rPr>
            </w:pPr>
            <w:r w:rsidRPr="00384D18">
              <w:rPr>
                <w:b/>
                <w:bCs/>
                <w:color w:val="000000"/>
                <w:lang w:eastAsia="uk-UA"/>
              </w:rPr>
              <w:t>9 202</w:t>
            </w:r>
          </w:p>
        </w:tc>
      </w:tr>
      <w:tr w:rsidR="00384D18" w:rsidRPr="00384D18" w:rsidTr="005E083A">
        <w:trPr>
          <w:trHeight w:val="686"/>
        </w:trPr>
        <w:tc>
          <w:tcPr>
            <w:tcW w:w="4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D18" w:rsidRPr="00384D18" w:rsidRDefault="00384D18" w:rsidP="00384D18">
            <w:pPr>
              <w:rPr>
                <w:color w:val="000000"/>
                <w:sz w:val="16"/>
                <w:szCs w:val="16"/>
                <w:lang w:eastAsia="uk-UA"/>
              </w:rPr>
            </w:pPr>
            <w:r w:rsidRPr="00384D18">
              <w:rPr>
                <w:color w:val="000000"/>
                <w:sz w:val="16"/>
                <w:szCs w:val="16"/>
                <w:lang w:eastAsia="uk-UA"/>
              </w:rPr>
              <w:t>без урахування амортизації, списання безнадійної дебіторської  заборгованості,  металобрухту і ОЗ та оприбуткування металобрухту</w:t>
            </w:r>
          </w:p>
        </w:tc>
        <w:tc>
          <w:tcPr>
            <w:tcW w:w="10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lang w:eastAsia="uk-UA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D18" w:rsidRPr="00384D18" w:rsidRDefault="00384D18" w:rsidP="00384D18">
            <w:pPr>
              <w:rPr>
                <w:b/>
                <w:bCs/>
                <w:color w:val="000000"/>
                <w:lang w:eastAsia="uk-UA"/>
              </w:rPr>
            </w:pPr>
          </w:p>
        </w:tc>
      </w:tr>
    </w:tbl>
    <w:p w:rsidR="00BF04CE" w:rsidRDefault="00BF04CE" w:rsidP="00BF04CE">
      <w:pPr>
        <w:ind w:firstLine="720"/>
        <w:jc w:val="center"/>
        <w:rPr>
          <w:color w:val="000000"/>
        </w:rPr>
      </w:pPr>
    </w:p>
    <w:p w:rsidR="00BF04CE" w:rsidRPr="00FF0C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Слід зазначити, що  ДП «Укрсервіс Мінтрансу» отримує дохід від орендної</w:t>
      </w:r>
      <w:r w:rsidRPr="00823157">
        <w:rPr>
          <w:color w:val="000000"/>
          <w:sz w:val="28"/>
          <w:szCs w:val="28"/>
        </w:rPr>
        <w:t xml:space="preserve"> плати</w:t>
      </w:r>
      <w:r>
        <w:rPr>
          <w:color w:val="000000"/>
          <w:sz w:val="28"/>
          <w:szCs w:val="28"/>
        </w:rPr>
        <w:t xml:space="preserve"> бюджетних установ в розмірі </w:t>
      </w:r>
      <w:r w:rsidRPr="00DA1057">
        <w:rPr>
          <w:color w:val="000000"/>
          <w:sz w:val="28"/>
          <w:szCs w:val="28"/>
        </w:rPr>
        <w:t>1 грн. на рік без урахування ПДВ</w:t>
      </w:r>
      <w:r w:rsidRPr="00823157">
        <w:rPr>
          <w:color w:val="000000"/>
          <w:sz w:val="28"/>
          <w:szCs w:val="28"/>
        </w:rPr>
        <w:t xml:space="preserve"> </w:t>
      </w:r>
      <w:r w:rsidRPr="00DA1057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езалежно від займаної площі згідно законодавства. Станом на 31.</w:t>
      </w:r>
      <w:r w:rsidR="005E083A">
        <w:rPr>
          <w:color w:val="000000"/>
          <w:sz w:val="28"/>
          <w:szCs w:val="28"/>
        </w:rPr>
        <w:t>03</w:t>
      </w:r>
      <w:r>
        <w:rPr>
          <w:color w:val="000000"/>
          <w:sz w:val="28"/>
          <w:szCs w:val="28"/>
        </w:rPr>
        <w:t>.20</w:t>
      </w:r>
      <w:r w:rsidR="005E083A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р. площа, що здається в оренду таким   бюджетним </w:t>
      </w:r>
      <w:r w:rsidRPr="00DA105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DA1057">
        <w:rPr>
          <w:color w:val="000000"/>
          <w:sz w:val="28"/>
          <w:szCs w:val="28"/>
        </w:rPr>
        <w:t>установ</w:t>
      </w:r>
      <w:r>
        <w:rPr>
          <w:color w:val="000000"/>
          <w:sz w:val="28"/>
          <w:szCs w:val="28"/>
        </w:rPr>
        <w:t xml:space="preserve">ам  складає 10 049,45 </w:t>
      </w:r>
      <w:proofErr w:type="spellStart"/>
      <w:r>
        <w:rPr>
          <w:color w:val="000000"/>
          <w:sz w:val="28"/>
          <w:szCs w:val="28"/>
        </w:rPr>
        <w:t>кв</w:t>
      </w:r>
      <w:proofErr w:type="spellEnd"/>
      <w:r>
        <w:rPr>
          <w:color w:val="000000"/>
          <w:sz w:val="28"/>
          <w:szCs w:val="28"/>
        </w:rPr>
        <w:t>. м.,  тобто  близько 81,5% орендованої</w:t>
      </w:r>
      <w:r w:rsidRPr="00DA1057">
        <w:rPr>
          <w:color w:val="000000"/>
          <w:sz w:val="28"/>
          <w:szCs w:val="28"/>
        </w:rPr>
        <w:t xml:space="preserve"> площі будівлі</w:t>
      </w:r>
      <w:r>
        <w:rPr>
          <w:color w:val="000000"/>
          <w:sz w:val="28"/>
          <w:szCs w:val="28"/>
        </w:rPr>
        <w:t xml:space="preserve">, таким чином підприємство </w:t>
      </w:r>
      <w:proofErr w:type="spellStart"/>
      <w:r>
        <w:rPr>
          <w:color w:val="000000"/>
          <w:sz w:val="28"/>
          <w:szCs w:val="28"/>
        </w:rPr>
        <w:t>нед</w:t>
      </w:r>
      <w:r w:rsidRPr="00823157">
        <w:rPr>
          <w:color w:val="000000"/>
          <w:sz w:val="28"/>
          <w:szCs w:val="28"/>
        </w:rPr>
        <w:t>оо</w:t>
      </w:r>
      <w:r>
        <w:rPr>
          <w:color w:val="000000"/>
          <w:sz w:val="28"/>
          <w:szCs w:val="28"/>
        </w:rPr>
        <w:t>тримує</w:t>
      </w:r>
      <w:proofErr w:type="spellEnd"/>
      <w:r>
        <w:rPr>
          <w:color w:val="000000"/>
          <w:sz w:val="28"/>
          <w:szCs w:val="28"/>
        </w:rPr>
        <w:t xml:space="preserve"> у </w:t>
      </w:r>
      <w:r w:rsidRPr="00B23B95">
        <w:rPr>
          <w:color w:val="000000"/>
          <w:sz w:val="28"/>
          <w:szCs w:val="28"/>
        </w:rPr>
        <w:t>20</w:t>
      </w:r>
      <w:r w:rsidR="00384D18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 xml:space="preserve"> році  доходу у сумі  близько </w:t>
      </w:r>
      <w:r w:rsidR="005E083A">
        <w:rPr>
          <w:color w:val="000000"/>
          <w:sz w:val="28"/>
          <w:szCs w:val="28"/>
        </w:rPr>
        <w:t>9,6</w:t>
      </w:r>
      <w:r>
        <w:rPr>
          <w:color w:val="000000"/>
          <w:sz w:val="28"/>
          <w:szCs w:val="28"/>
        </w:rPr>
        <w:t xml:space="preserve"> млн. тис. </w:t>
      </w:r>
      <w:r w:rsidR="005E083A">
        <w:rPr>
          <w:color w:val="000000"/>
          <w:sz w:val="28"/>
          <w:szCs w:val="28"/>
        </w:rPr>
        <w:t xml:space="preserve"> без ПДВ.</w:t>
      </w:r>
    </w:p>
    <w:p w:rsidR="00BF04C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</w:p>
    <w:p w:rsidR="00BF04CE" w:rsidRPr="002519FB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  <w:r w:rsidRPr="0092557A">
        <w:rPr>
          <w:b/>
          <w:color w:val="000000"/>
          <w:sz w:val="28"/>
          <w:szCs w:val="28"/>
        </w:rPr>
        <w:t xml:space="preserve">6. </w:t>
      </w:r>
      <w:r w:rsidRPr="009A5D9E">
        <w:rPr>
          <w:b/>
          <w:color w:val="000000"/>
          <w:sz w:val="28"/>
          <w:szCs w:val="28"/>
        </w:rPr>
        <w:t>Висновки</w:t>
      </w:r>
    </w:p>
    <w:p w:rsidR="00BF04CE" w:rsidRDefault="00BF04CE" w:rsidP="00BF04CE">
      <w:pPr>
        <w:ind w:firstLine="720"/>
        <w:jc w:val="center"/>
        <w:rPr>
          <w:b/>
          <w:color w:val="000000"/>
          <w:sz w:val="28"/>
          <w:szCs w:val="28"/>
        </w:rPr>
      </w:pP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 w:rsidRPr="009A5D9E">
        <w:rPr>
          <w:color w:val="000000"/>
          <w:sz w:val="28"/>
          <w:szCs w:val="28"/>
        </w:rPr>
        <w:t>ДП «Укрсервіс Мінтрансу» вирішує самостійно (без державного фінансування) всі нагальні проблеми, які виникають в процесі діяльності, забезпечує життєдіяльність адміністративної будівлі,</w:t>
      </w:r>
      <w:r>
        <w:rPr>
          <w:color w:val="000000"/>
          <w:sz w:val="28"/>
          <w:szCs w:val="28"/>
        </w:rPr>
        <w:t xml:space="preserve"> згідно норм чинного законодавства та Статуту підприємства</w:t>
      </w:r>
      <w:r w:rsidRPr="009A5D9E">
        <w:rPr>
          <w:color w:val="000000"/>
          <w:sz w:val="28"/>
          <w:szCs w:val="28"/>
        </w:rPr>
        <w:t xml:space="preserve"> своєчасно виплачує заробітну плату працівникам,</w:t>
      </w:r>
      <w:r>
        <w:rPr>
          <w:color w:val="000000"/>
          <w:sz w:val="28"/>
          <w:szCs w:val="28"/>
        </w:rPr>
        <w:t xml:space="preserve">  </w:t>
      </w:r>
      <w:r w:rsidRPr="009A5D9E">
        <w:rPr>
          <w:color w:val="000000"/>
          <w:sz w:val="28"/>
          <w:szCs w:val="28"/>
        </w:rPr>
        <w:t>повністю виконує зобов’язання перед бюджетом та цільовими фондами</w:t>
      </w:r>
      <w:r>
        <w:rPr>
          <w:color w:val="000000"/>
          <w:sz w:val="28"/>
          <w:szCs w:val="28"/>
        </w:rPr>
        <w:t>,</w:t>
      </w:r>
      <w:r w:rsidRPr="009A5D9E">
        <w:rPr>
          <w:color w:val="000000"/>
          <w:sz w:val="28"/>
          <w:szCs w:val="28"/>
        </w:rPr>
        <w:t xml:space="preserve"> а також поліпшує матеріальн</w:t>
      </w:r>
      <w:r>
        <w:rPr>
          <w:color w:val="000000"/>
          <w:sz w:val="28"/>
          <w:szCs w:val="28"/>
        </w:rPr>
        <w:t>о-технічну</w:t>
      </w:r>
      <w:r w:rsidRPr="009A5D9E">
        <w:rPr>
          <w:color w:val="000000"/>
          <w:sz w:val="28"/>
          <w:szCs w:val="28"/>
        </w:rPr>
        <w:t xml:space="preserve"> базу.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Затвердження фінансового плану </w:t>
      </w:r>
      <w:r w:rsidRPr="009A5D9E">
        <w:rPr>
          <w:color w:val="000000"/>
          <w:sz w:val="28"/>
          <w:szCs w:val="28"/>
        </w:rPr>
        <w:t>ДП «Укрсервіс Мінтрансу»</w:t>
      </w:r>
      <w:r>
        <w:rPr>
          <w:color w:val="000000"/>
          <w:sz w:val="28"/>
          <w:szCs w:val="28"/>
        </w:rPr>
        <w:t xml:space="preserve"> на 202</w:t>
      </w:r>
      <w:r w:rsidR="005E083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 xml:space="preserve"> рік сприятиме: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покращенню фінансового стану підприємства на плановий  рік та на перспективу;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мінімізує негативний вплив інфляційних процесів економіки на фінансовий та технічний стан підприємства;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забезпечить наявність виробничих </w:t>
      </w:r>
      <w:proofErr w:type="spellStart"/>
      <w:r>
        <w:rPr>
          <w:color w:val="000000"/>
          <w:sz w:val="28"/>
          <w:szCs w:val="28"/>
        </w:rPr>
        <w:t>потужностей</w:t>
      </w:r>
      <w:proofErr w:type="spellEnd"/>
      <w:r>
        <w:rPr>
          <w:color w:val="000000"/>
          <w:sz w:val="28"/>
          <w:szCs w:val="28"/>
        </w:rPr>
        <w:t xml:space="preserve"> в частині створення умов для стабільного та якісного  надання послуг орендарям та іншим споживачам</w:t>
      </w:r>
      <w:r w:rsidRPr="008C636A">
        <w:rPr>
          <w:color w:val="000000"/>
          <w:sz w:val="28"/>
          <w:szCs w:val="28"/>
        </w:rPr>
        <w:t xml:space="preserve"> </w:t>
      </w:r>
      <w:r w:rsidRPr="009A5D9E">
        <w:rPr>
          <w:color w:val="000000"/>
          <w:sz w:val="28"/>
          <w:szCs w:val="28"/>
        </w:rPr>
        <w:t>ДП «Укрсервіс Мінтрансу»</w:t>
      </w:r>
      <w:r>
        <w:rPr>
          <w:color w:val="000000"/>
          <w:sz w:val="28"/>
          <w:szCs w:val="28"/>
        </w:rPr>
        <w:t>;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ефективному використанню державного майна та  підтримання його у належному технічному та санітарному стані; </w:t>
      </w:r>
    </w:p>
    <w:p w:rsidR="00BF04C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покращенню рівня доходів працівників підприємства, що  забезпечить в свою чергу,  зростання рівня ефективності праці. </w:t>
      </w:r>
    </w:p>
    <w:p w:rsidR="00BF04CE" w:rsidRPr="006364EE" w:rsidRDefault="00BF04CE" w:rsidP="00BF04CE">
      <w:pPr>
        <w:ind w:firstLine="720"/>
        <w:jc w:val="both"/>
        <w:rPr>
          <w:color w:val="000000"/>
          <w:sz w:val="28"/>
          <w:szCs w:val="28"/>
        </w:rPr>
      </w:pPr>
      <w:r w:rsidRPr="009A5D9E">
        <w:rPr>
          <w:color w:val="000000"/>
          <w:sz w:val="28"/>
          <w:szCs w:val="28"/>
        </w:rPr>
        <w:t>Враховуючи вищезазначене, про</w:t>
      </w:r>
      <w:r>
        <w:rPr>
          <w:color w:val="000000"/>
          <w:sz w:val="28"/>
          <w:szCs w:val="28"/>
        </w:rPr>
        <w:t>понуємо</w:t>
      </w:r>
      <w:r w:rsidRPr="009A5D9E">
        <w:rPr>
          <w:color w:val="000000"/>
          <w:sz w:val="28"/>
          <w:szCs w:val="28"/>
        </w:rPr>
        <w:t xml:space="preserve"> затвердити фінансовий план на 20</w:t>
      </w:r>
      <w:r>
        <w:rPr>
          <w:color w:val="000000"/>
          <w:sz w:val="28"/>
          <w:szCs w:val="28"/>
        </w:rPr>
        <w:t>2</w:t>
      </w:r>
      <w:r w:rsidR="005E083A">
        <w:rPr>
          <w:color w:val="000000"/>
          <w:sz w:val="28"/>
          <w:szCs w:val="28"/>
        </w:rPr>
        <w:t>1</w:t>
      </w:r>
      <w:r w:rsidRPr="009A5D9E">
        <w:rPr>
          <w:color w:val="000000"/>
          <w:sz w:val="28"/>
          <w:szCs w:val="28"/>
        </w:rPr>
        <w:t xml:space="preserve"> рік. </w:t>
      </w:r>
    </w:p>
    <w:p w:rsidR="00BF04CE" w:rsidRDefault="00BF04CE" w:rsidP="00BF04CE">
      <w:pPr>
        <w:jc w:val="both"/>
        <w:rPr>
          <w:color w:val="000000"/>
          <w:sz w:val="28"/>
          <w:szCs w:val="28"/>
          <w:lang w:val="ru-RU"/>
        </w:rPr>
      </w:pPr>
    </w:p>
    <w:p w:rsidR="00BF04CE" w:rsidRDefault="00BF04CE" w:rsidP="00BF04CE">
      <w:pPr>
        <w:jc w:val="both"/>
        <w:rPr>
          <w:color w:val="000000"/>
          <w:sz w:val="28"/>
          <w:szCs w:val="28"/>
          <w:lang w:val="ru-RU"/>
        </w:rPr>
      </w:pPr>
    </w:p>
    <w:p w:rsidR="00BF04CE" w:rsidRPr="009A5D9E" w:rsidRDefault="00BF04CE" w:rsidP="00BF04CE">
      <w:pPr>
        <w:jc w:val="both"/>
        <w:rPr>
          <w:color w:val="000000"/>
          <w:sz w:val="28"/>
          <w:szCs w:val="28"/>
        </w:rPr>
      </w:pPr>
      <w:r w:rsidRPr="009A5D9E">
        <w:rPr>
          <w:b/>
          <w:color w:val="000000"/>
          <w:sz w:val="28"/>
          <w:szCs w:val="28"/>
        </w:rPr>
        <w:t>Генеральний директор</w:t>
      </w:r>
      <w:r w:rsidRPr="009A5D9E">
        <w:rPr>
          <w:b/>
          <w:color w:val="000000"/>
          <w:sz w:val="28"/>
          <w:szCs w:val="28"/>
        </w:rPr>
        <w:tab/>
      </w:r>
      <w:r w:rsidRPr="009A5D9E">
        <w:rPr>
          <w:b/>
          <w:color w:val="000000"/>
          <w:sz w:val="28"/>
          <w:szCs w:val="28"/>
        </w:rPr>
        <w:tab/>
        <w:t xml:space="preserve">                                                               Бут В.А.</w:t>
      </w:r>
    </w:p>
    <w:p w:rsidR="00BF04CE" w:rsidRDefault="00BF04CE" w:rsidP="00BF04CE">
      <w:pPr>
        <w:jc w:val="both"/>
        <w:rPr>
          <w:color w:val="000000"/>
          <w:sz w:val="28"/>
          <w:szCs w:val="28"/>
          <w:lang w:val="ru-RU"/>
        </w:rPr>
      </w:pPr>
    </w:p>
    <w:sectPr w:rsidR="00BF04CE" w:rsidSect="004F247C">
      <w:footerReference w:type="default" r:id="rId12"/>
      <w:pgSz w:w="11906" w:h="16838" w:code="9"/>
      <w:pgMar w:top="289" w:right="709" w:bottom="295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73C" w:rsidRDefault="0018773C">
      <w:r>
        <w:separator/>
      </w:r>
    </w:p>
  </w:endnote>
  <w:endnote w:type="continuationSeparator" w:id="0">
    <w:p w:rsidR="0018773C" w:rsidRDefault="00187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33B" w:rsidRDefault="00C2433B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335E81" w:rsidRPr="00335E81">
      <w:rPr>
        <w:noProof/>
        <w:lang w:val="ru-RU"/>
      </w:rPr>
      <w:t>5</w:t>
    </w:r>
    <w:r>
      <w:fldChar w:fldCharType="end"/>
    </w:r>
  </w:p>
  <w:p w:rsidR="00C2433B" w:rsidRDefault="00C2433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73C" w:rsidRDefault="0018773C">
      <w:r>
        <w:separator/>
      </w:r>
    </w:p>
  </w:footnote>
  <w:footnote w:type="continuationSeparator" w:id="0">
    <w:p w:rsidR="0018773C" w:rsidRDefault="00187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B59A815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037D5"/>
    <w:multiLevelType w:val="hybridMultilevel"/>
    <w:tmpl w:val="5D18CB0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80225"/>
    <w:multiLevelType w:val="hybridMultilevel"/>
    <w:tmpl w:val="69F69F92"/>
    <w:lvl w:ilvl="0" w:tplc="933270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0FB3081F"/>
    <w:multiLevelType w:val="hybridMultilevel"/>
    <w:tmpl w:val="1B8ABCA2"/>
    <w:lvl w:ilvl="0" w:tplc="38FEDD0E">
      <w:start w:val="1"/>
      <w:numFmt w:val="decimal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1604D2"/>
    <w:multiLevelType w:val="hybridMultilevel"/>
    <w:tmpl w:val="434624A6"/>
    <w:lvl w:ilvl="0" w:tplc="0422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D4B0394"/>
    <w:multiLevelType w:val="multilevel"/>
    <w:tmpl w:val="69F69F9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21B85545"/>
    <w:multiLevelType w:val="hybridMultilevel"/>
    <w:tmpl w:val="E344357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7B310B5"/>
    <w:multiLevelType w:val="hybridMultilevel"/>
    <w:tmpl w:val="C1CE8842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A6748D4"/>
    <w:multiLevelType w:val="hybridMultilevel"/>
    <w:tmpl w:val="79227A16"/>
    <w:lvl w:ilvl="0" w:tplc="202CB0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96D52"/>
    <w:multiLevelType w:val="hybridMultilevel"/>
    <w:tmpl w:val="9ABC93F0"/>
    <w:lvl w:ilvl="0" w:tplc="DBEA3520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160AFA"/>
    <w:multiLevelType w:val="hybridMultilevel"/>
    <w:tmpl w:val="393044A0"/>
    <w:lvl w:ilvl="0" w:tplc="27F65232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5AB34CD1"/>
    <w:multiLevelType w:val="hybridMultilevel"/>
    <w:tmpl w:val="22CA09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60289"/>
    <w:multiLevelType w:val="hybridMultilevel"/>
    <w:tmpl w:val="7652923A"/>
    <w:lvl w:ilvl="0" w:tplc="5426C7E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689309CD"/>
    <w:multiLevelType w:val="hybridMultilevel"/>
    <w:tmpl w:val="37EE2F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D4494A"/>
    <w:multiLevelType w:val="hybridMultilevel"/>
    <w:tmpl w:val="CA5E3652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F0C6AE8"/>
    <w:multiLevelType w:val="hybridMultilevel"/>
    <w:tmpl w:val="1A84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EE4633"/>
    <w:multiLevelType w:val="hybridMultilevel"/>
    <w:tmpl w:val="105C1CD4"/>
    <w:lvl w:ilvl="0" w:tplc="7B7475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182544F"/>
    <w:multiLevelType w:val="hybridMultilevel"/>
    <w:tmpl w:val="2C3A13BC"/>
    <w:lvl w:ilvl="0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89C5DC8"/>
    <w:multiLevelType w:val="hybridMultilevel"/>
    <w:tmpl w:val="00A8A582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17"/>
  </w:num>
  <w:num w:numId="7">
    <w:abstractNumId w:val="18"/>
  </w:num>
  <w:num w:numId="8">
    <w:abstractNumId w:val="15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10"/>
  </w:num>
  <w:num w:numId="14">
    <w:abstractNumId w:val="7"/>
  </w:num>
  <w:num w:numId="15">
    <w:abstractNumId w:val="16"/>
  </w:num>
  <w:num w:numId="16">
    <w:abstractNumId w:val="14"/>
  </w:num>
  <w:num w:numId="17">
    <w:abstractNumId w:val="8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B5"/>
    <w:rsid w:val="00075E10"/>
    <w:rsid w:val="00087885"/>
    <w:rsid w:val="000B3960"/>
    <w:rsid w:val="000C1AC6"/>
    <w:rsid w:val="0018773C"/>
    <w:rsid w:val="001A7709"/>
    <w:rsid w:val="002119F9"/>
    <w:rsid w:val="0023111D"/>
    <w:rsid w:val="00237E15"/>
    <w:rsid w:val="002D2174"/>
    <w:rsid w:val="00326113"/>
    <w:rsid w:val="00335E81"/>
    <w:rsid w:val="00384D18"/>
    <w:rsid w:val="003B5042"/>
    <w:rsid w:val="003B6AF1"/>
    <w:rsid w:val="00433A5C"/>
    <w:rsid w:val="00490FEC"/>
    <w:rsid w:val="004F247C"/>
    <w:rsid w:val="00516049"/>
    <w:rsid w:val="0053266C"/>
    <w:rsid w:val="00567552"/>
    <w:rsid w:val="005E083A"/>
    <w:rsid w:val="005F3EB5"/>
    <w:rsid w:val="00805171"/>
    <w:rsid w:val="008142DB"/>
    <w:rsid w:val="008162A3"/>
    <w:rsid w:val="00822941"/>
    <w:rsid w:val="00896118"/>
    <w:rsid w:val="0095332A"/>
    <w:rsid w:val="00A24EFB"/>
    <w:rsid w:val="00B2115E"/>
    <w:rsid w:val="00BC5F5C"/>
    <w:rsid w:val="00BF04CE"/>
    <w:rsid w:val="00C2433B"/>
    <w:rsid w:val="00C31120"/>
    <w:rsid w:val="00D46EF9"/>
    <w:rsid w:val="00E1122A"/>
    <w:rsid w:val="00E576FA"/>
    <w:rsid w:val="00E6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2B514E-92B9-4D96-AEA9-0D5D7886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B6A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semiHidden/>
    <w:rsid w:val="00BF04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BF04CE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rsid w:val="00BF04CE"/>
    <w:pPr>
      <w:numPr>
        <w:numId w:val="11"/>
      </w:numPr>
      <w:contextualSpacing/>
    </w:pPr>
  </w:style>
  <w:style w:type="paragraph" w:styleId="a6">
    <w:name w:val="header"/>
    <w:basedOn w:val="a0"/>
    <w:link w:val="a7"/>
    <w:rsid w:val="00BF04C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1"/>
    <w:link w:val="a6"/>
    <w:rsid w:val="00BF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BF04C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BF04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rsid w:val="00BF04CE"/>
    <w:pPr>
      <w:jc w:val="both"/>
    </w:pPr>
    <w:rPr>
      <w:sz w:val="28"/>
      <w:lang w:eastAsia="x-none"/>
    </w:rPr>
  </w:style>
  <w:style w:type="character" w:customStyle="1" w:styleId="ab">
    <w:name w:val="Основной текст Знак"/>
    <w:basedOn w:val="a1"/>
    <w:link w:val="aa"/>
    <w:rsid w:val="00BF04CE"/>
    <w:rPr>
      <w:rFonts w:ascii="Times New Roman" w:eastAsia="Times New Roman" w:hAnsi="Times New Roman" w:cs="Times New Roman"/>
      <w:sz w:val="28"/>
      <w:szCs w:val="24"/>
      <w:lang w:eastAsia="x-none"/>
    </w:rPr>
  </w:style>
  <w:style w:type="paragraph" w:styleId="2">
    <w:name w:val="Body Text 2"/>
    <w:basedOn w:val="a0"/>
    <w:link w:val="20"/>
    <w:rsid w:val="00BF04CE"/>
    <w:pPr>
      <w:spacing w:after="120" w:line="480" w:lineRule="auto"/>
    </w:pPr>
    <w:rPr>
      <w:lang w:val="ru-RU"/>
    </w:rPr>
  </w:style>
  <w:style w:type="character" w:customStyle="1" w:styleId="20">
    <w:name w:val="Основной текст 2 Знак"/>
    <w:basedOn w:val="a1"/>
    <w:link w:val="2"/>
    <w:rsid w:val="00BF04C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c">
    <w:name w:val="Normal (Web)"/>
    <w:basedOn w:val="a0"/>
    <w:uiPriority w:val="99"/>
    <w:unhideWhenUsed/>
    <w:rsid w:val="00BF04CE"/>
    <w:pPr>
      <w:spacing w:before="100" w:beforeAutospacing="1" w:after="100" w:afterAutospacing="1"/>
    </w:pPr>
    <w:rPr>
      <w:lang w:val="ru-RU"/>
    </w:rPr>
  </w:style>
  <w:style w:type="character" w:styleId="ad">
    <w:name w:val="Strong"/>
    <w:uiPriority w:val="22"/>
    <w:qFormat/>
    <w:rsid w:val="00BF04CE"/>
    <w:rPr>
      <w:b/>
      <w:bCs/>
    </w:rPr>
  </w:style>
  <w:style w:type="character" w:customStyle="1" w:styleId="textexposedshow">
    <w:name w:val="text_exposed_show"/>
    <w:rsid w:val="00BF04CE"/>
  </w:style>
  <w:style w:type="character" w:styleId="ae">
    <w:name w:val="Hyperlink"/>
    <w:uiPriority w:val="99"/>
    <w:unhideWhenUsed/>
    <w:rsid w:val="00BF04CE"/>
    <w:rPr>
      <w:color w:val="0000FF"/>
      <w:u w:val="single"/>
    </w:rPr>
  </w:style>
  <w:style w:type="paragraph" w:styleId="af">
    <w:name w:val="List Paragraph"/>
    <w:basedOn w:val="a0"/>
    <w:uiPriority w:val="34"/>
    <w:qFormat/>
    <w:rsid w:val="00BF04CE"/>
    <w:pPr>
      <w:ind w:left="720"/>
      <w:contextualSpacing/>
    </w:pPr>
  </w:style>
  <w:style w:type="paragraph" w:styleId="af0">
    <w:name w:val="annotation text"/>
    <w:basedOn w:val="a0"/>
    <w:link w:val="af1"/>
    <w:semiHidden/>
    <w:unhideWhenUsed/>
    <w:rsid w:val="00BF04CE"/>
    <w:rPr>
      <w:sz w:val="20"/>
      <w:szCs w:val="20"/>
    </w:rPr>
  </w:style>
  <w:style w:type="character" w:customStyle="1" w:styleId="af1">
    <w:name w:val="Текст примечания Знак"/>
    <w:basedOn w:val="a1"/>
    <w:link w:val="af0"/>
    <w:semiHidden/>
    <w:rsid w:val="00BF04C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ма примечания Знак"/>
    <w:basedOn w:val="af1"/>
    <w:link w:val="af3"/>
    <w:semiHidden/>
    <w:rsid w:val="00BF04C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annotation subject"/>
    <w:basedOn w:val="af0"/>
    <w:next w:val="af0"/>
    <w:link w:val="af2"/>
    <w:semiHidden/>
    <w:unhideWhenUsed/>
    <w:rsid w:val="00BF04CE"/>
    <w:rPr>
      <w:b/>
      <w:bCs/>
    </w:rPr>
  </w:style>
  <w:style w:type="paragraph" w:customStyle="1" w:styleId="rvps6">
    <w:name w:val="rvps6"/>
    <w:basedOn w:val="a0"/>
    <w:rsid w:val="00BF04CE"/>
    <w:pPr>
      <w:spacing w:before="100" w:beforeAutospacing="1" w:after="100" w:afterAutospacing="1"/>
    </w:pPr>
    <w:rPr>
      <w:rFonts w:eastAsiaTheme="minorHAnsi"/>
      <w:lang w:eastAsia="uk-UA"/>
    </w:rPr>
  </w:style>
  <w:style w:type="paragraph" w:customStyle="1" w:styleId="rvps2">
    <w:name w:val="rvps2"/>
    <w:basedOn w:val="a0"/>
    <w:rsid w:val="00BF04CE"/>
    <w:pPr>
      <w:spacing w:before="100" w:beforeAutospacing="1" w:after="100" w:afterAutospacing="1"/>
    </w:pPr>
    <w:rPr>
      <w:rFonts w:eastAsiaTheme="minorHAnsi"/>
      <w:lang w:eastAsia="uk-UA"/>
    </w:rPr>
  </w:style>
  <w:style w:type="character" w:styleId="af4">
    <w:name w:val="Emphasis"/>
    <w:basedOn w:val="a1"/>
    <w:uiPriority w:val="20"/>
    <w:qFormat/>
    <w:rsid w:val="00BF04C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ps.ligazakon.net/document/view/kp200253?ed=2020_03_29&amp;an=1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ps.ligazakon.net/document/view/kp190883?ed=2019_10_23&amp;an=1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evchenko\Desktop\&#1059;&#1082;&#1088;&#1089;&#1077;&#1088;&#1074;&#1080;&#1089;%20&#1052;&#1048;&#1053;&#1058;&#1056;&#1040;&#1053;&#1057;&#1040;\&#1060;&#1048;&#1053;&#1040;&#1053;&#1057;&#1054;&#1042;&#1067;&#1049;%20&#1055;&#1051;&#1040;&#1053;%202021\2021%20&#1058;&#1040;&#1041;&#1051;&#1048;&#1062;&#1067;%20&#1082;%20%20&#1055;&#1086;&#1103;&#1089;&#1085;&#1080;&#1090;&#1077;&#1083;&#1100;&#1085;&#1086;&#1081;%20&#1047;&#1072;&#1087;&#1080;&#1089;&#1082;&#1077;%2026.05.20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evchenko\Desktop\&#1059;&#1082;&#1088;&#1089;&#1077;&#1088;&#1074;&#1080;&#1089;%20&#1052;&#1048;&#1053;&#1058;&#1056;&#1040;&#1053;&#1057;&#1040;\&#1044;&#1051;&#1071;%20&#1060;&#1048;&#1053;&#1055;&#1051;&#1040;&#1053;&#1040;%202020\&#1055;&#1040;&#1050;&#1045;&#1058;%20&#1076;&#1086;&#1082;&#1091;&#1084;&#1077;&#1085;&#1090;&#1086;&#1074;%20&#1085;&#1072;%2017.02.20\2020%20&#1058;&#1040;&#1041;&#1051;&#1048;&#1062;&#1067;%20&#1082;%20%20&#1055;&#1086;&#1103;&#1089;&#1085;&#1080;&#1090;&#1077;&#1083;&#1100;&#1085;&#1086;&#1081;%20&#1047;&#1072;&#1087;&#1080;&#1089;&#1082;&#1077;%2026.02.20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hevchenko\Desktop\&#1059;&#1082;&#1088;&#1089;&#1077;&#1088;&#1074;&#1080;&#1089;%20&#1052;&#1048;&#1053;&#1058;&#1056;&#1040;&#1053;&#1057;&#1040;\&#1060;&#1048;&#1053;&#1040;&#1053;&#1057;&#1054;&#1042;&#1067;&#1049;%20&#1055;&#1051;&#1040;&#1053;%202021\2021%20&#1058;&#1040;&#1041;&#1051;&#1048;&#1062;&#1067;%20&#1082;%20%20&#1055;&#1086;&#1103;&#1089;&#1085;&#1080;&#1090;&#1077;&#1083;&#1100;&#1085;&#1086;&#1081;%20&#1047;&#1072;&#1087;&#1080;&#1089;&#1082;&#1077;%2026.05.20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uk-UA"/>
              <a:t>Структура планового чистого доходу </a:t>
            </a:r>
          </a:p>
          <a:p>
            <a:pPr>
              <a:defRPr/>
            </a:pPr>
            <a:r>
              <a:rPr lang="uk-UA"/>
              <a:t>ДП "Укрсервіс Мінтрансу"</a:t>
            </a:r>
          </a:p>
          <a:p>
            <a:pPr>
              <a:defRPr/>
            </a:pPr>
            <a:r>
              <a:rPr lang="uk-UA"/>
              <a:t>в 2021р.</a:t>
            </a:r>
          </a:p>
        </c:rich>
      </c:tx>
      <c:layout>
        <c:manualLayout>
          <c:xMode val="edge"/>
          <c:yMode val="edge"/>
          <c:x val="0.18137967841353675"/>
          <c:y val="0"/>
        </c:manualLayout>
      </c:layout>
      <c:overlay val="0"/>
    </c:title>
    <c:autoTitleDeleted val="0"/>
    <c:view3D>
      <c:rotX val="30"/>
      <c:rotY val="202"/>
      <c:depthPercent val="100"/>
      <c:rAngAx val="0"/>
      <c:perspective val="8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73786784836012"/>
          <c:y val="0.36147497167054682"/>
          <c:w val="0.6538448430516548"/>
          <c:h val="0.5566179599943254"/>
        </c:manualLayout>
      </c:layout>
      <c:pie3DChart>
        <c:varyColors val="1"/>
        <c:ser>
          <c:idx val="0"/>
          <c:order val="0"/>
          <c:explosion val="26"/>
          <c:dLbls>
            <c:dLbl>
              <c:idx val="0"/>
              <c:layout>
                <c:manualLayout>
                  <c:x val="-9.9639385129588684E-2"/>
                  <c:y val="-0.2851889076651988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9153017824875593"/>
                      <c:h val="0.17243011388847804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0.20483017183853328"/>
                  <c:y val="-3.5867171850756177E-3"/>
                </c:manualLayout>
              </c:layout>
              <c:dLblPos val="bestFit"/>
              <c:showLegendKey val="1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2589377387916584E-2"/>
                  <c:y val="-3.8738620178024263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21693635653557147"/>
                  <c:y val="-7.211811140084342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7.1920825616890172E-2"/>
                  <c:y val="4.9300119839701298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0.14801203375888022"/>
                  <c:y val="7.537206791615180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0.17215333527668045"/>
                  <c:y val="-0.1107884846741443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0.16043395390253065"/>
                  <c:y val="-2.4954695724298422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100"/>
                </a:pPr>
                <a:endParaRPr lang="uk-UA"/>
              </a:p>
            </c:txPr>
            <c:dLblPos val="bestFit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'Структура ЧД план скор.2021'!$B$2:$B$17</c:f>
              <c:strCache>
                <c:ptCount val="14"/>
                <c:pt idx="0">
                  <c:v>Оренда приміщень </c:v>
                </c:pt>
                <c:pt idx="1">
                  <c:v>Утримання приміщень</c:v>
                </c:pt>
                <c:pt idx="2">
                  <c:v>Комунальні послуги </c:v>
                </c:pt>
                <c:pt idx="3">
                  <c:v>Паркінг та перепустки </c:v>
                </c:pt>
                <c:pt idx="4">
                  <c:v>Їдальня та кафе </c:v>
                </c:pt>
                <c:pt idx="5">
                  <c:v>Їдальня та кафе </c:v>
                </c:pt>
                <c:pt idx="6">
                  <c:v>Інформаційні послуги </c:v>
                </c:pt>
                <c:pt idx="7">
                  <c:v>Інформаційні послуги (ЛОМ) </c:v>
                </c:pt>
                <c:pt idx="8">
                  <c:v>Інформаційні послуги (Ліга, Мегаполіс) </c:v>
                </c:pt>
                <c:pt idx="9">
                  <c:v>Оренда ПК, оргтехніки, меблів</c:v>
                </c:pt>
                <c:pt idx="10">
                  <c:v>ТО ПК та оргтехніки </c:v>
                </c:pt>
                <c:pt idx="11">
                  <c:v>Медичні послуги </c:v>
                </c:pt>
                <c:pt idx="12">
                  <c:v>Медичні послуги </c:v>
                </c:pt>
                <c:pt idx="13">
                  <c:v>Автопослуги </c:v>
                </c:pt>
              </c:strCache>
            </c:strRef>
          </c:cat>
          <c:val>
            <c:numRef>
              <c:f>'Структура ЧД план скор.2021'!$C$2:$C$17</c:f>
              <c:numCache>
                <c:formatCode>General</c:formatCode>
                <c:ptCount val="14"/>
                <c:pt idx="0">
                  <c:v>4248.7</c:v>
                </c:pt>
                <c:pt idx="1">
                  <c:v>64563.1</c:v>
                </c:pt>
                <c:pt idx="2">
                  <c:v>13087.2</c:v>
                </c:pt>
                <c:pt idx="3">
                  <c:v>905.09999999999991</c:v>
                </c:pt>
                <c:pt idx="4">
                  <c:v>3291.7</c:v>
                </c:pt>
                <c:pt idx="6">
                  <c:v>3708.5</c:v>
                </c:pt>
                <c:pt idx="9">
                  <c:v>57.3</c:v>
                </c:pt>
                <c:pt idx="10">
                  <c:v>323.10000000000002</c:v>
                </c:pt>
                <c:pt idx="11" formatCode="0">
                  <c:v>445.40000000000003</c:v>
                </c:pt>
                <c:pt idx="13" formatCode="0">
                  <c:v>250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200"/>
            </a:pPr>
            <a:r>
              <a:rPr lang="ru-RU" sz="1200"/>
              <a:t>Структура планових операційних витрат </a:t>
            </a:r>
          </a:p>
          <a:p>
            <a:pPr algn="ctr">
              <a:defRPr sz="1200"/>
            </a:pPr>
            <a:r>
              <a:rPr lang="ru-RU" sz="1200"/>
              <a:t>ДП "Укрсервіс Мінтрансу"</a:t>
            </a:r>
          </a:p>
          <a:p>
            <a:pPr algn="ctr">
              <a:defRPr sz="1200"/>
            </a:pPr>
            <a:r>
              <a:rPr lang="ru-RU" sz="1200"/>
              <a:t>в 2020р.</a:t>
            </a:r>
          </a:p>
        </c:rich>
      </c:tx>
      <c:layout>
        <c:manualLayout>
          <c:xMode val="edge"/>
          <c:yMode val="edge"/>
          <c:x val="0.15825195589542501"/>
          <c:y val="2.4358452358890628E-2"/>
        </c:manualLayout>
      </c:layout>
      <c:overlay val="0"/>
    </c:title>
    <c:autoTitleDeleted val="0"/>
    <c:view3D>
      <c:rotX val="30"/>
      <c:rotY val="3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028951253916"/>
          <c:y val="0.38484146134958935"/>
          <c:w val="0.6838720172939845"/>
          <c:h val="0.4673998217755248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6"/>
          </c:dPt>
          <c:dPt>
            <c:idx val="2"/>
            <c:bubble3D val="0"/>
            <c:explosion val="18"/>
          </c:dPt>
          <c:dPt>
            <c:idx val="3"/>
            <c:bubble3D val="0"/>
            <c:explosion val="14"/>
          </c:dPt>
          <c:dPt>
            <c:idx val="4"/>
            <c:bubble3D val="0"/>
            <c:explosion val="22"/>
          </c:dPt>
          <c:dLbls>
            <c:dLbl>
              <c:idx val="0"/>
              <c:layout>
                <c:manualLayout>
                  <c:x val="-8.5406387221812763E-3"/>
                  <c:y val="-9.4660436710312906E-2"/>
                </c:manualLayout>
              </c:layout>
              <c:tx>
                <c:rich>
                  <a:bodyPr/>
                  <a:lstStyle/>
                  <a:p>
                    <a:r>
                      <a:rPr lang="uk-UA" i="1"/>
                      <a:t>Сировина та матеріали</a:t>
                    </a:r>
                    <a:r>
                      <a:rPr lang="uk-UA" baseline="0"/>
                      <a:t>
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31966375924501E-2"/>
                  <c:y val="4.78395272054488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300595614302526"/>
                  <c:y val="5.7507972743480365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76695245960547953"/>
                      <c:h val="0.14092932594042476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3476020610384462"/>
                  <c:y val="-9.035564571274417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'Структура  Опер. Витрат 2020'!$A$2:$A$6</c:f>
              <c:strCache>
                <c:ptCount val="5"/>
                <c:pt idx="0">
                  <c:v>Сировина та матеріали</c:v>
                </c:pt>
                <c:pt idx="1">
                  <c:v>Паливо та енергія</c:v>
                </c:pt>
                <c:pt idx="2">
                  <c:v>Оплата праці та відрахування на соціальні заходи</c:v>
                </c:pt>
                <c:pt idx="3">
                  <c:v>Амортизація</c:v>
                </c:pt>
                <c:pt idx="4">
                  <c:v>Інші операційні витрати</c:v>
                </c:pt>
              </c:strCache>
            </c:strRef>
          </c:cat>
          <c:val>
            <c:numRef>
              <c:f>'Структура  Опер. Витрат 2020'!$B$2:$B$6</c:f>
              <c:numCache>
                <c:formatCode>#,##0</c:formatCode>
                <c:ptCount val="5"/>
                <c:pt idx="0">
                  <c:v>5307.5</c:v>
                </c:pt>
                <c:pt idx="1">
                  <c:v>14668.3</c:v>
                </c:pt>
                <c:pt idx="2">
                  <c:v>54285</c:v>
                </c:pt>
                <c:pt idx="3">
                  <c:v>8106</c:v>
                </c:pt>
                <c:pt idx="4">
                  <c:v>11703.7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100"/>
            </a:pPr>
            <a:r>
              <a:rPr lang="ru-RU" sz="1100"/>
              <a:t>Структура планових операційних витрат </a:t>
            </a:r>
          </a:p>
          <a:p>
            <a:pPr algn="ctr">
              <a:defRPr sz="1100"/>
            </a:pPr>
            <a:r>
              <a:rPr lang="ru-RU" sz="1100"/>
              <a:t>ДП "Укрсервіс Мінтрансу"</a:t>
            </a:r>
          </a:p>
          <a:p>
            <a:pPr algn="ctr">
              <a:defRPr sz="1100"/>
            </a:pPr>
            <a:r>
              <a:rPr lang="ru-RU" sz="1100"/>
              <a:t>в 2021р.</a:t>
            </a:r>
          </a:p>
        </c:rich>
      </c:tx>
      <c:layout>
        <c:manualLayout>
          <c:xMode val="edge"/>
          <c:yMode val="edge"/>
          <c:x val="0.15778263262017375"/>
          <c:y val="2.0154595668757144E-2"/>
        </c:manualLayout>
      </c:layout>
      <c:overlay val="0"/>
    </c:title>
    <c:autoTitleDeleted val="0"/>
    <c:view3D>
      <c:rotX val="30"/>
      <c:rotY val="30"/>
      <c:depthPercent val="10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3028951253916"/>
          <c:y val="0.38484146134958935"/>
          <c:w val="0.6838720172939845"/>
          <c:h val="0.4673998217755248"/>
        </c:manualLayout>
      </c:layout>
      <c:pie3DChart>
        <c:varyColors val="1"/>
        <c:ser>
          <c:idx val="0"/>
          <c:order val="0"/>
          <c:dPt>
            <c:idx val="1"/>
            <c:bubble3D val="0"/>
            <c:explosion val="16"/>
          </c:dPt>
          <c:dPt>
            <c:idx val="2"/>
            <c:bubble3D val="0"/>
            <c:explosion val="29"/>
          </c:dPt>
          <c:dPt>
            <c:idx val="3"/>
            <c:bubble3D val="0"/>
            <c:explosion val="14"/>
          </c:dPt>
          <c:dPt>
            <c:idx val="4"/>
            <c:bubble3D val="0"/>
            <c:explosion val="22"/>
          </c:dPt>
          <c:dLbls>
            <c:dLbl>
              <c:idx val="0"/>
              <c:layout>
                <c:manualLayout>
                  <c:x val="-8.5406387221812763E-3"/>
                  <c:y val="-9.4660436710312906E-2"/>
                </c:manualLayout>
              </c:layout>
              <c:tx>
                <c:rich>
                  <a:bodyPr/>
                  <a:lstStyle/>
                  <a:p>
                    <a:r>
                      <a:rPr lang="uk-UA" i="1"/>
                      <a:t>Сировина та матеріали</a:t>
                    </a:r>
                    <a:r>
                      <a:rPr lang="uk-UA" baseline="0"/>
                      <a:t>
6%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2.9931966375924501E-2"/>
                  <c:y val="4.783952720544882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9.6993125833446395E-2"/>
                  <c:y val="6.7007045589260961E-2"/>
                </c:manualLayout>
              </c:layout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65000"/>
                      <a:lumOff val="35000"/>
                    </a:sysClr>
                  </a:solidFill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uk-UA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</c15:spPr>
                  <c15:layout>
                    <c:manualLayout>
                      <c:w val="0.76695238906284802"/>
                      <c:h val="0.1473202170963365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-0.13476020610384462"/>
                  <c:y val="-9.0355645712744178E-3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65000"/>
                    <a:lumOff val="35000"/>
                  </a:sysClr>
                </a:solidFill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</c15:spPr>
              </c:ext>
            </c:extLst>
          </c:dLbls>
          <c:cat>
            <c:strRef>
              <c:f>'Структура  Опер. Витрат 2021'!$A$2:$A$6</c:f>
              <c:strCache>
                <c:ptCount val="5"/>
                <c:pt idx="0">
                  <c:v>Сировина та матеріали</c:v>
                </c:pt>
                <c:pt idx="1">
                  <c:v>Паливо та енергія</c:v>
                </c:pt>
                <c:pt idx="2">
                  <c:v>Оплата праці та відрахування на соціальні заходи</c:v>
                </c:pt>
                <c:pt idx="3">
                  <c:v>Амортизація</c:v>
                </c:pt>
                <c:pt idx="4">
                  <c:v>Інші операційні витрати</c:v>
                </c:pt>
              </c:strCache>
            </c:strRef>
          </c:cat>
          <c:val>
            <c:numRef>
              <c:f>'Структура  Опер. Витрат 2021'!$B$2:$B$6</c:f>
              <c:numCache>
                <c:formatCode>#,##0</c:formatCode>
                <c:ptCount val="5"/>
                <c:pt idx="0" formatCode="#\ ##0.0">
                  <c:v>5850</c:v>
                </c:pt>
                <c:pt idx="1">
                  <c:v>15029</c:v>
                </c:pt>
                <c:pt idx="2">
                  <c:v>59902</c:v>
                </c:pt>
                <c:pt idx="3">
                  <c:v>9202</c:v>
                </c:pt>
                <c:pt idx="4">
                  <c:v>11931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12</Pages>
  <Words>15107</Words>
  <Characters>8611</Characters>
  <Application>Microsoft Office Word</Application>
  <DocSecurity>0</DocSecurity>
  <Lines>71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Людмила Валеріївна</dc:creator>
  <cp:keywords/>
  <dc:description/>
  <cp:lastModifiedBy>Шевченко Людмила Валеріївна</cp:lastModifiedBy>
  <cp:revision>14</cp:revision>
  <cp:lastPrinted>2020-05-29T06:37:00Z</cp:lastPrinted>
  <dcterms:created xsi:type="dcterms:W3CDTF">2020-05-27T09:44:00Z</dcterms:created>
  <dcterms:modified xsi:type="dcterms:W3CDTF">2020-05-29T12:05:00Z</dcterms:modified>
</cp:coreProperties>
</file>