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46" w:rsidRPr="002D186F" w:rsidRDefault="00482346" w:rsidP="00FA66A0">
      <w:pPr>
        <w:jc w:val="center"/>
        <w:rPr>
          <w:b/>
          <w:sz w:val="28"/>
          <w:szCs w:val="28"/>
          <w:lang w:val="uk-UA"/>
        </w:rPr>
      </w:pPr>
      <w:r w:rsidRPr="002D186F">
        <w:rPr>
          <w:b/>
          <w:sz w:val="28"/>
          <w:szCs w:val="28"/>
          <w:lang w:val="uk-UA"/>
        </w:rPr>
        <w:t>Пояснювальна записка</w:t>
      </w:r>
    </w:p>
    <w:p w:rsidR="00482346" w:rsidRPr="002D186F" w:rsidRDefault="009D4900" w:rsidP="00FA66A0">
      <w:pPr>
        <w:jc w:val="center"/>
        <w:rPr>
          <w:b/>
          <w:sz w:val="28"/>
          <w:szCs w:val="28"/>
          <w:lang w:val="uk-UA"/>
        </w:rPr>
      </w:pPr>
      <w:r w:rsidRPr="002D186F">
        <w:rPr>
          <w:b/>
          <w:sz w:val="28"/>
          <w:szCs w:val="28"/>
          <w:lang w:val="uk-UA"/>
        </w:rPr>
        <w:t>ДП «</w:t>
      </w:r>
      <w:r w:rsidR="00482346" w:rsidRPr="002D186F">
        <w:rPr>
          <w:b/>
          <w:sz w:val="28"/>
          <w:szCs w:val="28"/>
          <w:lang w:val="uk-UA"/>
        </w:rPr>
        <w:t>Одес</w:t>
      </w:r>
      <w:r w:rsidRPr="002D186F">
        <w:rPr>
          <w:b/>
          <w:sz w:val="28"/>
          <w:szCs w:val="28"/>
          <w:lang w:val="uk-UA"/>
        </w:rPr>
        <w:t>ький морський торговельний порт»</w:t>
      </w:r>
    </w:p>
    <w:p w:rsidR="00E1578C" w:rsidRPr="002D186F" w:rsidRDefault="00190A36" w:rsidP="00FA66A0">
      <w:pPr>
        <w:jc w:val="center"/>
        <w:rPr>
          <w:b/>
          <w:sz w:val="28"/>
          <w:szCs w:val="28"/>
          <w:lang w:val="uk-UA"/>
        </w:rPr>
      </w:pPr>
      <w:r w:rsidRPr="002D186F">
        <w:rPr>
          <w:b/>
          <w:sz w:val="28"/>
          <w:szCs w:val="28"/>
          <w:lang w:val="uk-UA"/>
        </w:rPr>
        <w:t>щодо</w:t>
      </w:r>
      <w:r w:rsidR="00482346" w:rsidRPr="002D186F">
        <w:rPr>
          <w:b/>
          <w:sz w:val="28"/>
          <w:szCs w:val="28"/>
          <w:lang w:val="uk-UA"/>
        </w:rPr>
        <w:t xml:space="preserve"> виконанн</w:t>
      </w:r>
      <w:r w:rsidR="007F4322" w:rsidRPr="002D186F">
        <w:rPr>
          <w:b/>
          <w:sz w:val="28"/>
          <w:szCs w:val="28"/>
          <w:lang w:val="uk-UA"/>
        </w:rPr>
        <w:t>я</w:t>
      </w:r>
      <w:r w:rsidR="00482346" w:rsidRPr="002D186F">
        <w:rPr>
          <w:b/>
          <w:sz w:val="28"/>
          <w:szCs w:val="28"/>
          <w:lang w:val="uk-UA"/>
        </w:rPr>
        <w:t xml:space="preserve"> показників фінансового плану </w:t>
      </w:r>
    </w:p>
    <w:p w:rsidR="00482346" w:rsidRPr="002D186F" w:rsidRDefault="001F7C72" w:rsidP="00FA66A0">
      <w:pPr>
        <w:jc w:val="center"/>
        <w:rPr>
          <w:b/>
          <w:sz w:val="28"/>
          <w:szCs w:val="28"/>
          <w:lang w:val="uk-UA"/>
        </w:rPr>
      </w:pPr>
      <w:r w:rsidRPr="002D186F">
        <w:rPr>
          <w:b/>
          <w:sz w:val="28"/>
          <w:szCs w:val="28"/>
          <w:lang w:val="uk-UA"/>
        </w:rPr>
        <w:t>за</w:t>
      </w:r>
      <w:r w:rsidR="00744056" w:rsidRPr="002D186F">
        <w:rPr>
          <w:b/>
          <w:sz w:val="28"/>
          <w:szCs w:val="28"/>
          <w:lang w:val="uk-UA"/>
        </w:rPr>
        <w:t xml:space="preserve"> </w:t>
      </w:r>
      <w:r w:rsidR="00B9760D" w:rsidRPr="002D186F">
        <w:rPr>
          <w:b/>
          <w:sz w:val="28"/>
          <w:szCs w:val="28"/>
          <w:lang w:val="uk-UA"/>
        </w:rPr>
        <w:t xml:space="preserve"> </w:t>
      </w:r>
      <w:r w:rsidR="00482346" w:rsidRPr="002D186F">
        <w:rPr>
          <w:b/>
          <w:sz w:val="28"/>
          <w:szCs w:val="28"/>
          <w:lang w:val="uk-UA"/>
        </w:rPr>
        <w:t>20</w:t>
      </w:r>
      <w:r w:rsidR="00364461" w:rsidRPr="002D186F">
        <w:rPr>
          <w:b/>
          <w:sz w:val="28"/>
          <w:szCs w:val="28"/>
          <w:lang w:val="uk-UA"/>
        </w:rPr>
        <w:t>1</w:t>
      </w:r>
      <w:r w:rsidR="00B9760D" w:rsidRPr="002D186F">
        <w:rPr>
          <w:b/>
          <w:sz w:val="28"/>
          <w:szCs w:val="28"/>
          <w:lang w:val="uk-UA"/>
        </w:rPr>
        <w:t>8 року</w:t>
      </w:r>
    </w:p>
    <w:p w:rsidR="006B6830" w:rsidRPr="002D186F" w:rsidRDefault="006B6830" w:rsidP="00FA66A0">
      <w:pPr>
        <w:autoSpaceDE w:val="0"/>
        <w:autoSpaceDN w:val="0"/>
        <w:jc w:val="center"/>
        <w:rPr>
          <w:sz w:val="24"/>
          <w:szCs w:val="24"/>
          <w:u w:val="single"/>
          <w:lang w:val="uk-UA"/>
        </w:rPr>
      </w:pPr>
    </w:p>
    <w:p w:rsidR="00482346" w:rsidRPr="002D186F" w:rsidRDefault="00482346" w:rsidP="00FA66A0">
      <w:pPr>
        <w:autoSpaceDE w:val="0"/>
        <w:autoSpaceDN w:val="0"/>
        <w:jc w:val="center"/>
        <w:rPr>
          <w:b/>
          <w:sz w:val="24"/>
          <w:szCs w:val="24"/>
          <w:u w:val="single"/>
          <w:lang w:val="uk-UA"/>
        </w:rPr>
      </w:pPr>
      <w:r w:rsidRPr="002D186F">
        <w:rPr>
          <w:b/>
          <w:sz w:val="24"/>
          <w:szCs w:val="24"/>
          <w:u w:val="single"/>
          <w:lang w:val="uk-UA"/>
        </w:rPr>
        <w:t>Виконання показників фін</w:t>
      </w:r>
      <w:r w:rsidR="00FD0FF8" w:rsidRPr="002D186F">
        <w:rPr>
          <w:b/>
          <w:sz w:val="24"/>
          <w:szCs w:val="24"/>
          <w:u w:val="single"/>
          <w:lang w:val="uk-UA"/>
        </w:rPr>
        <w:t>ансово-господарської діяльності</w:t>
      </w:r>
    </w:p>
    <w:p w:rsidR="006B6830" w:rsidRPr="002D186F" w:rsidRDefault="006B6830" w:rsidP="00FA66A0">
      <w:pPr>
        <w:ind w:firstLine="567"/>
        <w:jc w:val="both"/>
        <w:rPr>
          <w:i/>
          <w:sz w:val="24"/>
          <w:szCs w:val="24"/>
          <w:lang w:val="uk-UA"/>
        </w:rPr>
      </w:pPr>
    </w:p>
    <w:p w:rsidR="00492CCA" w:rsidRPr="002D186F" w:rsidRDefault="00492CCA" w:rsidP="00FA66A0">
      <w:pPr>
        <w:ind w:firstLine="567"/>
        <w:jc w:val="both"/>
        <w:rPr>
          <w:b/>
          <w:i/>
          <w:lang w:val="uk-UA"/>
        </w:rPr>
      </w:pPr>
    </w:p>
    <w:p w:rsidR="006E6257" w:rsidRDefault="00426303" w:rsidP="00FA66A0">
      <w:pPr>
        <w:ind w:firstLine="709"/>
        <w:jc w:val="both"/>
        <w:rPr>
          <w:b/>
          <w:sz w:val="24"/>
          <w:szCs w:val="24"/>
          <w:lang w:val="uk-UA"/>
        </w:rPr>
      </w:pPr>
      <w:r w:rsidRPr="002D186F">
        <w:rPr>
          <w:b/>
          <w:sz w:val="24"/>
          <w:szCs w:val="24"/>
          <w:lang w:val="uk-UA"/>
        </w:rPr>
        <w:t>Загальні доходи підприємства</w:t>
      </w:r>
      <w:r w:rsidR="007E7843" w:rsidRPr="002D186F">
        <w:rPr>
          <w:b/>
          <w:sz w:val="24"/>
          <w:szCs w:val="24"/>
          <w:lang w:val="uk-UA"/>
        </w:rPr>
        <w:t xml:space="preserve"> у звітному періоді становили </w:t>
      </w:r>
      <w:r w:rsidR="00076BE6">
        <w:rPr>
          <w:b/>
          <w:sz w:val="24"/>
          <w:szCs w:val="24"/>
          <w:lang w:val="uk-UA"/>
        </w:rPr>
        <w:t>421,9</w:t>
      </w:r>
      <w:r w:rsidRPr="002D186F">
        <w:rPr>
          <w:b/>
          <w:sz w:val="24"/>
          <w:szCs w:val="24"/>
          <w:lang w:val="uk-UA"/>
        </w:rPr>
        <w:t xml:space="preserve"> </w:t>
      </w:r>
      <w:r w:rsidR="007E7843" w:rsidRPr="002D186F">
        <w:rPr>
          <w:b/>
          <w:sz w:val="24"/>
          <w:szCs w:val="24"/>
          <w:lang w:val="uk-UA"/>
        </w:rPr>
        <w:t>млн</w:t>
      </w:r>
      <w:r w:rsidR="00551C15" w:rsidRPr="002D186F">
        <w:rPr>
          <w:b/>
          <w:sz w:val="24"/>
          <w:szCs w:val="24"/>
          <w:lang w:val="uk-UA"/>
        </w:rPr>
        <w:t>. грн.</w:t>
      </w:r>
      <w:r w:rsidR="007E7843" w:rsidRPr="002D186F">
        <w:rPr>
          <w:b/>
          <w:sz w:val="24"/>
          <w:szCs w:val="24"/>
          <w:lang w:val="uk-UA"/>
        </w:rPr>
        <w:t xml:space="preserve">, </w:t>
      </w:r>
      <w:r w:rsidR="009305C6" w:rsidRPr="002D186F">
        <w:rPr>
          <w:b/>
          <w:sz w:val="24"/>
          <w:szCs w:val="24"/>
          <w:lang w:val="uk-UA"/>
        </w:rPr>
        <w:t>що менше</w:t>
      </w:r>
      <w:r w:rsidR="00AC00B0" w:rsidRPr="002D186F">
        <w:rPr>
          <w:b/>
          <w:sz w:val="24"/>
          <w:szCs w:val="24"/>
          <w:lang w:val="uk-UA"/>
        </w:rPr>
        <w:t xml:space="preserve"> ніж у ві</w:t>
      </w:r>
      <w:r w:rsidR="00B9760D" w:rsidRPr="002D186F">
        <w:rPr>
          <w:b/>
          <w:sz w:val="24"/>
          <w:szCs w:val="24"/>
          <w:lang w:val="uk-UA"/>
        </w:rPr>
        <w:t>дповідному періоді 2017</w:t>
      </w:r>
      <w:r w:rsidR="00777C15" w:rsidRPr="002D186F">
        <w:rPr>
          <w:b/>
          <w:sz w:val="24"/>
          <w:szCs w:val="24"/>
          <w:lang w:val="uk-UA"/>
        </w:rPr>
        <w:t xml:space="preserve"> року</w:t>
      </w:r>
      <w:r w:rsidR="00076BE6">
        <w:rPr>
          <w:b/>
          <w:sz w:val="24"/>
          <w:szCs w:val="24"/>
          <w:lang w:val="uk-UA"/>
        </w:rPr>
        <w:t xml:space="preserve"> на 105,1</w:t>
      </w:r>
      <w:r w:rsidR="009715D1" w:rsidRPr="002D186F">
        <w:rPr>
          <w:b/>
          <w:sz w:val="24"/>
          <w:szCs w:val="24"/>
          <w:lang w:val="uk-UA"/>
        </w:rPr>
        <w:t xml:space="preserve"> млн.</w:t>
      </w:r>
      <w:r w:rsidR="007E7843" w:rsidRPr="002D186F">
        <w:rPr>
          <w:b/>
          <w:sz w:val="24"/>
          <w:szCs w:val="24"/>
          <w:lang w:val="uk-UA"/>
        </w:rPr>
        <w:t xml:space="preserve"> </w:t>
      </w:r>
      <w:r w:rsidR="009715D1" w:rsidRPr="002D186F">
        <w:rPr>
          <w:b/>
          <w:sz w:val="24"/>
          <w:szCs w:val="24"/>
          <w:lang w:val="uk-UA"/>
        </w:rPr>
        <w:t>грн.</w:t>
      </w:r>
      <w:r w:rsidR="0033088C" w:rsidRPr="002D186F">
        <w:rPr>
          <w:b/>
          <w:sz w:val="24"/>
          <w:szCs w:val="24"/>
          <w:lang w:val="uk-UA"/>
        </w:rPr>
        <w:t xml:space="preserve"> та менш</w:t>
      </w:r>
      <w:r w:rsidR="006D753C" w:rsidRPr="002D186F">
        <w:rPr>
          <w:b/>
          <w:sz w:val="24"/>
          <w:szCs w:val="24"/>
          <w:lang w:val="uk-UA"/>
        </w:rPr>
        <w:t>е</w:t>
      </w:r>
      <w:r w:rsidR="0033088C" w:rsidRPr="002D186F">
        <w:rPr>
          <w:b/>
          <w:sz w:val="24"/>
          <w:szCs w:val="24"/>
          <w:lang w:val="uk-UA"/>
        </w:rPr>
        <w:t xml:space="preserve"> ніж заплановано на </w:t>
      </w:r>
      <w:r w:rsidR="00076BE6">
        <w:rPr>
          <w:b/>
          <w:sz w:val="24"/>
          <w:szCs w:val="24"/>
          <w:lang w:val="uk-UA"/>
        </w:rPr>
        <w:t>130,1</w:t>
      </w:r>
      <w:r w:rsidR="0033088C" w:rsidRPr="002D186F">
        <w:rPr>
          <w:b/>
          <w:sz w:val="24"/>
          <w:szCs w:val="24"/>
          <w:lang w:val="uk-UA"/>
        </w:rPr>
        <w:t xml:space="preserve"> </w:t>
      </w:r>
      <w:r w:rsidR="00A1588B" w:rsidRPr="002D186F">
        <w:rPr>
          <w:b/>
          <w:sz w:val="24"/>
          <w:szCs w:val="24"/>
          <w:lang w:val="uk-UA"/>
        </w:rPr>
        <w:t>млн. грн.</w:t>
      </w:r>
    </w:p>
    <w:p w:rsidR="00EF0AEB" w:rsidRPr="002D186F" w:rsidRDefault="00EF0AEB" w:rsidP="009D326F">
      <w:pPr>
        <w:spacing w:before="120"/>
        <w:ind w:firstLine="567"/>
        <w:jc w:val="right"/>
        <w:rPr>
          <w:i/>
          <w:sz w:val="24"/>
          <w:szCs w:val="24"/>
          <w:lang w:val="uk-UA"/>
        </w:rPr>
      </w:pPr>
      <w:r w:rsidRPr="002D186F">
        <w:rPr>
          <w:i/>
          <w:sz w:val="24"/>
          <w:szCs w:val="24"/>
          <w:lang w:val="uk-UA"/>
        </w:rPr>
        <w:t>Таблиця 1, тис. грн.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992"/>
        <w:gridCol w:w="8"/>
        <w:gridCol w:w="985"/>
        <w:gridCol w:w="992"/>
        <w:gridCol w:w="992"/>
        <w:gridCol w:w="993"/>
        <w:gridCol w:w="992"/>
      </w:tblGrid>
      <w:tr w:rsidR="00744056" w:rsidRPr="002D186F" w:rsidTr="00BB1116">
        <w:trPr>
          <w:trHeight w:val="47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44056" w:rsidRPr="002D186F" w:rsidRDefault="00744056" w:rsidP="00744056">
            <w:pPr>
              <w:jc w:val="center"/>
              <w:rPr>
                <w:b/>
                <w:bCs/>
                <w:lang w:val="uk-UA"/>
              </w:rPr>
            </w:pPr>
            <w:r w:rsidRPr="002D186F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44056" w:rsidRPr="002D186F" w:rsidRDefault="00754D0D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>Звіт</w:t>
            </w:r>
            <w:r w:rsidR="004A6F44" w:rsidRPr="002D186F">
              <w:rPr>
                <w:b/>
                <w:bCs/>
                <w:sz w:val="18"/>
                <w:lang w:val="uk-UA"/>
              </w:rPr>
              <w:t xml:space="preserve"> </w:t>
            </w:r>
            <w:r w:rsidR="00B9760D" w:rsidRPr="002D186F">
              <w:rPr>
                <w:b/>
                <w:bCs/>
                <w:sz w:val="18"/>
                <w:lang w:val="uk-UA"/>
              </w:rPr>
              <w:br/>
              <w:t>2017</w:t>
            </w:r>
            <w:r w:rsidR="007C3997" w:rsidRPr="002D186F">
              <w:rPr>
                <w:b/>
                <w:bCs/>
                <w:sz w:val="18"/>
                <w:lang w:val="uk-UA"/>
              </w:rPr>
              <w:t xml:space="preserve"> </w:t>
            </w:r>
            <w:r w:rsidR="00744056" w:rsidRPr="002D186F">
              <w:rPr>
                <w:b/>
                <w:bCs/>
                <w:sz w:val="18"/>
                <w:lang w:val="uk-UA"/>
              </w:rPr>
              <w:t>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744056" w:rsidRPr="002D186F" w:rsidRDefault="007C3997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>План</w:t>
            </w:r>
            <w:r w:rsidR="004A6F44" w:rsidRPr="002D186F">
              <w:rPr>
                <w:b/>
                <w:bCs/>
                <w:sz w:val="18"/>
                <w:lang w:val="uk-UA"/>
              </w:rPr>
              <w:t xml:space="preserve">  </w:t>
            </w:r>
            <w:r w:rsidR="00B9760D" w:rsidRPr="002D186F">
              <w:rPr>
                <w:b/>
                <w:bCs/>
                <w:sz w:val="18"/>
                <w:lang w:val="uk-UA"/>
              </w:rPr>
              <w:t xml:space="preserve"> </w:t>
            </w:r>
            <w:r w:rsidRPr="002D186F">
              <w:rPr>
                <w:b/>
                <w:bCs/>
                <w:sz w:val="18"/>
                <w:lang w:val="uk-UA"/>
              </w:rPr>
              <w:br/>
            </w:r>
            <w:r w:rsidR="00B9760D" w:rsidRPr="002D186F">
              <w:rPr>
                <w:b/>
                <w:bCs/>
                <w:sz w:val="18"/>
                <w:lang w:val="uk-UA"/>
              </w:rPr>
              <w:t>2018</w:t>
            </w:r>
            <w:r w:rsidRPr="002D186F">
              <w:rPr>
                <w:b/>
                <w:bCs/>
                <w:sz w:val="18"/>
                <w:lang w:val="uk-UA"/>
              </w:rPr>
              <w:t xml:space="preserve"> </w:t>
            </w:r>
            <w:r w:rsidR="00744056" w:rsidRPr="002D186F">
              <w:rPr>
                <w:b/>
                <w:bCs/>
                <w:sz w:val="18"/>
                <w:lang w:val="uk-UA"/>
              </w:rPr>
              <w:t>р</w:t>
            </w:r>
            <w:r w:rsidRPr="002D186F">
              <w:rPr>
                <w:b/>
                <w:bCs/>
                <w:sz w:val="18"/>
                <w:lang w:val="uk-UA"/>
              </w:rPr>
              <w:t>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744056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Звіт </w:t>
            </w:r>
            <w:r w:rsidR="007C3997" w:rsidRPr="002D186F">
              <w:rPr>
                <w:b/>
                <w:bCs/>
                <w:sz w:val="18"/>
                <w:lang w:val="uk-UA"/>
              </w:rPr>
              <w:br/>
            </w:r>
            <w:r w:rsidR="00B9760D" w:rsidRPr="002D186F">
              <w:rPr>
                <w:b/>
                <w:bCs/>
                <w:sz w:val="18"/>
                <w:lang w:val="uk-UA"/>
              </w:rPr>
              <w:t>2018</w:t>
            </w:r>
            <w:r w:rsidR="007C3997" w:rsidRPr="002D186F">
              <w:rPr>
                <w:b/>
                <w:bCs/>
                <w:sz w:val="18"/>
                <w:lang w:val="uk-UA"/>
              </w:rPr>
              <w:t xml:space="preserve"> </w:t>
            </w:r>
            <w:r w:rsidR="00744056" w:rsidRPr="002D186F">
              <w:rPr>
                <w:b/>
                <w:bCs/>
                <w:sz w:val="18"/>
                <w:lang w:val="uk-UA"/>
              </w:rPr>
              <w:t>р</w:t>
            </w:r>
            <w:r w:rsidR="007C3997" w:rsidRPr="002D186F">
              <w:rPr>
                <w:b/>
                <w:bCs/>
                <w:sz w:val="18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44056" w:rsidRPr="002D186F" w:rsidRDefault="00744056" w:rsidP="007C3997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>Відхилення звіту</w:t>
            </w:r>
          </w:p>
          <w:p w:rsidR="00744056" w:rsidRPr="002D186F" w:rsidRDefault="00B9760D" w:rsidP="004A6F44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>2018</w:t>
            </w:r>
            <w:r w:rsidR="00744056" w:rsidRPr="002D186F">
              <w:rPr>
                <w:b/>
                <w:bCs/>
                <w:sz w:val="18"/>
                <w:lang w:val="uk-UA"/>
              </w:rPr>
              <w:t xml:space="preserve"> р. до: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44056" w:rsidRPr="002D186F" w:rsidRDefault="00744056" w:rsidP="007C3997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>Відносно звіту</w:t>
            </w:r>
            <w:r w:rsidR="004A6F44" w:rsidRPr="002D186F">
              <w:rPr>
                <w:b/>
                <w:bCs/>
                <w:sz w:val="18"/>
                <w:lang w:val="uk-UA"/>
              </w:rPr>
              <w:t xml:space="preserve"> </w:t>
            </w:r>
          </w:p>
          <w:p w:rsidR="00744056" w:rsidRPr="002D186F" w:rsidRDefault="00B9760D" w:rsidP="007C3997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>2018</w:t>
            </w:r>
            <w:r w:rsidR="00744056" w:rsidRPr="002D186F">
              <w:rPr>
                <w:b/>
                <w:bCs/>
                <w:sz w:val="18"/>
                <w:lang w:val="uk-UA"/>
              </w:rPr>
              <w:t xml:space="preserve"> р. до:</w:t>
            </w:r>
          </w:p>
        </w:tc>
      </w:tr>
      <w:tr w:rsidR="007C3997" w:rsidRPr="002D186F" w:rsidTr="00BB1116">
        <w:trPr>
          <w:trHeight w:val="31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3997" w:rsidRPr="002D186F" w:rsidRDefault="007C3997" w:rsidP="007C3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3997" w:rsidRPr="002D186F" w:rsidRDefault="007C3997" w:rsidP="007C3997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3997" w:rsidRPr="002D186F" w:rsidRDefault="007C3997" w:rsidP="007C3997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3997" w:rsidRPr="002D186F" w:rsidRDefault="007C3997" w:rsidP="007C3997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3997" w:rsidRPr="002D186F" w:rsidRDefault="00B9760D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>З</w:t>
            </w:r>
            <w:r w:rsidR="00754D0D" w:rsidRPr="002D186F">
              <w:rPr>
                <w:b/>
                <w:bCs/>
                <w:sz w:val="16"/>
                <w:lang w:val="uk-UA"/>
              </w:rPr>
              <w:t>віт</w:t>
            </w:r>
            <w:r w:rsidR="008E54AF" w:rsidRPr="002D186F">
              <w:rPr>
                <w:b/>
                <w:bCs/>
                <w:sz w:val="16"/>
                <w:lang w:val="uk-UA"/>
              </w:rPr>
              <w:t xml:space="preserve"> </w:t>
            </w:r>
            <w:r w:rsidR="007C3997" w:rsidRPr="002D186F">
              <w:rPr>
                <w:b/>
                <w:bCs/>
                <w:sz w:val="16"/>
                <w:lang w:val="uk-UA"/>
              </w:rPr>
              <w:br/>
            </w:r>
            <w:r w:rsidR="00C22205">
              <w:rPr>
                <w:b/>
                <w:bCs/>
                <w:sz w:val="16"/>
                <w:lang w:val="uk-UA"/>
              </w:rPr>
              <w:t xml:space="preserve">   </w:t>
            </w:r>
            <w:r w:rsidR="007C3997" w:rsidRPr="002D186F">
              <w:rPr>
                <w:b/>
                <w:bCs/>
                <w:sz w:val="16"/>
                <w:lang w:val="uk-UA"/>
              </w:rPr>
              <w:t>201</w:t>
            </w:r>
            <w:r w:rsidR="002A7DF9" w:rsidRPr="002D186F">
              <w:rPr>
                <w:b/>
                <w:bCs/>
                <w:sz w:val="16"/>
                <w:lang w:val="uk-UA"/>
              </w:rPr>
              <w:t>7</w:t>
            </w:r>
            <w:r w:rsidR="007C3997" w:rsidRPr="002D186F">
              <w:rPr>
                <w:b/>
                <w:bCs/>
                <w:sz w:val="16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Default="00B9760D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>П</w:t>
            </w:r>
            <w:r w:rsidR="00754D0D" w:rsidRPr="002D186F">
              <w:rPr>
                <w:b/>
                <w:bCs/>
                <w:sz w:val="16"/>
                <w:lang w:val="uk-UA"/>
              </w:rPr>
              <w:t>лан</w:t>
            </w:r>
            <w:r w:rsidR="004A6F44" w:rsidRPr="002D186F">
              <w:rPr>
                <w:b/>
                <w:bCs/>
                <w:sz w:val="16"/>
                <w:lang w:val="uk-UA"/>
              </w:rPr>
              <w:t xml:space="preserve"> </w:t>
            </w:r>
          </w:p>
          <w:p w:rsidR="007C3997" w:rsidRPr="002D186F" w:rsidRDefault="00B9760D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>2018</w:t>
            </w:r>
            <w:r w:rsidR="007C3997" w:rsidRPr="002D186F">
              <w:rPr>
                <w:b/>
                <w:bCs/>
                <w:sz w:val="16"/>
                <w:lang w:val="uk-UA"/>
              </w:rPr>
              <w:t xml:space="preserve"> 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3997" w:rsidRPr="002D186F" w:rsidRDefault="00C22205" w:rsidP="00C22205">
            <w:pPr>
              <w:ind w:left="-95" w:right="-93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 xml:space="preserve">       </w:t>
            </w:r>
            <w:r w:rsidR="00B9760D" w:rsidRPr="002D186F">
              <w:rPr>
                <w:b/>
                <w:bCs/>
                <w:sz w:val="16"/>
                <w:lang w:val="uk-UA"/>
              </w:rPr>
              <w:t>З</w:t>
            </w:r>
            <w:r w:rsidR="00754D0D" w:rsidRPr="002D186F">
              <w:rPr>
                <w:b/>
                <w:bCs/>
                <w:sz w:val="16"/>
                <w:lang w:val="uk-UA"/>
              </w:rPr>
              <w:t>віт</w:t>
            </w:r>
            <w:r w:rsidR="004A6F44" w:rsidRPr="002D186F">
              <w:rPr>
                <w:b/>
                <w:bCs/>
                <w:sz w:val="16"/>
                <w:lang w:val="uk-UA"/>
              </w:rPr>
              <w:t xml:space="preserve"> </w:t>
            </w:r>
            <w:r w:rsidR="00B9760D" w:rsidRPr="002D186F">
              <w:rPr>
                <w:b/>
                <w:bCs/>
                <w:sz w:val="16"/>
                <w:lang w:val="uk-UA"/>
              </w:rPr>
              <w:br/>
            </w:r>
            <w:r>
              <w:rPr>
                <w:b/>
                <w:bCs/>
                <w:sz w:val="16"/>
                <w:lang w:val="uk-UA"/>
              </w:rPr>
              <w:t xml:space="preserve">      </w:t>
            </w:r>
            <w:r w:rsidR="00B9760D" w:rsidRPr="002D186F">
              <w:rPr>
                <w:b/>
                <w:bCs/>
                <w:sz w:val="16"/>
                <w:lang w:val="uk-UA"/>
              </w:rPr>
              <w:t>2017</w:t>
            </w:r>
            <w:r w:rsidR="007C3997" w:rsidRPr="002D186F">
              <w:rPr>
                <w:b/>
                <w:bCs/>
                <w:sz w:val="16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Default="00B9760D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>П</w:t>
            </w:r>
            <w:r w:rsidR="00754D0D" w:rsidRPr="002D186F">
              <w:rPr>
                <w:b/>
                <w:bCs/>
                <w:sz w:val="16"/>
                <w:lang w:val="uk-UA"/>
              </w:rPr>
              <w:t>лан</w:t>
            </w:r>
            <w:r w:rsidR="004A6F44" w:rsidRPr="002D186F">
              <w:rPr>
                <w:b/>
                <w:bCs/>
                <w:sz w:val="16"/>
                <w:lang w:val="uk-UA"/>
              </w:rPr>
              <w:t xml:space="preserve"> </w:t>
            </w:r>
          </w:p>
          <w:p w:rsidR="007C3997" w:rsidRPr="002D186F" w:rsidRDefault="004A6F44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 xml:space="preserve"> </w:t>
            </w:r>
            <w:r w:rsidR="007C3997" w:rsidRPr="002D186F">
              <w:rPr>
                <w:b/>
                <w:bCs/>
                <w:sz w:val="16"/>
                <w:lang w:val="uk-UA"/>
              </w:rPr>
              <w:t>201</w:t>
            </w:r>
            <w:r w:rsidR="00B9760D" w:rsidRPr="002D186F">
              <w:rPr>
                <w:b/>
                <w:bCs/>
                <w:sz w:val="16"/>
                <w:lang w:val="uk-UA"/>
              </w:rPr>
              <w:t>8</w:t>
            </w:r>
            <w:r w:rsidR="007C3997" w:rsidRPr="002D186F">
              <w:rPr>
                <w:b/>
                <w:bCs/>
                <w:sz w:val="16"/>
                <w:lang w:val="uk-UA"/>
              </w:rPr>
              <w:t xml:space="preserve"> р.</w:t>
            </w:r>
          </w:p>
        </w:tc>
      </w:tr>
      <w:tr w:rsidR="00076BE6" w:rsidRPr="002D186F" w:rsidTr="00076BE6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E6" w:rsidRDefault="00076BE6" w:rsidP="00076BE6">
            <w:r>
              <w:t xml:space="preserve">Чистий дохід від реалізації продукції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</w:pPr>
            <w:r>
              <w:t xml:space="preserve">253 248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</w:pPr>
            <w:r>
              <w:t xml:space="preserve">323 618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</w:pPr>
            <w:r>
              <w:t xml:space="preserve">164 856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</w:pPr>
            <w:r>
              <w:t xml:space="preserve">-88 392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</w:pPr>
            <w:r>
              <w:t xml:space="preserve">-158 762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E6" w:rsidRDefault="00076BE6" w:rsidP="00076BE6">
            <w:pPr>
              <w:jc w:val="right"/>
            </w:pPr>
          </w:p>
          <w:p w:rsidR="00076BE6" w:rsidRDefault="00076BE6" w:rsidP="00076BE6">
            <w:pPr>
              <w:jc w:val="right"/>
            </w:pPr>
            <w:r>
              <w:t xml:space="preserve">65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E6" w:rsidRDefault="00076BE6" w:rsidP="00076BE6">
            <w:pPr>
              <w:jc w:val="right"/>
            </w:pPr>
          </w:p>
          <w:p w:rsidR="00076BE6" w:rsidRDefault="00076BE6" w:rsidP="00076BE6">
            <w:pPr>
              <w:jc w:val="right"/>
            </w:pPr>
            <w:r>
              <w:t xml:space="preserve">51  </w:t>
            </w:r>
          </w:p>
        </w:tc>
      </w:tr>
      <w:tr w:rsidR="00076BE6" w:rsidRPr="002D186F" w:rsidTr="00076BE6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r>
              <w:t xml:space="preserve"> Інші операційні доходи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</w:pPr>
            <w:r>
              <w:t xml:space="preserve">216 657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</w:pPr>
            <w:r>
              <w:t xml:space="preserve">190 666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</w:pPr>
            <w:r>
              <w:t xml:space="preserve">206 452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</w:pPr>
            <w:r>
              <w:t xml:space="preserve">-10 205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</w:pPr>
            <w:r>
              <w:t xml:space="preserve">15 786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E6" w:rsidRDefault="00076BE6" w:rsidP="00076BE6">
            <w:pPr>
              <w:jc w:val="right"/>
            </w:pPr>
            <w:r>
              <w:t xml:space="preserve">95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E6" w:rsidRDefault="00076BE6" w:rsidP="00076BE6">
            <w:pPr>
              <w:jc w:val="right"/>
            </w:pPr>
            <w:r>
              <w:t xml:space="preserve">108  </w:t>
            </w:r>
          </w:p>
        </w:tc>
      </w:tr>
      <w:tr w:rsidR="00076BE6" w:rsidRPr="002D186F" w:rsidTr="00076BE6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r>
              <w:t xml:space="preserve"> Інші фінансові доходи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</w:pPr>
            <w:r>
              <w:t xml:space="preserve">55 545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</w:pPr>
            <w:r>
              <w:t xml:space="preserve">32 500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</w:pPr>
            <w:r>
              <w:t xml:space="preserve">47 027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</w:pPr>
            <w:r>
              <w:t xml:space="preserve">-8 518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</w:pPr>
            <w:r>
              <w:t xml:space="preserve">14 527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E6" w:rsidRDefault="00076BE6" w:rsidP="00076BE6">
            <w:pPr>
              <w:jc w:val="right"/>
            </w:pPr>
            <w:r>
              <w:t xml:space="preserve">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E6" w:rsidRDefault="00076BE6" w:rsidP="00076BE6">
            <w:pPr>
              <w:jc w:val="right"/>
            </w:pPr>
            <w:r>
              <w:t xml:space="preserve">145  </w:t>
            </w:r>
          </w:p>
        </w:tc>
      </w:tr>
      <w:tr w:rsidR="00076BE6" w:rsidRPr="002D186F" w:rsidTr="00076BE6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r>
              <w:t xml:space="preserve"> Інші доходи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</w:pPr>
            <w:r>
              <w:t xml:space="preserve">1 551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</w:pPr>
            <w:r>
              <w:t xml:space="preserve">5 180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</w:pPr>
            <w:r>
              <w:t xml:space="preserve">3 551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</w:pPr>
            <w:r>
              <w:t xml:space="preserve">2 000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</w:pPr>
            <w:r>
              <w:t xml:space="preserve">-1 629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E6" w:rsidRDefault="00076BE6" w:rsidP="00076BE6">
            <w:pPr>
              <w:jc w:val="right"/>
            </w:pPr>
            <w:r>
              <w:t xml:space="preserve">229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E6" w:rsidRDefault="00076BE6" w:rsidP="00076BE6">
            <w:pPr>
              <w:jc w:val="right"/>
            </w:pPr>
            <w:r>
              <w:t xml:space="preserve">69  </w:t>
            </w:r>
          </w:p>
        </w:tc>
      </w:tr>
      <w:tr w:rsidR="00076BE6" w:rsidRPr="002D186F" w:rsidTr="00076BE6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Всього доходи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527 001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551 964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421 886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-105 115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E6" w:rsidRDefault="00076BE6" w:rsidP="00076B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-130 078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E6" w:rsidRDefault="00076BE6" w:rsidP="00076B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E6" w:rsidRDefault="00076BE6" w:rsidP="00076B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76  </w:t>
            </w:r>
          </w:p>
        </w:tc>
      </w:tr>
    </w:tbl>
    <w:p w:rsidR="00ED248E" w:rsidRPr="002D186F" w:rsidRDefault="00ED248E" w:rsidP="00FA66A0">
      <w:pPr>
        <w:jc w:val="right"/>
        <w:rPr>
          <w:i/>
          <w:sz w:val="10"/>
          <w:szCs w:val="10"/>
          <w:lang w:val="uk-UA"/>
        </w:rPr>
      </w:pPr>
    </w:p>
    <w:p w:rsidR="00510E11" w:rsidRPr="002D186F" w:rsidRDefault="002166EB">
      <w:pPr>
        <w:ind w:firstLine="709"/>
        <w:jc w:val="both"/>
        <w:rPr>
          <w:sz w:val="24"/>
          <w:szCs w:val="24"/>
          <w:lang w:val="uk-UA"/>
        </w:rPr>
      </w:pPr>
      <w:r w:rsidRPr="002D186F">
        <w:rPr>
          <w:b/>
          <w:sz w:val="24"/>
          <w:szCs w:val="24"/>
          <w:lang w:val="uk-UA"/>
        </w:rPr>
        <w:t>Чистий дох</w:t>
      </w:r>
      <w:r w:rsidR="009305C6" w:rsidRPr="002D186F">
        <w:rPr>
          <w:b/>
          <w:sz w:val="24"/>
          <w:szCs w:val="24"/>
          <w:lang w:val="uk-UA"/>
        </w:rPr>
        <w:t>і</w:t>
      </w:r>
      <w:r w:rsidRPr="002D186F">
        <w:rPr>
          <w:b/>
          <w:sz w:val="24"/>
          <w:szCs w:val="24"/>
          <w:lang w:val="uk-UA"/>
        </w:rPr>
        <w:t>д</w:t>
      </w:r>
      <w:r w:rsidRPr="002D186F">
        <w:rPr>
          <w:i/>
          <w:sz w:val="24"/>
          <w:szCs w:val="24"/>
          <w:lang w:val="uk-UA"/>
        </w:rPr>
        <w:t xml:space="preserve"> </w:t>
      </w:r>
      <w:r w:rsidRPr="002D186F">
        <w:rPr>
          <w:sz w:val="24"/>
          <w:szCs w:val="24"/>
          <w:lang w:val="uk-UA"/>
        </w:rPr>
        <w:t xml:space="preserve">(виручка) </w:t>
      </w:r>
      <w:r w:rsidR="00510E11" w:rsidRPr="002D186F">
        <w:rPr>
          <w:sz w:val="24"/>
          <w:szCs w:val="24"/>
          <w:lang w:val="uk-UA"/>
        </w:rPr>
        <w:t>від</w:t>
      </w:r>
      <w:r w:rsidRPr="002D186F">
        <w:rPr>
          <w:sz w:val="24"/>
          <w:szCs w:val="24"/>
          <w:lang w:val="uk-UA"/>
        </w:rPr>
        <w:t xml:space="preserve"> реалізації продукції</w:t>
      </w:r>
      <w:r w:rsidR="00510E11" w:rsidRPr="002D186F">
        <w:rPr>
          <w:sz w:val="24"/>
          <w:szCs w:val="24"/>
          <w:lang w:val="uk-UA"/>
        </w:rPr>
        <w:t xml:space="preserve"> </w:t>
      </w:r>
      <w:r w:rsidRPr="002D186F">
        <w:rPr>
          <w:sz w:val="24"/>
          <w:szCs w:val="24"/>
          <w:lang w:val="uk-UA"/>
        </w:rPr>
        <w:t xml:space="preserve">(товарів, </w:t>
      </w:r>
      <w:r w:rsidR="00510E11" w:rsidRPr="002D186F">
        <w:rPr>
          <w:sz w:val="24"/>
          <w:szCs w:val="24"/>
          <w:lang w:val="uk-UA"/>
        </w:rPr>
        <w:t>робіт</w:t>
      </w:r>
      <w:r w:rsidRPr="002D186F">
        <w:rPr>
          <w:sz w:val="24"/>
          <w:szCs w:val="24"/>
          <w:lang w:val="uk-UA"/>
        </w:rPr>
        <w:t>,</w:t>
      </w:r>
      <w:r w:rsidR="00510E11" w:rsidRPr="002D186F">
        <w:rPr>
          <w:sz w:val="24"/>
          <w:szCs w:val="24"/>
          <w:lang w:val="uk-UA"/>
        </w:rPr>
        <w:t xml:space="preserve"> послуг</w:t>
      </w:r>
      <w:r w:rsidRPr="002D186F">
        <w:rPr>
          <w:sz w:val="24"/>
          <w:szCs w:val="24"/>
          <w:lang w:val="uk-UA"/>
        </w:rPr>
        <w:t>)</w:t>
      </w:r>
      <w:r w:rsidR="00510E11" w:rsidRPr="002D186F">
        <w:rPr>
          <w:sz w:val="24"/>
          <w:szCs w:val="24"/>
          <w:lang w:val="uk-UA"/>
        </w:rPr>
        <w:t xml:space="preserve"> </w:t>
      </w:r>
      <w:r w:rsidR="0019236B" w:rsidRPr="002D186F">
        <w:rPr>
          <w:sz w:val="24"/>
          <w:szCs w:val="24"/>
          <w:lang w:val="uk-UA"/>
        </w:rPr>
        <w:t xml:space="preserve">за звітний період </w:t>
      </w:r>
      <w:r w:rsidR="009C3299" w:rsidRPr="002D186F">
        <w:rPr>
          <w:sz w:val="24"/>
          <w:szCs w:val="24"/>
          <w:lang w:val="uk-UA"/>
        </w:rPr>
        <w:t>становить</w:t>
      </w:r>
      <w:r w:rsidR="0019236B" w:rsidRPr="002D186F">
        <w:rPr>
          <w:sz w:val="24"/>
          <w:szCs w:val="24"/>
          <w:lang w:val="uk-UA"/>
        </w:rPr>
        <w:t xml:space="preserve"> </w:t>
      </w:r>
      <w:r w:rsidR="00076BE6">
        <w:rPr>
          <w:sz w:val="24"/>
          <w:szCs w:val="24"/>
          <w:lang w:val="uk-UA"/>
        </w:rPr>
        <w:t>164,9</w:t>
      </w:r>
      <w:r w:rsidR="009715D1" w:rsidRPr="002D186F">
        <w:rPr>
          <w:sz w:val="24"/>
          <w:szCs w:val="24"/>
          <w:lang w:val="uk-UA"/>
        </w:rPr>
        <w:t xml:space="preserve"> млн. грн.</w:t>
      </w:r>
      <w:r w:rsidR="00C16F75" w:rsidRPr="002D186F">
        <w:rPr>
          <w:sz w:val="24"/>
          <w:szCs w:val="24"/>
          <w:lang w:val="uk-UA"/>
        </w:rPr>
        <w:t>, що менш</w:t>
      </w:r>
      <w:r w:rsidR="006D753C" w:rsidRPr="002D186F">
        <w:rPr>
          <w:sz w:val="24"/>
          <w:szCs w:val="24"/>
          <w:lang w:val="uk-UA"/>
        </w:rPr>
        <w:t>е</w:t>
      </w:r>
      <w:r w:rsidR="00EF3443" w:rsidRPr="002D186F">
        <w:rPr>
          <w:sz w:val="24"/>
          <w:szCs w:val="24"/>
          <w:lang w:val="uk-UA"/>
        </w:rPr>
        <w:t xml:space="preserve"> </w:t>
      </w:r>
      <w:r w:rsidR="00C16F75" w:rsidRPr="002D186F">
        <w:rPr>
          <w:sz w:val="24"/>
          <w:szCs w:val="24"/>
          <w:lang w:val="uk-UA"/>
        </w:rPr>
        <w:t>відповідн</w:t>
      </w:r>
      <w:r w:rsidR="006D753C" w:rsidRPr="002D186F">
        <w:rPr>
          <w:sz w:val="24"/>
          <w:szCs w:val="24"/>
          <w:lang w:val="uk-UA"/>
        </w:rPr>
        <w:t>ого</w:t>
      </w:r>
      <w:r w:rsidR="00C16F75" w:rsidRPr="002D186F">
        <w:rPr>
          <w:sz w:val="24"/>
          <w:szCs w:val="24"/>
          <w:lang w:val="uk-UA"/>
        </w:rPr>
        <w:t xml:space="preserve"> період</w:t>
      </w:r>
      <w:r w:rsidR="006D753C" w:rsidRPr="002D186F">
        <w:rPr>
          <w:sz w:val="24"/>
          <w:szCs w:val="24"/>
          <w:lang w:val="uk-UA"/>
        </w:rPr>
        <w:t>у</w:t>
      </w:r>
      <w:r w:rsidR="00B9760D" w:rsidRPr="002D186F">
        <w:rPr>
          <w:sz w:val="24"/>
          <w:szCs w:val="24"/>
          <w:lang w:val="uk-UA"/>
        </w:rPr>
        <w:t xml:space="preserve"> 2017</w:t>
      </w:r>
      <w:r w:rsidR="00AC00B0" w:rsidRPr="002D186F">
        <w:rPr>
          <w:sz w:val="24"/>
          <w:szCs w:val="24"/>
          <w:lang w:val="uk-UA"/>
        </w:rPr>
        <w:t xml:space="preserve"> </w:t>
      </w:r>
      <w:r w:rsidR="00777C15" w:rsidRPr="002D186F">
        <w:rPr>
          <w:sz w:val="24"/>
          <w:szCs w:val="24"/>
          <w:lang w:val="uk-UA"/>
        </w:rPr>
        <w:t xml:space="preserve">року </w:t>
      </w:r>
      <w:r w:rsidR="00B9760D" w:rsidRPr="002D186F">
        <w:rPr>
          <w:sz w:val="24"/>
          <w:szCs w:val="24"/>
          <w:lang w:val="uk-UA"/>
        </w:rPr>
        <w:t xml:space="preserve">на </w:t>
      </w:r>
      <w:r w:rsidR="00076BE6">
        <w:rPr>
          <w:sz w:val="24"/>
          <w:szCs w:val="24"/>
          <w:lang w:val="uk-UA"/>
        </w:rPr>
        <w:t>88,4</w:t>
      </w:r>
      <w:r w:rsidR="009715D1" w:rsidRPr="002D186F">
        <w:rPr>
          <w:sz w:val="24"/>
          <w:szCs w:val="24"/>
          <w:lang w:val="uk-UA"/>
        </w:rPr>
        <w:t xml:space="preserve"> м</w:t>
      </w:r>
      <w:r w:rsidR="00510E11" w:rsidRPr="002D186F">
        <w:rPr>
          <w:sz w:val="24"/>
          <w:szCs w:val="24"/>
          <w:lang w:val="uk-UA"/>
        </w:rPr>
        <w:t>лн</w:t>
      </w:r>
      <w:r w:rsidR="009715D1" w:rsidRPr="002D186F">
        <w:rPr>
          <w:sz w:val="24"/>
          <w:szCs w:val="24"/>
          <w:lang w:val="uk-UA"/>
        </w:rPr>
        <w:t>.</w:t>
      </w:r>
      <w:r w:rsidR="00510E11" w:rsidRPr="002D186F">
        <w:rPr>
          <w:sz w:val="24"/>
          <w:szCs w:val="24"/>
          <w:lang w:val="uk-UA"/>
        </w:rPr>
        <w:t xml:space="preserve"> </w:t>
      </w:r>
      <w:r w:rsidR="009305C6" w:rsidRPr="002D186F">
        <w:rPr>
          <w:sz w:val="24"/>
          <w:szCs w:val="24"/>
          <w:lang w:val="uk-UA"/>
        </w:rPr>
        <w:t>грн.</w:t>
      </w:r>
      <w:r w:rsidR="00323364" w:rsidRPr="002D186F">
        <w:rPr>
          <w:sz w:val="24"/>
          <w:szCs w:val="24"/>
          <w:lang w:val="uk-UA"/>
        </w:rPr>
        <w:t>,</w:t>
      </w:r>
      <w:r w:rsidR="00510E11" w:rsidRPr="002D186F">
        <w:rPr>
          <w:sz w:val="24"/>
          <w:szCs w:val="24"/>
          <w:lang w:val="uk-UA"/>
        </w:rPr>
        <w:t xml:space="preserve"> </w:t>
      </w:r>
      <w:r w:rsidR="009C3299" w:rsidRPr="002D186F">
        <w:rPr>
          <w:sz w:val="24"/>
          <w:szCs w:val="24"/>
          <w:lang w:val="uk-UA"/>
        </w:rPr>
        <w:t xml:space="preserve">або на </w:t>
      </w:r>
      <w:r w:rsidR="00076BE6">
        <w:rPr>
          <w:sz w:val="24"/>
          <w:szCs w:val="24"/>
          <w:lang w:val="uk-UA"/>
        </w:rPr>
        <w:t>35</w:t>
      </w:r>
      <w:r w:rsidR="00A1588B" w:rsidRPr="002D186F">
        <w:rPr>
          <w:sz w:val="24"/>
          <w:szCs w:val="24"/>
          <w:lang w:val="uk-UA"/>
        </w:rPr>
        <w:t>%</w:t>
      </w:r>
      <w:r w:rsidR="006D753C" w:rsidRPr="002D186F">
        <w:rPr>
          <w:sz w:val="24"/>
          <w:szCs w:val="24"/>
          <w:lang w:val="uk-UA"/>
        </w:rPr>
        <w:t>,</w:t>
      </w:r>
      <w:r w:rsidR="0033088C" w:rsidRPr="002D186F">
        <w:rPr>
          <w:sz w:val="24"/>
          <w:szCs w:val="24"/>
          <w:lang w:val="uk-UA"/>
        </w:rPr>
        <w:t xml:space="preserve"> що зумовлено зменшенням обсяг</w:t>
      </w:r>
      <w:r w:rsidR="00F214C8" w:rsidRPr="002D186F">
        <w:rPr>
          <w:sz w:val="24"/>
          <w:szCs w:val="24"/>
          <w:lang w:val="uk-UA"/>
        </w:rPr>
        <w:t>і</w:t>
      </w:r>
      <w:r w:rsidR="00152D2B" w:rsidRPr="002D186F">
        <w:rPr>
          <w:sz w:val="24"/>
          <w:szCs w:val="24"/>
          <w:lang w:val="uk-UA"/>
        </w:rPr>
        <w:t xml:space="preserve">в буксирних послуг на суму </w:t>
      </w:r>
      <w:r w:rsidR="00076BE6">
        <w:rPr>
          <w:sz w:val="24"/>
          <w:szCs w:val="24"/>
          <w:lang w:val="uk-UA"/>
        </w:rPr>
        <w:t>83,4</w:t>
      </w:r>
      <w:r w:rsidR="0033088C" w:rsidRPr="002D186F">
        <w:rPr>
          <w:sz w:val="24"/>
          <w:szCs w:val="24"/>
          <w:lang w:val="uk-UA"/>
        </w:rPr>
        <w:t xml:space="preserve"> млн. грн</w:t>
      </w:r>
      <w:r w:rsidR="008D25AC" w:rsidRPr="002D186F">
        <w:rPr>
          <w:sz w:val="24"/>
          <w:szCs w:val="24"/>
          <w:lang w:val="uk-UA"/>
        </w:rPr>
        <w:t>.</w:t>
      </w:r>
      <w:r w:rsidR="006D753C" w:rsidRPr="002D186F">
        <w:rPr>
          <w:sz w:val="24"/>
          <w:szCs w:val="24"/>
          <w:lang w:val="uk-UA"/>
        </w:rPr>
        <w:t>, а також</w:t>
      </w:r>
      <w:r w:rsidR="008D25AC" w:rsidRPr="002D186F">
        <w:rPr>
          <w:sz w:val="24"/>
          <w:szCs w:val="24"/>
          <w:lang w:val="uk-UA"/>
        </w:rPr>
        <w:t xml:space="preserve"> менш</w:t>
      </w:r>
      <w:r w:rsidR="006D753C" w:rsidRPr="002D186F">
        <w:rPr>
          <w:sz w:val="24"/>
          <w:szCs w:val="24"/>
          <w:lang w:val="uk-UA"/>
        </w:rPr>
        <w:t>е</w:t>
      </w:r>
      <w:r w:rsidR="008D25AC" w:rsidRPr="002D186F">
        <w:rPr>
          <w:sz w:val="24"/>
          <w:szCs w:val="24"/>
          <w:lang w:val="uk-UA"/>
        </w:rPr>
        <w:t xml:space="preserve"> </w:t>
      </w:r>
      <w:r w:rsidR="006D753C" w:rsidRPr="002D186F">
        <w:rPr>
          <w:sz w:val="24"/>
          <w:szCs w:val="24"/>
          <w:lang w:val="uk-UA"/>
        </w:rPr>
        <w:t>від</w:t>
      </w:r>
      <w:r w:rsidR="008D25AC" w:rsidRPr="002D186F">
        <w:rPr>
          <w:sz w:val="24"/>
          <w:szCs w:val="24"/>
          <w:lang w:val="uk-UA"/>
        </w:rPr>
        <w:t xml:space="preserve"> заплановано</w:t>
      </w:r>
      <w:r w:rsidR="006D753C" w:rsidRPr="002D186F">
        <w:rPr>
          <w:sz w:val="24"/>
          <w:szCs w:val="24"/>
          <w:lang w:val="uk-UA"/>
        </w:rPr>
        <w:t xml:space="preserve"> рівня</w:t>
      </w:r>
      <w:r w:rsidR="008828EA">
        <w:rPr>
          <w:sz w:val="24"/>
          <w:szCs w:val="24"/>
          <w:lang w:val="uk-UA"/>
        </w:rPr>
        <w:t xml:space="preserve"> на 158,8</w:t>
      </w:r>
      <w:r w:rsidR="00155BFC" w:rsidRPr="002D186F">
        <w:rPr>
          <w:sz w:val="24"/>
          <w:szCs w:val="24"/>
          <w:lang w:val="uk-UA"/>
        </w:rPr>
        <w:t xml:space="preserve"> млн. грн.</w:t>
      </w:r>
      <w:r w:rsidR="00323364" w:rsidRPr="002D186F">
        <w:rPr>
          <w:sz w:val="24"/>
          <w:szCs w:val="24"/>
          <w:lang w:val="uk-UA"/>
        </w:rPr>
        <w:t>,</w:t>
      </w:r>
      <w:r w:rsidR="008828EA">
        <w:rPr>
          <w:sz w:val="24"/>
          <w:szCs w:val="24"/>
          <w:lang w:val="uk-UA"/>
        </w:rPr>
        <w:t xml:space="preserve"> або на 49</w:t>
      </w:r>
      <w:r w:rsidR="00155BFC" w:rsidRPr="002D186F">
        <w:rPr>
          <w:sz w:val="24"/>
          <w:szCs w:val="24"/>
          <w:lang w:val="uk-UA"/>
        </w:rPr>
        <w:t>%.</w:t>
      </w:r>
    </w:p>
    <w:p w:rsidR="00AB79CB" w:rsidRDefault="00CD3851" w:rsidP="00BB1116">
      <w:pPr>
        <w:ind w:firstLine="709"/>
        <w:jc w:val="both"/>
        <w:rPr>
          <w:sz w:val="24"/>
          <w:szCs w:val="24"/>
          <w:lang w:val="uk-UA"/>
        </w:rPr>
      </w:pPr>
      <w:r w:rsidRPr="002D186F">
        <w:rPr>
          <w:sz w:val="24"/>
          <w:szCs w:val="24"/>
          <w:lang w:val="uk-UA"/>
        </w:rPr>
        <w:t>У порівнянні з плано</w:t>
      </w:r>
      <w:r w:rsidR="00AB79CB" w:rsidRPr="002D186F">
        <w:rPr>
          <w:sz w:val="24"/>
          <w:szCs w:val="24"/>
          <w:lang w:val="uk-UA"/>
        </w:rPr>
        <w:t>вим показником,</w:t>
      </w:r>
      <w:r w:rsidRPr="002D186F">
        <w:rPr>
          <w:sz w:val="24"/>
          <w:szCs w:val="24"/>
          <w:lang w:val="uk-UA"/>
        </w:rPr>
        <w:t xml:space="preserve"> чистий дох</w:t>
      </w:r>
      <w:r w:rsidR="006D753C" w:rsidRPr="002D186F">
        <w:rPr>
          <w:sz w:val="24"/>
          <w:szCs w:val="24"/>
          <w:lang w:val="uk-UA"/>
        </w:rPr>
        <w:t>і</w:t>
      </w:r>
      <w:r w:rsidRPr="002D186F">
        <w:rPr>
          <w:sz w:val="24"/>
          <w:szCs w:val="24"/>
          <w:lang w:val="uk-UA"/>
        </w:rPr>
        <w:t>д зменшено</w:t>
      </w:r>
      <w:r w:rsidR="00AB79CB" w:rsidRPr="002D186F">
        <w:rPr>
          <w:sz w:val="24"/>
          <w:szCs w:val="24"/>
          <w:lang w:val="uk-UA"/>
        </w:rPr>
        <w:t>,</w:t>
      </w:r>
      <w:r w:rsidRPr="002D186F">
        <w:rPr>
          <w:sz w:val="24"/>
          <w:szCs w:val="24"/>
          <w:lang w:val="uk-UA"/>
        </w:rPr>
        <w:t xml:space="preserve"> переважно</w:t>
      </w:r>
      <w:r w:rsidR="00AB79CB" w:rsidRPr="002D186F">
        <w:rPr>
          <w:sz w:val="24"/>
          <w:szCs w:val="24"/>
          <w:lang w:val="uk-UA"/>
        </w:rPr>
        <w:t>,</w:t>
      </w:r>
      <w:r w:rsidRPr="002D186F">
        <w:rPr>
          <w:sz w:val="24"/>
          <w:szCs w:val="24"/>
          <w:lang w:val="uk-UA"/>
        </w:rPr>
        <w:t xml:space="preserve"> за рахунок</w:t>
      </w:r>
      <w:r w:rsidR="00BB1116">
        <w:rPr>
          <w:sz w:val="24"/>
          <w:szCs w:val="24"/>
          <w:lang w:val="uk-UA"/>
        </w:rPr>
        <w:t xml:space="preserve"> зменшення </w:t>
      </w:r>
      <w:r w:rsidR="00AB79CB" w:rsidRPr="002D186F">
        <w:rPr>
          <w:sz w:val="24"/>
          <w:szCs w:val="24"/>
          <w:lang w:val="uk-UA"/>
        </w:rPr>
        <w:t xml:space="preserve">обсягів буксирних послуг </w:t>
      </w:r>
      <w:r w:rsidR="00E116D8" w:rsidRPr="002D186F">
        <w:rPr>
          <w:sz w:val="24"/>
          <w:szCs w:val="24"/>
          <w:lang w:val="uk-UA"/>
        </w:rPr>
        <w:t xml:space="preserve">на </w:t>
      </w:r>
      <w:r w:rsidR="008828EA">
        <w:rPr>
          <w:sz w:val="24"/>
          <w:szCs w:val="24"/>
          <w:lang w:val="uk-UA"/>
        </w:rPr>
        <w:t>148,4</w:t>
      </w:r>
      <w:r w:rsidR="00E116D8" w:rsidRPr="002D186F">
        <w:rPr>
          <w:sz w:val="24"/>
          <w:szCs w:val="24"/>
          <w:lang w:val="uk-UA"/>
        </w:rPr>
        <w:t xml:space="preserve"> </w:t>
      </w:r>
      <w:r w:rsidR="00AB79CB" w:rsidRPr="002D186F">
        <w:rPr>
          <w:sz w:val="24"/>
          <w:szCs w:val="24"/>
          <w:lang w:val="uk-UA"/>
        </w:rPr>
        <w:t>млн. грн.</w:t>
      </w:r>
      <w:r w:rsidR="007C3997" w:rsidRPr="002D186F">
        <w:rPr>
          <w:sz w:val="24"/>
          <w:szCs w:val="24"/>
          <w:lang w:val="uk-UA"/>
        </w:rPr>
        <w:t>, в першу чергу,</w:t>
      </w:r>
      <w:r w:rsidR="00AB79CB" w:rsidRPr="002D186F">
        <w:rPr>
          <w:sz w:val="24"/>
          <w:szCs w:val="24"/>
          <w:lang w:val="uk-UA"/>
        </w:rPr>
        <w:t xml:space="preserve"> з причини роб</w:t>
      </w:r>
      <w:r w:rsidR="00815BCB" w:rsidRPr="002D186F">
        <w:rPr>
          <w:sz w:val="24"/>
          <w:szCs w:val="24"/>
          <w:lang w:val="uk-UA"/>
        </w:rPr>
        <w:t>оти в акваторії порту приватних буксирних</w:t>
      </w:r>
      <w:r w:rsidR="00CE5B83" w:rsidRPr="002D186F">
        <w:rPr>
          <w:sz w:val="24"/>
          <w:szCs w:val="24"/>
          <w:lang w:val="uk-UA"/>
        </w:rPr>
        <w:t xml:space="preserve"> компаній</w:t>
      </w:r>
      <w:r w:rsidR="00AB79CB" w:rsidRPr="002D186F">
        <w:rPr>
          <w:sz w:val="24"/>
          <w:szCs w:val="24"/>
          <w:lang w:val="uk-UA"/>
        </w:rPr>
        <w:t xml:space="preserve"> ТОВ «Е</w:t>
      </w:r>
      <w:r w:rsidR="00CE5B83" w:rsidRPr="002D186F">
        <w:rPr>
          <w:sz w:val="24"/>
          <w:szCs w:val="24"/>
          <w:lang w:val="uk-UA"/>
        </w:rPr>
        <w:t>КОФЛОТ</w:t>
      </w:r>
      <w:r w:rsidR="00AB79CB" w:rsidRPr="002D186F">
        <w:rPr>
          <w:sz w:val="24"/>
          <w:szCs w:val="24"/>
          <w:lang w:val="uk-UA"/>
        </w:rPr>
        <w:t>»</w:t>
      </w:r>
      <w:r w:rsidR="00815BCB" w:rsidRPr="002D186F">
        <w:rPr>
          <w:sz w:val="24"/>
          <w:szCs w:val="24"/>
          <w:lang w:val="uk-UA"/>
        </w:rPr>
        <w:t xml:space="preserve"> та ТОВ «У</w:t>
      </w:r>
      <w:r w:rsidR="00CE5B83" w:rsidRPr="002D186F">
        <w:rPr>
          <w:sz w:val="24"/>
          <w:szCs w:val="24"/>
          <w:lang w:val="uk-UA"/>
        </w:rPr>
        <w:t>КРФЛОТ-СЕРВІС</w:t>
      </w:r>
      <w:r w:rsidR="00815BCB" w:rsidRPr="002D186F">
        <w:rPr>
          <w:sz w:val="24"/>
          <w:szCs w:val="24"/>
          <w:lang w:val="uk-UA"/>
        </w:rPr>
        <w:t>»</w:t>
      </w:r>
      <w:r w:rsidR="00BB1116">
        <w:rPr>
          <w:sz w:val="24"/>
          <w:szCs w:val="24"/>
          <w:lang w:val="uk-UA"/>
        </w:rPr>
        <w:t>.</w:t>
      </w:r>
    </w:p>
    <w:p w:rsidR="00A1588B" w:rsidRPr="002D186F" w:rsidRDefault="003835AD" w:rsidP="00163C3D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2D186F">
        <w:rPr>
          <w:b/>
          <w:sz w:val="24"/>
          <w:szCs w:val="24"/>
          <w:lang w:val="uk-UA"/>
        </w:rPr>
        <w:t>Інші о</w:t>
      </w:r>
      <w:r w:rsidR="00510E11" w:rsidRPr="002D186F">
        <w:rPr>
          <w:b/>
          <w:sz w:val="24"/>
          <w:szCs w:val="24"/>
          <w:lang w:val="uk-UA"/>
        </w:rPr>
        <w:t>пераційні доходи</w:t>
      </w:r>
      <w:r w:rsidR="00590994" w:rsidRPr="002D186F">
        <w:rPr>
          <w:i/>
          <w:sz w:val="24"/>
          <w:szCs w:val="24"/>
          <w:lang w:val="uk-UA"/>
        </w:rPr>
        <w:t xml:space="preserve"> </w:t>
      </w:r>
      <w:r w:rsidR="00C36EBA" w:rsidRPr="002D186F">
        <w:rPr>
          <w:sz w:val="24"/>
          <w:szCs w:val="24"/>
          <w:lang w:val="uk-UA"/>
        </w:rPr>
        <w:t>складають</w:t>
      </w:r>
      <w:r w:rsidR="008828EA">
        <w:rPr>
          <w:sz w:val="24"/>
          <w:szCs w:val="24"/>
          <w:lang w:val="uk-UA"/>
        </w:rPr>
        <w:t xml:space="preserve"> 206,5</w:t>
      </w:r>
      <w:r w:rsidR="00C36EBA" w:rsidRPr="002D186F">
        <w:rPr>
          <w:sz w:val="24"/>
          <w:szCs w:val="24"/>
          <w:lang w:val="uk-UA"/>
        </w:rPr>
        <w:t xml:space="preserve"> млн. грн. та</w:t>
      </w:r>
      <w:r w:rsidR="00C36EBA" w:rsidRPr="002D186F">
        <w:rPr>
          <w:i/>
          <w:sz w:val="24"/>
          <w:szCs w:val="24"/>
          <w:lang w:val="uk-UA"/>
        </w:rPr>
        <w:t xml:space="preserve"> </w:t>
      </w:r>
      <w:r w:rsidR="009715D1" w:rsidRPr="002D186F">
        <w:rPr>
          <w:sz w:val="24"/>
          <w:szCs w:val="24"/>
          <w:lang w:val="uk-UA"/>
        </w:rPr>
        <w:t xml:space="preserve">у порівнянні з </w:t>
      </w:r>
      <w:r w:rsidR="00A7556B" w:rsidRPr="002D186F">
        <w:rPr>
          <w:sz w:val="24"/>
          <w:szCs w:val="24"/>
          <w:lang w:val="uk-UA"/>
        </w:rPr>
        <w:t>відповідним звітним періодом</w:t>
      </w:r>
      <w:r w:rsidR="00DD7657" w:rsidRPr="002D186F">
        <w:rPr>
          <w:sz w:val="24"/>
          <w:szCs w:val="24"/>
          <w:lang w:val="uk-UA"/>
        </w:rPr>
        <w:t xml:space="preserve"> </w:t>
      </w:r>
      <w:r w:rsidR="00A7556B" w:rsidRPr="002D186F">
        <w:rPr>
          <w:sz w:val="24"/>
          <w:szCs w:val="24"/>
          <w:lang w:val="uk-UA"/>
        </w:rPr>
        <w:t xml:space="preserve">минулого року </w:t>
      </w:r>
      <w:r w:rsidR="009C3299" w:rsidRPr="002D186F">
        <w:rPr>
          <w:sz w:val="24"/>
          <w:szCs w:val="24"/>
          <w:lang w:val="uk-UA"/>
        </w:rPr>
        <w:t>з</w:t>
      </w:r>
      <w:r w:rsidR="003862E8" w:rsidRPr="002D186F">
        <w:rPr>
          <w:sz w:val="24"/>
          <w:szCs w:val="24"/>
          <w:lang w:val="uk-UA"/>
        </w:rPr>
        <w:t>меншено</w:t>
      </w:r>
      <w:r w:rsidR="003F437B" w:rsidRPr="002D186F">
        <w:rPr>
          <w:sz w:val="24"/>
          <w:szCs w:val="24"/>
          <w:lang w:val="uk-UA"/>
        </w:rPr>
        <w:t xml:space="preserve"> </w:t>
      </w:r>
      <w:r w:rsidR="00510E11" w:rsidRPr="002D186F">
        <w:rPr>
          <w:sz w:val="24"/>
          <w:szCs w:val="24"/>
          <w:lang w:val="uk-UA"/>
        </w:rPr>
        <w:t>на</w:t>
      </w:r>
      <w:r w:rsidR="00ED12AC" w:rsidRPr="002D186F">
        <w:rPr>
          <w:sz w:val="24"/>
          <w:szCs w:val="24"/>
          <w:lang w:val="uk-UA"/>
        </w:rPr>
        <w:t xml:space="preserve"> </w:t>
      </w:r>
      <w:r w:rsidR="008828EA">
        <w:rPr>
          <w:sz w:val="24"/>
          <w:szCs w:val="24"/>
          <w:lang w:val="uk-UA"/>
        </w:rPr>
        <w:t>10,2</w:t>
      </w:r>
      <w:r w:rsidR="00510E11" w:rsidRPr="002D186F">
        <w:rPr>
          <w:sz w:val="24"/>
          <w:szCs w:val="24"/>
          <w:lang w:val="uk-UA"/>
        </w:rPr>
        <w:t xml:space="preserve"> млн</w:t>
      </w:r>
      <w:r w:rsidR="00ED12AC" w:rsidRPr="002D186F">
        <w:rPr>
          <w:sz w:val="24"/>
          <w:szCs w:val="24"/>
          <w:lang w:val="uk-UA"/>
        </w:rPr>
        <w:t>.</w:t>
      </w:r>
      <w:r w:rsidR="00510E11" w:rsidRPr="002D186F">
        <w:rPr>
          <w:sz w:val="24"/>
          <w:szCs w:val="24"/>
          <w:lang w:val="uk-UA"/>
        </w:rPr>
        <w:t xml:space="preserve"> </w:t>
      </w:r>
      <w:r w:rsidR="0066382F" w:rsidRPr="002D186F">
        <w:rPr>
          <w:sz w:val="24"/>
          <w:szCs w:val="24"/>
          <w:lang w:val="uk-UA"/>
        </w:rPr>
        <w:t>грн</w:t>
      </w:r>
      <w:r w:rsidR="00ED12AC" w:rsidRPr="002D186F">
        <w:rPr>
          <w:sz w:val="24"/>
          <w:szCs w:val="24"/>
          <w:lang w:val="uk-UA"/>
        </w:rPr>
        <w:t>.</w:t>
      </w:r>
      <w:r w:rsidR="00004988" w:rsidRPr="002D186F">
        <w:rPr>
          <w:sz w:val="24"/>
          <w:szCs w:val="24"/>
          <w:lang w:val="uk-UA"/>
        </w:rPr>
        <w:t>,</w:t>
      </w:r>
      <w:r w:rsidR="00AB086B" w:rsidRPr="002D186F">
        <w:rPr>
          <w:sz w:val="24"/>
          <w:szCs w:val="24"/>
          <w:lang w:val="uk-UA"/>
        </w:rPr>
        <w:t xml:space="preserve"> у тому числі</w:t>
      </w:r>
      <w:r w:rsidR="00AB79CB" w:rsidRPr="002D186F">
        <w:rPr>
          <w:sz w:val="24"/>
          <w:szCs w:val="24"/>
          <w:lang w:val="uk-UA"/>
        </w:rPr>
        <w:t>,</w:t>
      </w:r>
      <w:r w:rsidR="0066382F" w:rsidRPr="002D186F">
        <w:rPr>
          <w:sz w:val="24"/>
          <w:szCs w:val="24"/>
          <w:lang w:val="uk-UA"/>
        </w:rPr>
        <w:t xml:space="preserve"> </w:t>
      </w:r>
      <w:r w:rsidR="007C3997" w:rsidRPr="002D186F">
        <w:rPr>
          <w:sz w:val="24"/>
          <w:szCs w:val="24"/>
          <w:lang w:val="uk-UA"/>
        </w:rPr>
        <w:t xml:space="preserve">за рахунок </w:t>
      </w:r>
      <w:r w:rsidR="00AB79CB" w:rsidRPr="002D186F">
        <w:rPr>
          <w:sz w:val="24"/>
          <w:szCs w:val="24"/>
          <w:lang w:val="uk-UA"/>
        </w:rPr>
        <w:t xml:space="preserve">зменшення доходів </w:t>
      </w:r>
      <w:r w:rsidR="00ED12AC" w:rsidRPr="002D186F">
        <w:rPr>
          <w:sz w:val="24"/>
          <w:szCs w:val="24"/>
          <w:lang w:val="uk-UA"/>
        </w:rPr>
        <w:t xml:space="preserve">від </w:t>
      </w:r>
      <w:r w:rsidR="003862E8" w:rsidRPr="002D186F">
        <w:rPr>
          <w:sz w:val="24"/>
          <w:szCs w:val="24"/>
          <w:lang w:val="uk-UA"/>
        </w:rPr>
        <w:t xml:space="preserve">залишках на поточних рахунках </w:t>
      </w:r>
      <w:r w:rsidR="00ED12AC" w:rsidRPr="002D186F">
        <w:rPr>
          <w:sz w:val="24"/>
          <w:szCs w:val="24"/>
          <w:lang w:val="uk-UA"/>
        </w:rPr>
        <w:t xml:space="preserve">на </w:t>
      </w:r>
      <w:r w:rsidR="008828EA">
        <w:rPr>
          <w:sz w:val="24"/>
          <w:szCs w:val="24"/>
          <w:lang w:val="uk-UA"/>
        </w:rPr>
        <w:t>12,0</w:t>
      </w:r>
      <w:r w:rsidR="007B5BA9" w:rsidRPr="002D186F">
        <w:rPr>
          <w:sz w:val="24"/>
          <w:szCs w:val="24"/>
          <w:lang w:val="uk-UA"/>
        </w:rPr>
        <w:t xml:space="preserve"> млн</w:t>
      </w:r>
      <w:r w:rsidR="00563B47" w:rsidRPr="002D186F">
        <w:rPr>
          <w:sz w:val="24"/>
          <w:szCs w:val="24"/>
          <w:lang w:val="uk-UA"/>
        </w:rPr>
        <w:t>.</w:t>
      </w:r>
      <w:r w:rsidR="007B5BA9" w:rsidRPr="002D186F">
        <w:rPr>
          <w:sz w:val="24"/>
          <w:szCs w:val="24"/>
          <w:lang w:val="uk-UA"/>
        </w:rPr>
        <w:t xml:space="preserve"> </w:t>
      </w:r>
      <w:r w:rsidR="00E3698E" w:rsidRPr="002D186F">
        <w:rPr>
          <w:sz w:val="24"/>
          <w:szCs w:val="24"/>
          <w:lang w:val="uk-UA"/>
        </w:rPr>
        <w:t>грн.</w:t>
      </w:r>
      <w:r w:rsidR="00AB79CB" w:rsidRPr="002D186F">
        <w:rPr>
          <w:sz w:val="24"/>
          <w:szCs w:val="24"/>
          <w:lang w:val="uk-UA"/>
        </w:rPr>
        <w:t>,</w:t>
      </w:r>
      <w:r w:rsidR="00C36EBA" w:rsidRPr="002D186F">
        <w:rPr>
          <w:sz w:val="24"/>
          <w:szCs w:val="24"/>
          <w:lang w:val="uk-UA"/>
        </w:rPr>
        <w:t xml:space="preserve"> </w:t>
      </w:r>
      <w:r w:rsidR="00592E2B" w:rsidRPr="002D186F">
        <w:rPr>
          <w:sz w:val="24"/>
          <w:szCs w:val="24"/>
          <w:lang w:val="uk-UA"/>
        </w:rPr>
        <w:t>т</w:t>
      </w:r>
      <w:r w:rsidR="00685C50" w:rsidRPr="002D186F">
        <w:rPr>
          <w:sz w:val="24"/>
          <w:szCs w:val="24"/>
          <w:lang w:val="uk-UA"/>
        </w:rPr>
        <w:t>а більше</w:t>
      </w:r>
      <w:r w:rsidR="00A1588B" w:rsidRPr="002D186F">
        <w:rPr>
          <w:sz w:val="24"/>
          <w:szCs w:val="24"/>
          <w:lang w:val="uk-UA"/>
        </w:rPr>
        <w:t xml:space="preserve"> плано</w:t>
      </w:r>
      <w:r w:rsidR="006D753C" w:rsidRPr="002D186F">
        <w:rPr>
          <w:sz w:val="24"/>
          <w:szCs w:val="24"/>
          <w:lang w:val="uk-UA"/>
        </w:rPr>
        <w:t>вого показника</w:t>
      </w:r>
      <w:r w:rsidR="00A1588B" w:rsidRPr="002D186F">
        <w:rPr>
          <w:sz w:val="24"/>
          <w:szCs w:val="24"/>
          <w:lang w:val="uk-UA"/>
        </w:rPr>
        <w:t xml:space="preserve"> на </w:t>
      </w:r>
      <w:r w:rsidR="008828EA">
        <w:rPr>
          <w:sz w:val="24"/>
          <w:szCs w:val="24"/>
          <w:lang w:val="uk-UA"/>
        </w:rPr>
        <w:t>15,8</w:t>
      </w:r>
      <w:r w:rsidR="00BB1116">
        <w:rPr>
          <w:sz w:val="24"/>
          <w:szCs w:val="24"/>
          <w:lang w:val="uk-UA"/>
        </w:rPr>
        <w:t> </w:t>
      </w:r>
      <w:r w:rsidR="00584B91" w:rsidRPr="002D186F">
        <w:rPr>
          <w:sz w:val="24"/>
          <w:szCs w:val="24"/>
          <w:lang w:val="uk-UA"/>
        </w:rPr>
        <w:t>млн. грн.</w:t>
      </w:r>
      <w:r w:rsidR="00AB79CB" w:rsidRPr="002D186F">
        <w:rPr>
          <w:sz w:val="24"/>
          <w:szCs w:val="24"/>
          <w:lang w:val="uk-UA"/>
        </w:rPr>
        <w:t xml:space="preserve"> При цьому</w:t>
      </w:r>
      <w:r w:rsidR="006D753C" w:rsidRPr="002D186F">
        <w:rPr>
          <w:sz w:val="24"/>
          <w:szCs w:val="24"/>
          <w:lang w:val="uk-UA"/>
        </w:rPr>
        <w:t xml:space="preserve">, основне </w:t>
      </w:r>
      <w:r w:rsidR="00685C50" w:rsidRPr="002D186F">
        <w:rPr>
          <w:sz w:val="24"/>
          <w:szCs w:val="24"/>
          <w:lang w:val="uk-UA"/>
        </w:rPr>
        <w:t>збільшення</w:t>
      </w:r>
      <w:r w:rsidR="006D753C" w:rsidRPr="002D186F">
        <w:rPr>
          <w:sz w:val="24"/>
          <w:szCs w:val="24"/>
          <w:lang w:val="uk-UA"/>
        </w:rPr>
        <w:t xml:space="preserve"> </w:t>
      </w:r>
      <w:r w:rsidR="00AB79CB" w:rsidRPr="002D186F">
        <w:rPr>
          <w:sz w:val="24"/>
          <w:szCs w:val="24"/>
          <w:lang w:val="uk-UA"/>
        </w:rPr>
        <w:t xml:space="preserve">проти планового показника </w:t>
      </w:r>
      <w:r w:rsidR="006D753C" w:rsidRPr="002D186F">
        <w:rPr>
          <w:sz w:val="24"/>
          <w:szCs w:val="24"/>
          <w:lang w:val="uk-UA"/>
        </w:rPr>
        <w:t>відбулося за рахунок наступних статей</w:t>
      </w:r>
      <w:r w:rsidR="00584B91" w:rsidRPr="002D186F">
        <w:rPr>
          <w:sz w:val="24"/>
          <w:szCs w:val="24"/>
          <w:lang w:val="uk-UA"/>
        </w:rPr>
        <w:t>:</w:t>
      </w:r>
    </w:p>
    <w:p w:rsidR="00584B91" w:rsidRPr="002D186F" w:rsidRDefault="00685C50" w:rsidP="00685C50">
      <w:pPr>
        <w:pStyle w:val="aa"/>
        <w:ind w:left="709"/>
        <w:jc w:val="both"/>
        <w:rPr>
          <w:sz w:val="24"/>
          <w:szCs w:val="24"/>
          <w:lang w:val="uk-UA"/>
        </w:rPr>
      </w:pPr>
      <w:r w:rsidRPr="002D186F">
        <w:rPr>
          <w:sz w:val="24"/>
          <w:szCs w:val="24"/>
          <w:lang w:val="uk-UA"/>
        </w:rPr>
        <w:t xml:space="preserve">- </w:t>
      </w:r>
      <w:r w:rsidR="00956A06" w:rsidRPr="002D186F">
        <w:rPr>
          <w:sz w:val="24"/>
          <w:szCs w:val="24"/>
          <w:lang w:val="uk-UA"/>
        </w:rPr>
        <w:t xml:space="preserve">збільшення </w:t>
      </w:r>
      <w:r w:rsidR="00584B91" w:rsidRPr="002D186F">
        <w:rPr>
          <w:sz w:val="24"/>
          <w:szCs w:val="24"/>
          <w:lang w:val="uk-UA"/>
        </w:rPr>
        <w:t>на</w:t>
      </w:r>
      <w:r w:rsidR="003862E8" w:rsidRPr="002D186F">
        <w:rPr>
          <w:sz w:val="24"/>
          <w:szCs w:val="24"/>
          <w:lang w:val="uk-UA"/>
        </w:rPr>
        <w:t>дходжень від оренди майна на 0</w:t>
      </w:r>
      <w:r w:rsidR="008828EA">
        <w:rPr>
          <w:sz w:val="24"/>
          <w:szCs w:val="24"/>
          <w:lang w:val="uk-UA"/>
        </w:rPr>
        <w:t>,4</w:t>
      </w:r>
      <w:r w:rsidR="00584B91" w:rsidRPr="002D186F">
        <w:rPr>
          <w:sz w:val="24"/>
          <w:szCs w:val="24"/>
          <w:lang w:val="uk-UA"/>
        </w:rPr>
        <w:t xml:space="preserve"> млн. грн.;</w:t>
      </w:r>
    </w:p>
    <w:p w:rsidR="00584B91" w:rsidRPr="002D186F" w:rsidRDefault="00685C50" w:rsidP="00685C50">
      <w:pPr>
        <w:pStyle w:val="aa"/>
        <w:ind w:left="709"/>
        <w:jc w:val="both"/>
        <w:rPr>
          <w:sz w:val="24"/>
          <w:szCs w:val="24"/>
          <w:lang w:val="uk-UA"/>
        </w:rPr>
      </w:pPr>
      <w:r w:rsidRPr="002D186F">
        <w:rPr>
          <w:sz w:val="24"/>
          <w:szCs w:val="24"/>
          <w:lang w:val="uk-UA"/>
        </w:rPr>
        <w:t>-</w:t>
      </w:r>
      <w:r w:rsidR="0008219D">
        <w:rPr>
          <w:sz w:val="24"/>
          <w:szCs w:val="24"/>
          <w:lang w:val="uk-UA"/>
        </w:rPr>
        <w:t xml:space="preserve"> зменшення</w:t>
      </w:r>
      <w:r w:rsidR="00343163" w:rsidRPr="002D186F">
        <w:rPr>
          <w:sz w:val="24"/>
          <w:szCs w:val="24"/>
          <w:lang w:val="uk-UA"/>
        </w:rPr>
        <w:t xml:space="preserve"> </w:t>
      </w:r>
      <w:r w:rsidR="00754D0D" w:rsidRPr="002D186F">
        <w:rPr>
          <w:sz w:val="24"/>
          <w:szCs w:val="24"/>
          <w:lang w:val="uk-UA"/>
        </w:rPr>
        <w:t xml:space="preserve">доходів від </w:t>
      </w:r>
      <w:r w:rsidR="008828EA">
        <w:rPr>
          <w:sz w:val="24"/>
          <w:szCs w:val="24"/>
          <w:lang w:val="uk-UA"/>
        </w:rPr>
        <w:t>курсової різниці на 11,8</w:t>
      </w:r>
      <w:r w:rsidR="00584B91" w:rsidRPr="002D186F">
        <w:rPr>
          <w:sz w:val="24"/>
          <w:szCs w:val="24"/>
          <w:lang w:val="uk-UA"/>
        </w:rPr>
        <w:t xml:space="preserve"> млн. грн.;</w:t>
      </w:r>
    </w:p>
    <w:p w:rsidR="00685C50" w:rsidRDefault="00685C50" w:rsidP="00685C50">
      <w:pPr>
        <w:pStyle w:val="aa"/>
        <w:ind w:left="0" w:firstLine="567"/>
        <w:rPr>
          <w:sz w:val="24"/>
          <w:szCs w:val="24"/>
          <w:lang w:val="uk-UA"/>
        </w:rPr>
      </w:pPr>
      <w:r w:rsidRPr="002D186F">
        <w:rPr>
          <w:sz w:val="24"/>
          <w:szCs w:val="24"/>
          <w:lang w:val="uk-UA"/>
        </w:rPr>
        <w:t xml:space="preserve">  - з</w:t>
      </w:r>
      <w:r w:rsidR="008B62C0" w:rsidRPr="002D186F">
        <w:rPr>
          <w:sz w:val="24"/>
          <w:szCs w:val="24"/>
          <w:lang w:val="uk-UA"/>
        </w:rPr>
        <w:t>б</w:t>
      </w:r>
      <w:r w:rsidRPr="002D186F">
        <w:rPr>
          <w:sz w:val="24"/>
          <w:szCs w:val="24"/>
          <w:lang w:val="uk-UA"/>
        </w:rPr>
        <w:t>ільшення сум компенсацій на</w:t>
      </w:r>
      <w:r w:rsidR="008828EA">
        <w:rPr>
          <w:sz w:val="24"/>
          <w:szCs w:val="24"/>
          <w:lang w:val="uk-UA"/>
        </w:rPr>
        <w:t xml:space="preserve"> 15,8</w:t>
      </w:r>
      <w:r w:rsidR="008B62C0" w:rsidRPr="002D186F">
        <w:rPr>
          <w:sz w:val="24"/>
          <w:szCs w:val="24"/>
          <w:lang w:val="uk-UA"/>
        </w:rPr>
        <w:t xml:space="preserve"> млн. грн., у т. ч. за рахунок виплат, пов’язаних з </w:t>
      </w:r>
      <w:r w:rsidR="00BB1116">
        <w:rPr>
          <w:sz w:val="24"/>
          <w:szCs w:val="24"/>
          <w:lang w:val="uk-UA"/>
        </w:rPr>
        <w:t xml:space="preserve">узгодженою з Мінінфраструктури </w:t>
      </w:r>
      <w:r w:rsidR="008B62C0" w:rsidRPr="002D186F">
        <w:rPr>
          <w:sz w:val="24"/>
          <w:szCs w:val="24"/>
          <w:lang w:val="uk-UA"/>
        </w:rPr>
        <w:t xml:space="preserve">відмовою підприємства від права користування земельними ділянками на суму </w:t>
      </w:r>
      <w:r w:rsidRPr="002D186F">
        <w:rPr>
          <w:sz w:val="24"/>
          <w:szCs w:val="24"/>
          <w:lang w:val="uk-UA"/>
        </w:rPr>
        <w:t>6,9</w:t>
      </w:r>
      <w:r w:rsidR="008B62C0" w:rsidRPr="002D186F">
        <w:rPr>
          <w:sz w:val="24"/>
          <w:szCs w:val="24"/>
          <w:lang w:val="uk-UA"/>
        </w:rPr>
        <w:t xml:space="preserve"> млн. </w:t>
      </w:r>
      <w:r w:rsidRPr="002D186F">
        <w:rPr>
          <w:sz w:val="24"/>
          <w:szCs w:val="24"/>
          <w:lang w:val="uk-UA"/>
        </w:rPr>
        <w:t>грн.</w:t>
      </w:r>
      <w:r w:rsidR="0008219D">
        <w:rPr>
          <w:sz w:val="24"/>
          <w:szCs w:val="24"/>
          <w:lang w:val="uk-UA"/>
        </w:rPr>
        <w:t xml:space="preserve"> та </w:t>
      </w:r>
    </w:p>
    <w:p w:rsidR="00EF0AEB" w:rsidRPr="002D186F" w:rsidRDefault="00685C50" w:rsidP="009D326F">
      <w:pPr>
        <w:pStyle w:val="aa"/>
        <w:spacing w:before="120"/>
        <w:ind w:left="567"/>
        <w:jc w:val="center"/>
        <w:rPr>
          <w:i/>
          <w:sz w:val="24"/>
          <w:szCs w:val="24"/>
          <w:lang w:val="uk-UA"/>
        </w:rPr>
      </w:pPr>
      <w:r w:rsidRPr="002D186F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="00EF0AEB" w:rsidRPr="002D186F">
        <w:rPr>
          <w:i/>
          <w:sz w:val="24"/>
          <w:szCs w:val="24"/>
          <w:lang w:val="uk-UA"/>
        </w:rPr>
        <w:t>Таблиця 2, тис. грн.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89"/>
        <w:gridCol w:w="992"/>
        <w:gridCol w:w="993"/>
        <w:gridCol w:w="993"/>
        <w:gridCol w:w="992"/>
        <w:gridCol w:w="992"/>
        <w:gridCol w:w="993"/>
        <w:gridCol w:w="850"/>
      </w:tblGrid>
      <w:tr w:rsidR="00C22205" w:rsidRPr="002D186F" w:rsidTr="009D326F">
        <w:trPr>
          <w:trHeight w:val="476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jc w:val="center"/>
              <w:rPr>
                <w:b/>
                <w:bCs/>
                <w:lang w:val="uk-UA"/>
              </w:rPr>
            </w:pPr>
            <w:r w:rsidRPr="002D186F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 xml:space="preserve">Звіт </w:t>
            </w:r>
            <w:r w:rsidRPr="002D186F">
              <w:rPr>
                <w:b/>
                <w:bCs/>
                <w:sz w:val="18"/>
                <w:lang w:val="uk-UA"/>
              </w:rPr>
              <w:br/>
              <w:t>2017 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 xml:space="preserve">План   </w:t>
            </w:r>
            <w:r w:rsidRPr="002D186F">
              <w:rPr>
                <w:b/>
                <w:bCs/>
                <w:sz w:val="18"/>
                <w:lang w:val="uk-UA"/>
              </w:rPr>
              <w:br/>
              <w:t>2018 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Звіт </w:t>
            </w:r>
            <w:r w:rsidRPr="002D186F">
              <w:rPr>
                <w:b/>
                <w:bCs/>
                <w:sz w:val="18"/>
                <w:lang w:val="uk-UA"/>
              </w:rPr>
              <w:br/>
              <w:t>2018 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>Відхилення звіту</w:t>
            </w:r>
          </w:p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>2018 р. до: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 xml:space="preserve">Відносно звіту </w:t>
            </w:r>
          </w:p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>2018 р. до:</w:t>
            </w:r>
          </w:p>
        </w:tc>
      </w:tr>
      <w:tr w:rsidR="00C22205" w:rsidRPr="002D186F" w:rsidTr="009D326F">
        <w:trPr>
          <w:trHeight w:val="319"/>
        </w:trPr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 xml:space="preserve">Звіт </w:t>
            </w:r>
            <w:r w:rsidRPr="002D186F">
              <w:rPr>
                <w:b/>
                <w:bCs/>
                <w:sz w:val="16"/>
                <w:lang w:val="uk-UA"/>
              </w:rPr>
              <w:br/>
            </w:r>
            <w:r>
              <w:rPr>
                <w:b/>
                <w:bCs/>
                <w:sz w:val="16"/>
                <w:lang w:val="uk-UA"/>
              </w:rPr>
              <w:t xml:space="preserve">   </w:t>
            </w:r>
            <w:r w:rsidRPr="002D186F">
              <w:rPr>
                <w:b/>
                <w:bCs/>
                <w:sz w:val="16"/>
                <w:lang w:val="uk-UA"/>
              </w:rPr>
              <w:t>2017 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 xml:space="preserve">План </w:t>
            </w:r>
          </w:p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>2018 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93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 xml:space="preserve">       </w:t>
            </w:r>
            <w:r w:rsidRPr="002D186F">
              <w:rPr>
                <w:b/>
                <w:bCs/>
                <w:sz w:val="16"/>
                <w:lang w:val="uk-UA"/>
              </w:rPr>
              <w:t xml:space="preserve">Звіт </w:t>
            </w:r>
            <w:r w:rsidRPr="002D186F">
              <w:rPr>
                <w:b/>
                <w:bCs/>
                <w:sz w:val="16"/>
                <w:lang w:val="uk-UA"/>
              </w:rPr>
              <w:br/>
            </w:r>
            <w:r>
              <w:rPr>
                <w:b/>
                <w:bCs/>
                <w:sz w:val="16"/>
                <w:lang w:val="uk-UA"/>
              </w:rPr>
              <w:t xml:space="preserve">      </w:t>
            </w:r>
            <w:r w:rsidRPr="002D186F">
              <w:rPr>
                <w:b/>
                <w:bCs/>
                <w:sz w:val="16"/>
                <w:lang w:val="uk-UA"/>
              </w:rPr>
              <w:t>2017 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 xml:space="preserve">План </w:t>
            </w:r>
          </w:p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 xml:space="preserve"> 2018 р.</w:t>
            </w:r>
          </w:p>
        </w:tc>
      </w:tr>
      <w:tr w:rsidR="008828EA" w:rsidRPr="002D186F" w:rsidTr="009D3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089" w:type="dxa"/>
            <w:shd w:val="clear" w:color="auto" w:fill="auto"/>
            <w:vAlign w:val="center"/>
            <w:hideMark/>
          </w:tcPr>
          <w:p w:rsidR="008828EA" w:rsidRDefault="008828EA" w:rsidP="008828EA">
            <w:pPr>
              <w:rPr>
                <w:b/>
                <w:bCs/>
              </w:rPr>
            </w:pPr>
            <w:r>
              <w:rPr>
                <w:b/>
                <w:bCs/>
              </w:rPr>
              <w:t>Інші операційні доходи - усього, у т.ч.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216 657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190 666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206 452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-10 205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15 786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8828EA" w:rsidRPr="002D186F" w:rsidTr="009D3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rPr>
                <w:b/>
                <w:bCs/>
              </w:rPr>
            </w:pPr>
            <w:r>
              <w:rPr>
                <w:b/>
                <w:bCs/>
              </w:rPr>
              <w:t>Доходи від реалізації іноземної валюти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-1 375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828EA" w:rsidRPr="002D186F" w:rsidTr="009D3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3089" w:type="dxa"/>
            <w:shd w:val="clear" w:color="auto" w:fill="auto"/>
            <w:vAlign w:val="center"/>
            <w:hideMark/>
          </w:tcPr>
          <w:p w:rsidR="008828EA" w:rsidRDefault="008828EA" w:rsidP="008828EA">
            <w:pPr>
              <w:rPr>
                <w:b/>
                <w:bCs/>
              </w:rPr>
            </w:pPr>
            <w:r>
              <w:rPr>
                <w:b/>
                <w:bCs/>
              </w:rPr>
              <w:t>Інші операційні доходи (без реалізації валюти) - усього, у т.ч.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216 452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189 166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206 327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-10 125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17 161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</w:tr>
      <w:tr w:rsidR="008828EA" w:rsidRPr="002D186F" w:rsidTr="009D3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r>
              <w:t xml:space="preserve"> - доходи від реалізації інших оборотних активів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1 072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-352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670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1 440</w:t>
            </w:r>
          </w:p>
        </w:tc>
      </w:tr>
      <w:tr w:rsidR="008828EA" w:rsidRPr="002D186F" w:rsidTr="009D3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r>
              <w:t xml:space="preserve"> - операційної оренди активів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124 973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135 224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135 641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10 668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417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109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100</w:t>
            </w:r>
          </w:p>
        </w:tc>
      </w:tr>
      <w:tr w:rsidR="008828EA" w:rsidRPr="002D186F" w:rsidTr="009D3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089" w:type="dxa"/>
            <w:shd w:val="clear" w:color="auto" w:fill="auto"/>
            <w:vAlign w:val="center"/>
            <w:hideMark/>
          </w:tcPr>
          <w:p w:rsidR="008828EA" w:rsidRDefault="008828EA" w:rsidP="008828EA">
            <w:r>
              <w:t xml:space="preserve"> - доходи від невиробничої сфери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203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212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104</w:t>
            </w:r>
          </w:p>
        </w:tc>
      </w:tr>
      <w:tr w:rsidR="008828EA" w:rsidRPr="002D186F" w:rsidTr="009D3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3089" w:type="dxa"/>
            <w:shd w:val="clear" w:color="auto" w:fill="auto"/>
            <w:vAlign w:val="center"/>
            <w:hideMark/>
          </w:tcPr>
          <w:p w:rsidR="008828EA" w:rsidRDefault="008828EA" w:rsidP="008828EA">
            <w:r>
              <w:lastRenderedPageBreak/>
              <w:t xml:space="preserve"> - операційної курсової різниці за операціями в іноземній валюті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17 015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35 000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23 172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6 157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-11 828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136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66</w:t>
            </w:r>
          </w:p>
        </w:tc>
      </w:tr>
      <w:tr w:rsidR="008828EA" w:rsidRPr="002D186F" w:rsidTr="009D3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089" w:type="dxa"/>
            <w:shd w:val="clear" w:color="auto" w:fill="auto"/>
            <w:vAlign w:val="center"/>
            <w:hideMark/>
          </w:tcPr>
          <w:p w:rsidR="008828EA" w:rsidRDefault="008828EA" w:rsidP="008828EA">
            <w:r>
              <w:t xml:space="preserve"> - суми штрафів, пені, неустойок та інших санкцій за порушення господарських договорів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8 383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5 062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-3 321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5 062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 </w:t>
            </w:r>
          </w:p>
        </w:tc>
      </w:tr>
      <w:tr w:rsidR="008828EA" w:rsidRPr="002D186F" w:rsidTr="009D3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089" w:type="dxa"/>
            <w:shd w:val="clear" w:color="auto" w:fill="auto"/>
            <w:noWrap/>
            <w:vAlign w:val="bottom"/>
            <w:hideMark/>
          </w:tcPr>
          <w:p w:rsidR="008828EA" w:rsidRDefault="008828EA" w:rsidP="008828EA">
            <w:r>
              <w:t xml:space="preserve"> - відсотки по залишках на поточних рахунках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31 025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12 000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19 001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-12 024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7 001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158</w:t>
            </w:r>
          </w:p>
        </w:tc>
      </w:tr>
      <w:tr w:rsidR="008828EA" w:rsidRPr="002D186F" w:rsidTr="009D3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089" w:type="dxa"/>
            <w:shd w:val="clear" w:color="auto" w:fill="auto"/>
            <w:vAlign w:val="center"/>
            <w:hideMark/>
          </w:tcPr>
          <w:p w:rsidR="008828EA" w:rsidRDefault="008828EA" w:rsidP="008828EA">
            <w:r>
              <w:t xml:space="preserve"> - компенсації та інші доходи у т.ч: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26 057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6 680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22 511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-3 546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15 831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337</w:t>
            </w:r>
          </w:p>
        </w:tc>
      </w:tr>
      <w:tr w:rsidR="008828EA" w:rsidRPr="002D186F" w:rsidTr="009D3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3089" w:type="dxa"/>
            <w:shd w:val="clear" w:color="auto" w:fill="auto"/>
            <w:vAlign w:val="center"/>
            <w:hideMark/>
          </w:tcPr>
          <w:p w:rsidR="008828EA" w:rsidRDefault="008828EA" w:rsidP="008828EA">
            <w:r>
              <w:t xml:space="preserve"> - відшкодування права користування земельними ділянками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11 572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6 926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-4 646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6 926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 </w:t>
            </w:r>
          </w:p>
        </w:tc>
      </w:tr>
      <w:tr w:rsidR="008828EA" w:rsidRPr="002D186F" w:rsidTr="009D3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089" w:type="dxa"/>
            <w:shd w:val="clear" w:color="auto" w:fill="auto"/>
            <w:vAlign w:val="center"/>
            <w:hideMark/>
          </w:tcPr>
          <w:p w:rsidR="008828EA" w:rsidRDefault="008828EA" w:rsidP="008828EA">
            <w:r>
              <w:t xml:space="preserve"> - податок на землю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4 899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4 247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5 278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379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1 031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28EA" w:rsidRDefault="008828EA" w:rsidP="008828EA">
            <w:pPr>
              <w:jc w:val="right"/>
            </w:pPr>
            <w:r>
              <w:t>124</w:t>
            </w:r>
          </w:p>
        </w:tc>
      </w:tr>
      <w:tr w:rsidR="008828EA" w:rsidRPr="002D186F" w:rsidTr="009D3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089" w:type="dxa"/>
            <w:shd w:val="clear" w:color="auto" w:fill="auto"/>
            <w:vAlign w:val="center"/>
          </w:tcPr>
          <w:p w:rsidR="008828EA" w:rsidRDefault="008828EA" w:rsidP="008828EA">
            <w:r>
              <w:t xml:space="preserve"> - інші доходи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828EA" w:rsidRDefault="008828EA" w:rsidP="008828EA">
            <w:pPr>
              <w:jc w:val="right"/>
            </w:pPr>
            <w:r>
              <w:t>9 586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28EA" w:rsidRDefault="008828EA" w:rsidP="008828EA">
            <w:pPr>
              <w:jc w:val="right"/>
            </w:pPr>
            <w:r>
              <w:t>2 433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28EA" w:rsidRDefault="008828EA" w:rsidP="008828EA">
            <w:pPr>
              <w:jc w:val="right"/>
            </w:pPr>
            <w:r>
              <w:t>10 307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828EA" w:rsidRDefault="008828EA" w:rsidP="008828EA">
            <w:pPr>
              <w:jc w:val="right"/>
            </w:pPr>
            <w:r>
              <w:t>721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828EA" w:rsidRDefault="008828EA" w:rsidP="008828EA">
            <w:pPr>
              <w:jc w:val="right"/>
            </w:pPr>
            <w:r>
              <w:t>7 874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28EA" w:rsidRDefault="008828EA" w:rsidP="008828EA">
            <w:pPr>
              <w:jc w:val="right"/>
            </w:pPr>
            <w:r>
              <w:t>108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28EA" w:rsidRDefault="008828EA" w:rsidP="008828EA">
            <w:pPr>
              <w:jc w:val="right"/>
            </w:pPr>
            <w:r>
              <w:t>424</w:t>
            </w:r>
          </w:p>
        </w:tc>
      </w:tr>
    </w:tbl>
    <w:p w:rsidR="00057BF6" w:rsidRPr="002D186F" w:rsidRDefault="00AF61DD" w:rsidP="009D326F">
      <w:pPr>
        <w:pStyle w:val="aa"/>
        <w:spacing w:before="120"/>
        <w:ind w:left="0" w:firstLine="709"/>
        <w:jc w:val="both"/>
        <w:rPr>
          <w:sz w:val="24"/>
          <w:szCs w:val="24"/>
          <w:lang w:val="uk-UA"/>
        </w:rPr>
      </w:pPr>
      <w:r w:rsidRPr="002D186F">
        <w:rPr>
          <w:b/>
          <w:sz w:val="24"/>
          <w:szCs w:val="24"/>
          <w:lang w:val="uk-UA"/>
        </w:rPr>
        <w:t>Інші фінансові доходи</w:t>
      </w:r>
      <w:r w:rsidRPr="002D186F">
        <w:rPr>
          <w:b/>
          <w:i/>
          <w:sz w:val="24"/>
          <w:szCs w:val="24"/>
          <w:lang w:val="uk-UA"/>
        </w:rPr>
        <w:t xml:space="preserve"> </w:t>
      </w:r>
      <w:r w:rsidR="008828EA">
        <w:rPr>
          <w:sz w:val="24"/>
          <w:szCs w:val="24"/>
          <w:lang w:val="uk-UA"/>
        </w:rPr>
        <w:t>складають 47,0</w:t>
      </w:r>
      <w:r w:rsidR="00057BF6" w:rsidRPr="002D186F">
        <w:rPr>
          <w:sz w:val="24"/>
          <w:szCs w:val="24"/>
          <w:lang w:val="uk-UA"/>
        </w:rPr>
        <w:t xml:space="preserve"> млн. грн., </w:t>
      </w:r>
      <w:r w:rsidR="00AD4C31" w:rsidRPr="002D186F">
        <w:rPr>
          <w:sz w:val="24"/>
          <w:szCs w:val="24"/>
          <w:lang w:val="uk-UA"/>
        </w:rPr>
        <w:t>що більш планового обсягу на</w:t>
      </w:r>
      <w:r w:rsidR="00754D0D" w:rsidRPr="002D186F">
        <w:rPr>
          <w:sz w:val="24"/>
          <w:szCs w:val="24"/>
          <w:lang w:val="uk-UA"/>
        </w:rPr>
        <w:t xml:space="preserve"> </w:t>
      </w:r>
      <w:r w:rsidR="008828EA">
        <w:rPr>
          <w:sz w:val="24"/>
          <w:szCs w:val="24"/>
          <w:lang w:val="uk-UA"/>
        </w:rPr>
        <w:t>14,5</w:t>
      </w:r>
      <w:r w:rsidR="00BB1116">
        <w:rPr>
          <w:sz w:val="24"/>
          <w:szCs w:val="24"/>
          <w:lang w:val="uk-UA"/>
        </w:rPr>
        <w:t> </w:t>
      </w:r>
      <w:r w:rsidR="00057BF6" w:rsidRPr="002D186F">
        <w:rPr>
          <w:sz w:val="24"/>
          <w:szCs w:val="24"/>
          <w:lang w:val="uk-UA"/>
        </w:rPr>
        <w:t>млн.</w:t>
      </w:r>
      <w:r w:rsidR="00BB1116">
        <w:rPr>
          <w:sz w:val="24"/>
          <w:szCs w:val="24"/>
          <w:lang w:val="uk-UA"/>
        </w:rPr>
        <w:t> </w:t>
      </w:r>
      <w:r w:rsidR="008E54AF" w:rsidRPr="002D186F">
        <w:rPr>
          <w:sz w:val="24"/>
          <w:szCs w:val="24"/>
          <w:lang w:val="uk-UA"/>
        </w:rPr>
        <w:t>грн. та зменшено</w:t>
      </w:r>
      <w:r w:rsidR="00057BF6" w:rsidRPr="002D186F">
        <w:rPr>
          <w:sz w:val="24"/>
          <w:szCs w:val="24"/>
          <w:lang w:val="uk-UA"/>
        </w:rPr>
        <w:t xml:space="preserve"> у порівнянні із </w:t>
      </w:r>
      <w:r w:rsidR="00765872" w:rsidRPr="002D186F">
        <w:rPr>
          <w:sz w:val="24"/>
          <w:szCs w:val="24"/>
          <w:lang w:val="uk-UA"/>
        </w:rPr>
        <w:t xml:space="preserve">відповідним </w:t>
      </w:r>
      <w:r w:rsidR="008828EA">
        <w:rPr>
          <w:sz w:val="24"/>
          <w:szCs w:val="24"/>
          <w:lang w:val="uk-UA"/>
        </w:rPr>
        <w:t>періодом 2017 року на 8,5</w:t>
      </w:r>
      <w:r w:rsidR="00057BF6" w:rsidRPr="002D186F">
        <w:rPr>
          <w:sz w:val="24"/>
          <w:szCs w:val="24"/>
          <w:lang w:val="uk-UA"/>
        </w:rPr>
        <w:t xml:space="preserve"> млн. гр</w:t>
      </w:r>
      <w:r w:rsidR="008E54AF" w:rsidRPr="002D186F">
        <w:rPr>
          <w:sz w:val="24"/>
          <w:szCs w:val="24"/>
          <w:lang w:val="uk-UA"/>
        </w:rPr>
        <w:t xml:space="preserve">н. за рахунок зменшення </w:t>
      </w:r>
      <w:r w:rsidR="00F73790" w:rsidRPr="002D186F">
        <w:rPr>
          <w:sz w:val="24"/>
          <w:szCs w:val="24"/>
          <w:lang w:val="uk-UA"/>
        </w:rPr>
        <w:t xml:space="preserve">обсягів коштів та </w:t>
      </w:r>
      <w:r w:rsidR="008E54AF" w:rsidRPr="002D186F">
        <w:rPr>
          <w:sz w:val="24"/>
          <w:szCs w:val="24"/>
          <w:lang w:val="uk-UA"/>
        </w:rPr>
        <w:t>ставок по депозитах.</w:t>
      </w:r>
    </w:p>
    <w:p w:rsidR="008828EA" w:rsidRPr="00C93585" w:rsidRDefault="00754D0D" w:rsidP="009D326F">
      <w:pPr>
        <w:spacing w:before="120"/>
        <w:ind w:firstLine="709"/>
        <w:jc w:val="both"/>
        <w:rPr>
          <w:iCs/>
          <w:sz w:val="24"/>
          <w:szCs w:val="24"/>
          <w:lang w:val="uk-UA"/>
        </w:rPr>
      </w:pPr>
      <w:r w:rsidRPr="002D186F">
        <w:rPr>
          <w:b/>
          <w:sz w:val="24"/>
          <w:szCs w:val="24"/>
          <w:lang w:val="uk-UA"/>
        </w:rPr>
        <w:t>І</w:t>
      </w:r>
      <w:r w:rsidRPr="002D186F">
        <w:rPr>
          <w:b/>
          <w:iCs/>
          <w:sz w:val="24"/>
          <w:szCs w:val="24"/>
          <w:lang w:val="uk-UA"/>
        </w:rPr>
        <w:t>нші доходи</w:t>
      </w:r>
      <w:r w:rsidRPr="002D186F">
        <w:rPr>
          <w:i/>
          <w:iCs/>
          <w:sz w:val="24"/>
          <w:szCs w:val="24"/>
          <w:lang w:val="uk-UA"/>
        </w:rPr>
        <w:t xml:space="preserve"> </w:t>
      </w:r>
      <w:r w:rsidR="008828EA">
        <w:rPr>
          <w:iCs/>
          <w:sz w:val="24"/>
          <w:szCs w:val="24"/>
          <w:lang w:val="uk-UA"/>
        </w:rPr>
        <w:t>складають 3,6</w:t>
      </w:r>
      <w:r w:rsidRPr="002D186F">
        <w:rPr>
          <w:iCs/>
          <w:sz w:val="24"/>
          <w:szCs w:val="24"/>
          <w:lang w:val="uk-UA"/>
        </w:rPr>
        <w:t xml:space="preserve"> млн. грн., що </w:t>
      </w:r>
      <w:r w:rsidR="008828EA">
        <w:rPr>
          <w:iCs/>
          <w:sz w:val="24"/>
          <w:szCs w:val="24"/>
          <w:lang w:val="uk-UA"/>
        </w:rPr>
        <w:t xml:space="preserve"> перевищує показник відповідного періоду 2017 р. на 2,0 млн. грн., та менш ніж заплановано на 1,6 млн. грн.</w:t>
      </w:r>
      <w:r w:rsidR="00C93585">
        <w:rPr>
          <w:iCs/>
          <w:sz w:val="24"/>
          <w:szCs w:val="24"/>
          <w:lang w:val="uk-UA"/>
        </w:rPr>
        <w:t xml:space="preserve"> у зв</w:t>
      </w:r>
      <w:r w:rsidR="00C93585" w:rsidRPr="00C93585">
        <w:rPr>
          <w:iCs/>
          <w:sz w:val="24"/>
          <w:szCs w:val="24"/>
        </w:rPr>
        <w:t>’</w:t>
      </w:r>
      <w:r w:rsidR="00C93585">
        <w:rPr>
          <w:iCs/>
          <w:sz w:val="24"/>
          <w:szCs w:val="24"/>
        </w:rPr>
        <w:t xml:space="preserve">язку </w:t>
      </w:r>
      <w:r w:rsidR="00C93585">
        <w:rPr>
          <w:iCs/>
          <w:sz w:val="24"/>
          <w:szCs w:val="24"/>
          <w:lang w:val="uk-UA"/>
        </w:rPr>
        <w:t>із нездійсненням списання  ОЗ у запланованому обсязі.</w:t>
      </w:r>
    </w:p>
    <w:p w:rsidR="001D4E1A" w:rsidRDefault="008828EA" w:rsidP="009D326F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2D186F">
        <w:rPr>
          <w:b/>
          <w:sz w:val="24"/>
          <w:szCs w:val="24"/>
          <w:lang w:val="uk-UA"/>
        </w:rPr>
        <w:t xml:space="preserve"> </w:t>
      </w:r>
      <w:r w:rsidR="00BF0531" w:rsidRPr="002D186F">
        <w:rPr>
          <w:b/>
          <w:sz w:val="24"/>
          <w:szCs w:val="24"/>
          <w:lang w:val="uk-UA"/>
        </w:rPr>
        <w:t>Загальні в</w:t>
      </w:r>
      <w:r w:rsidR="00563B47" w:rsidRPr="002D186F">
        <w:rPr>
          <w:b/>
          <w:sz w:val="24"/>
          <w:szCs w:val="24"/>
          <w:lang w:val="uk-UA"/>
        </w:rPr>
        <w:t>итрати</w:t>
      </w:r>
      <w:r w:rsidR="00AB086B" w:rsidRPr="002D186F">
        <w:rPr>
          <w:b/>
          <w:sz w:val="24"/>
          <w:szCs w:val="24"/>
          <w:lang w:val="uk-UA"/>
        </w:rPr>
        <w:t xml:space="preserve"> ДП «Одеський порт</w:t>
      </w:r>
      <w:r w:rsidR="00563B47" w:rsidRPr="002D186F">
        <w:rPr>
          <w:b/>
          <w:sz w:val="24"/>
          <w:szCs w:val="24"/>
          <w:lang w:val="uk-UA"/>
        </w:rPr>
        <w:t>»</w:t>
      </w:r>
      <w:r w:rsidR="00510E11" w:rsidRPr="002D186F">
        <w:rPr>
          <w:b/>
          <w:sz w:val="24"/>
          <w:szCs w:val="24"/>
          <w:lang w:val="uk-UA"/>
        </w:rPr>
        <w:t xml:space="preserve"> </w:t>
      </w:r>
      <w:r w:rsidR="00960706" w:rsidRPr="002D186F">
        <w:rPr>
          <w:b/>
          <w:sz w:val="24"/>
          <w:szCs w:val="24"/>
          <w:lang w:val="uk-UA"/>
        </w:rPr>
        <w:t>за звітний період</w:t>
      </w:r>
      <w:r w:rsidR="00B25B17" w:rsidRPr="002D186F">
        <w:rPr>
          <w:b/>
          <w:sz w:val="24"/>
          <w:szCs w:val="24"/>
          <w:lang w:val="uk-UA"/>
        </w:rPr>
        <w:t xml:space="preserve"> склали</w:t>
      </w:r>
      <w:r w:rsidR="00DC7B95" w:rsidRPr="002D186F">
        <w:rPr>
          <w:b/>
          <w:sz w:val="24"/>
          <w:szCs w:val="24"/>
          <w:lang w:val="uk-UA"/>
        </w:rPr>
        <w:t xml:space="preserve"> </w:t>
      </w:r>
      <w:r w:rsidR="003A7D41">
        <w:rPr>
          <w:b/>
          <w:sz w:val="24"/>
          <w:szCs w:val="24"/>
          <w:lang w:val="uk-UA"/>
        </w:rPr>
        <w:t>402,7</w:t>
      </w:r>
      <w:r w:rsidR="00C93585">
        <w:rPr>
          <w:b/>
          <w:sz w:val="24"/>
          <w:szCs w:val="24"/>
          <w:lang w:val="uk-UA"/>
        </w:rPr>
        <w:t xml:space="preserve"> </w:t>
      </w:r>
      <w:r w:rsidR="009405A0" w:rsidRPr="002D186F">
        <w:rPr>
          <w:b/>
          <w:sz w:val="24"/>
          <w:szCs w:val="24"/>
          <w:lang w:val="uk-UA"/>
        </w:rPr>
        <w:t>млн. грн.</w:t>
      </w:r>
      <w:r w:rsidR="00150B75" w:rsidRPr="002D186F">
        <w:rPr>
          <w:b/>
          <w:sz w:val="24"/>
          <w:szCs w:val="24"/>
          <w:lang w:val="uk-UA"/>
        </w:rPr>
        <w:t>,</w:t>
      </w:r>
      <w:r w:rsidR="00E4319F" w:rsidRPr="002D186F">
        <w:rPr>
          <w:b/>
          <w:sz w:val="24"/>
          <w:szCs w:val="24"/>
          <w:lang w:val="uk-UA"/>
        </w:rPr>
        <w:t xml:space="preserve"> </w:t>
      </w:r>
      <w:r w:rsidR="004B303B" w:rsidRPr="002D186F">
        <w:rPr>
          <w:sz w:val="24"/>
          <w:szCs w:val="24"/>
          <w:lang w:val="uk-UA"/>
        </w:rPr>
        <w:t>що менш</w:t>
      </w:r>
      <w:r w:rsidR="00150B75" w:rsidRPr="002D186F">
        <w:rPr>
          <w:sz w:val="24"/>
          <w:szCs w:val="24"/>
          <w:lang w:val="uk-UA"/>
        </w:rPr>
        <w:t>е</w:t>
      </w:r>
      <w:r w:rsidR="00BF0531" w:rsidRPr="002D186F">
        <w:rPr>
          <w:sz w:val="24"/>
          <w:szCs w:val="24"/>
          <w:lang w:val="uk-UA"/>
        </w:rPr>
        <w:t xml:space="preserve"> </w:t>
      </w:r>
      <w:r w:rsidR="00150B75" w:rsidRPr="002D186F">
        <w:rPr>
          <w:sz w:val="24"/>
          <w:szCs w:val="24"/>
          <w:lang w:val="uk-UA"/>
        </w:rPr>
        <w:t>фактичних даних</w:t>
      </w:r>
      <w:r w:rsidR="008113BF" w:rsidRPr="002D186F">
        <w:rPr>
          <w:sz w:val="24"/>
          <w:szCs w:val="24"/>
          <w:lang w:val="uk-UA"/>
        </w:rPr>
        <w:t xml:space="preserve"> </w:t>
      </w:r>
      <w:r w:rsidR="00765872" w:rsidRPr="002D186F">
        <w:rPr>
          <w:sz w:val="24"/>
          <w:szCs w:val="24"/>
          <w:lang w:val="uk-UA"/>
        </w:rPr>
        <w:t xml:space="preserve">відповідного періоду </w:t>
      </w:r>
      <w:r w:rsidR="008E54AF" w:rsidRPr="002D186F">
        <w:rPr>
          <w:sz w:val="24"/>
          <w:szCs w:val="24"/>
          <w:lang w:val="uk-UA"/>
        </w:rPr>
        <w:t>2017</w:t>
      </w:r>
      <w:r w:rsidR="008B70CD" w:rsidRPr="002D186F">
        <w:rPr>
          <w:sz w:val="24"/>
          <w:szCs w:val="24"/>
          <w:lang w:val="uk-UA"/>
        </w:rPr>
        <w:t xml:space="preserve"> </w:t>
      </w:r>
      <w:r w:rsidR="00C16F75" w:rsidRPr="002D186F">
        <w:rPr>
          <w:sz w:val="24"/>
          <w:szCs w:val="24"/>
          <w:lang w:val="uk-UA"/>
        </w:rPr>
        <w:t>року</w:t>
      </w:r>
      <w:r w:rsidR="00E43CF8" w:rsidRPr="002D186F">
        <w:rPr>
          <w:sz w:val="24"/>
          <w:szCs w:val="24"/>
          <w:lang w:val="uk-UA"/>
        </w:rPr>
        <w:t xml:space="preserve"> </w:t>
      </w:r>
      <w:r w:rsidR="002A40B8" w:rsidRPr="002D186F">
        <w:rPr>
          <w:sz w:val="24"/>
          <w:szCs w:val="24"/>
          <w:lang w:val="uk-UA"/>
        </w:rPr>
        <w:t xml:space="preserve">на </w:t>
      </w:r>
      <w:r w:rsidR="003A7D41">
        <w:rPr>
          <w:sz w:val="24"/>
          <w:szCs w:val="24"/>
          <w:lang w:val="uk-UA"/>
        </w:rPr>
        <w:t>108</w:t>
      </w:r>
      <w:r w:rsidR="00C93585">
        <w:rPr>
          <w:sz w:val="24"/>
          <w:szCs w:val="24"/>
          <w:lang w:val="uk-UA"/>
        </w:rPr>
        <w:t>,6</w:t>
      </w:r>
      <w:r w:rsidR="00960706" w:rsidRPr="002D186F">
        <w:rPr>
          <w:sz w:val="24"/>
          <w:szCs w:val="24"/>
          <w:lang w:val="uk-UA"/>
        </w:rPr>
        <w:t xml:space="preserve"> </w:t>
      </w:r>
      <w:r w:rsidR="00FD2C32" w:rsidRPr="002D186F">
        <w:rPr>
          <w:sz w:val="24"/>
          <w:szCs w:val="24"/>
          <w:lang w:val="uk-UA"/>
        </w:rPr>
        <w:t>млн</w:t>
      </w:r>
      <w:r w:rsidR="00BF0531" w:rsidRPr="002D186F">
        <w:rPr>
          <w:sz w:val="24"/>
          <w:szCs w:val="24"/>
          <w:lang w:val="uk-UA"/>
        </w:rPr>
        <w:t>.</w:t>
      </w:r>
      <w:r w:rsidR="00FD2C32" w:rsidRPr="002D186F">
        <w:rPr>
          <w:sz w:val="24"/>
          <w:szCs w:val="24"/>
          <w:lang w:val="uk-UA"/>
        </w:rPr>
        <w:t xml:space="preserve"> </w:t>
      </w:r>
      <w:r w:rsidR="00AE18BF" w:rsidRPr="002D186F">
        <w:rPr>
          <w:sz w:val="24"/>
          <w:szCs w:val="24"/>
          <w:lang w:val="uk-UA"/>
        </w:rPr>
        <w:t>грн.</w:t>
      </w:r>
      <w:r w:rsidR="004B303B" w:rsidRPr="002D186F">
        <w:rPr>
          <w:sz w:val="24"/>
          <w:szCs w:val="24"/>
          <w:lang w:val="uk-UA"/>
        </w:rPr>
        <w:t xml:space="preserve"> та менш</w:t>
      </w:r>
      <w:r w:rsidR="00150B75" w:rsidRPr="002D186F">
        <w:rPr>
          <w:sz w:val="24"/>
          <w:szCs w:val="24"/>
          <w:lang w:val="uk-UA"/>
        </w:rPr>
        <w:t>е</w:t>
      </w:r>
      <w:r w:rsidR="004B303B" w:rsidRPr="002D186F">
        <w:rPr>
          <w:sz w:val="24"/>
          <w:szCs w:val="24"/>
          <w:lang w:val="uk-UA"/>
        </w:rPr>
        <w:t xml:space="preserve"> </w:t>
      </w:r>
      <w:r w:rsidR="00150B75" w:rsidRPr="002D186F">
        <w:rPr>
          <w:sz w:val="24"/>
          <w:szCs w:val="24"/>
          <w:lang w:val="uk-UA"/>
        </w:rPr>
        <w:t>у порівнянні з планом</w:t>
      </w:r>
      <w:r w:rsidR="00B161B2" w:rsidRPr="002D186F">
        <w:rPr>
          <w:sz w:val="24"/>
          <w:szCs w:val="24"/>
          <w:lang w:val="uk-UA"/>
        </w:rPr>
        <w:t xml:space="preserve"> на </w:t>
      </w:r>
      <w:r w:rsidR="003A7D41">
        <w:rPr>
          <w:sz w:val="24"/>
          <w:szCs w:val="24"/>
          <w:lang w:val="uk-UA"/>
        </w:rPr>
        <w:t>30</w:t>
      </w:r>
      <w:r w:rsidR="00C93585">
        <w:rPr>
          <w:sz w:val="24"/>
          <w:szCs w:val="24"/>
          <w:lang w:val="uk-UA"/>
        </w:rPr>
        <w:t>,0</w:t>
      </w:r>
      <w:r w:rsidR="005A1086" w:rsidRPr="002D186F">
        <w:rPr>
          <w:sz w:val="24"/>
          <w:szCs w:val="24"/>
          <w:lang w:val="uk-UA"/>
        </w:rPr>
        <w:t xml:space="preserve"> млн. грн. за рахунок зменшен</w:t>
      </w:r>
      <w:r w:rsidR="00726B59" w:rsidRPr="002D186F">
        <w:rPr>
          <w:sz w:val="24"/>
          <w:szCs w:val="24"/>
          <w:lang w:val="uk-UA"/>
        </w:rPr>
        <w:t>н</w:t>
      </w:r>
      <w:r w:rsidR="00C93585">
        <w:rPr>
          <w:sz w:val="24"/>
          <w:szCs w:val="24"/>
          <w:lang w:val="uk-UA"/>
        </w:rPr>
        <w:t>я витрат по собівартості на 5,2</w:t>
      </w:r>
      <w:r w:rsidR="00726B59" w:rsidRPr="002D186F">
        <w:rPr>
          <w:sz w:val="24"/>
          <w:szCs w:val="24"/>
          <w:lang w:val="uk-UA"/>
        </w:rPr>
        <w:t xml:space="preserve"> млн. грн.,</w:t>
      </w:r>
      <w:r w:rsidR="00206FF3" w:rsidRPr="002D186F">
        <w:rPr>
          <w:sz w:val="24"/>
          <w:szCs w:val="24"/>
          <w:lang w:val="uk-UA"/>
        </w:rPr>
        <w:t xml:space="preserve"> адміністративни</w:t>
      </w:r>
      <w:r w:rsidR="00C93585">
        <w:rPr>
          <w:sz w:val="24"/>
          <w:szCs w:val="24"/>
          <w:lang w:val="uk-UA"/>
        </w:rPr>
        <w:t>х витрат на</w:t>
      </w:r>
      <w:r w:rsidR="003A7D41">
        <w:rPr>
          <w:sz w:val="24"/>
          <w:szCs w:val="24"/>
          <w:lang w:val="uk-UA"/>
        </w:rPr>
        <w:t xml:space="preserve"> </w:t>
      </w:r>
      <w:r w:rsidR="00C93585">
        <w:rPr>
          <w:sz w:val="24"/>
          <w:szCs w:val="24"/>
          <w:lang w:val="uk-UA"/>
        </w:rPr>
        <w:t>8,5</w:t>
      </w:r>
      <w:r w:rsidR="005A1086" w:rsidRPr="002D186F">
        <w:rPr>
          <w:sz w:val="24"/>
          <w:szCs w:val="24"/>
          <w:lang w:val="uk-UA"/>
        </w:rPr>
        <w:t xml:space="preserve"> млн.</w:t>
      </w:r>
      <w:r w:rsidR="00DD5283" w:rsidRPr="002D186F">
        <w:rPr>
          <w:sz w:val="24"/>
          <w:szCs w:val="24"/>
          <w:lang w:val="uk-UA"/>
        </w:rPr>
        <w:t xml:space="preserve"> </w:t>
      </w:r>
      <w:r w:rsidR="005A1086" w:rsidRPr="002D186F">
        <w:rPr>
          <w:sz w:val="24"/>
          <w:szCs w:val="24"/>
          <w:lang w:val="uk-UA"/>
        </w:rPr>
        <w:t>грн.</w:t>
      </w:r>
      <w:r w:rsidR="00F02D94" w:rsidRPr="002D186F">
        <w:rPr>
          <w:sz w:val="24"/>
          <w:szCs w:val="24"/>
          <w:lang w:val="uk-UA"/>
        </w:rPr>
        <w:t>,</w:t>
      </w:r>
      <w:r w:rsidR="009F09B8" w:rsidRPr="002D186F">
        <w:rPr>
          <w:sz w:val="24"/>
          <w:szCs w:val="24"/>
          <w:lang w:val="uk-UA"/>
        </w:rPr>
        <w:t xml:space="preserve"> та витрат по податку на прибуток у су</w:t>
      </w:r>
      <w:r w:rsidR="002A40B8" w:rsidRPr="002D186F">
        <w:rPr>
          <w:sz w:val="24"/>
          <w:szCs w:val="24"/>
          <w:lang w:val="uk-UA"/>
        </w:rPr>
        <w:t>мі</w:t>
      </w:r>
      <w:r w:rsidR="00754D0D" w:rsidRPr="002D186F">
        <w:rPr>
          <w:sz w:val="24"/>
          <w:szCs w:val="24"/>
          <w:lang w:val="uk-UA"/>
        </w:rPr>
        <w:t xml:space="preserve"> </w:t>
      </w:r>
      <w:r w:rsidR="003A7D41">
        <w:rPr>
          <w:sz w:val="24"/>
          <w:szCs w:val="24"/>
          <w:lang w:val="uk-UA"/>
        </w:rPr>
        <w:t>17</w:t>
      </w:r>
      <w:r w:rsidR="00C93585">
        <w:rPr>
          <w:sz w:val="24"/>
          <w:szCs w:val="24"/>
          <w:lang w:val="uk-UA"/>
        </w:rPr>
        <w:t>,4</w:t>
      </w:r>
      <w:r w:rsidR="009D326F">
        <w:rPr>
          <w:sz w:val="24"/>
          <w:szCs w:val="24"/>
          <w:lang w:val="uk-UA"/>
        </w:rPr>
        <w:t> </w:t>
      </w:r>
      <w:r w:rsidR="009F09B8" w:rsidRPr="002D186F">
        <w:rPr>
          <w:sz w:val="24"/>
          <w:szCs w:val="24"/>
          <w:lang w:val="uk-UA"/>
        </w:rPr>
        <w:t>млн.</w:t>
      </w:r>
      <w:r w:rsidR="009D326F">
        <w:rPr>
          <w:sz w:val="24"/>
          <w:szCs w:val="24"/>
          <w:lang w:val="uk-UA"/>
        </w:rPr>
        <w:t> </w:t>
      </w:r>
      <w:r w:rsidR="009F09B8" w:rsidRPr="002D186F">
        <w:rPr>
          <w:sz w:val="24"/>
          <w:szCs w:val="24"/>
          <w:lang w:val="uk-UA"/>
        </w:rPr>
        <w:t>грн.</w:t>
      </w:r>
    </w:p>
    <w:p w:rsidR="00EF0AEB" w:rsidRPr="002D186F" w:rsidRDefault="00EF0AEB" w:rsidP="009D326F">
      <w:pPr>
        <w:pStyle w:val="30"/>
        <w:spacing w:before="120"/>
        <w:ind w:left="0" w:firstLine="567"/>
        <w:jc w:val="right"/>
        <w:rPr>
          <w:i/>
          <w:sz w:val="24"/>
          <w:szCs w:val="24"/>
        </w:rPr>
      </w:pPr>
      <w:r w:rsidRPr="002D186F">
        <w:rPr>
          <w:i/>
          <w:sz w:val="24"/>
          <w:szCs w:val="24"/>
        </w:rPr>
        <w:t>Таблиця 3, тис. грн.</w:t>
      </w:r>
    </w:p>
    <w:tbl>
      <w:tblPr>
        <w:tblW w:w="97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82"/>
        <w:gridCol w:w="991"/>
        <w:gridCol w:w="8"/>
        <w:gridCol w:w="1127"/>
        <w:gridCol w:w="993"/>
        <w:gridCol w:w="985"/>
        <w:gridCol w:w="992"/>
        <w:gridCol w:w="8"/>
        <w:gridCol w:w="842"/>
        <w:gridCol w:w="851"/>
      </w:tblGrid>
      <w:tr w:rsidR="00C22205" w:rsidRPr="002D186F" w:rsidTr="009D326F">
        <w:trPr>
          <w:trHeight w:val="476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jc w:val="center"/>
              <w:rPr>
                <w:b/>
                <w:bCs/>
                <w:lang w:val="uk-UA"/>
              </w:rPr>
            </w:pPr>
            <w:r w:rsidRPr="002D186F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 xml:space="preserve">Звіт </w:t>
            </w:r>
            <w:r w:rsidRPr="002D186F">
              <w:rPr>
                <w:b/>
                <w:bCs/>
                <w:sz w:val="18"/>
                <w:lang w:val="uk-UA"/>
              </w:rPr>
              <w:br/>
              <w:t>2017 р.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 xml:space="preserve">План   </w:t>
            </w:r>
            <w:r w:rsidRPr="002D186F">
              <w:rPr>
                <w:b/>
                <w:bCs/>
                <w:sz w:val="18"/>
                <w:lang w:val="uk-UA"/>
              </w:rPr>
              <w:br/>
              <w:t>2018 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Звіт </w:t>
            </w:r>
            <w:r w:rsidRPr="002D186F">
              <w:rPr>
                <w:b/>
                <w:bCs/>
                <w:sz w:val="18"/>
                <w:lang w:val="uk-UA"/>
              </w:rPr>
              <w:br/>
              <w:t>2018 р.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>Відхилення звіту</w:t>
            </w:r>
          </w:p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>2018 р. до: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 xml:space="preserve">Відносно звіту </w:t>
            </w:r>
          </w:p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>2018 р. до:</w:t>
            </w:r>
          </w:p>
        </w:tc>
      </w:tr>
      <w:tr w:rsidR="00C22205" w:rsidRPr="002D186F" w:rsidTr="009D326F">
        <w:trPr>
          <w:trHeight w:val="407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 xml:space="preserve">Звіт </w:t>
            </w:r>
            <w:r w:rsidRPr="002D186F">
              <w:rPr>
                <w:b/>
                <w:bCs/>
                <w:sz w:val="16"/>
                <w:lang w:val="uk-UA"/>
              </w:rPr>
              <w:br/>
            </w:r>
            <w:r>
              <w:rPr>
                <w:b/>
                <w:bCs/>
                <w:sz w:val="16"/>
                <w:lang w:val="uk-UA"/>
              </w:rPr>
              <w:t xml:space="preserve">   </w:t>
            </w:r>
            <w:r w:rsidRPr="002D186F">
              <w:rPr>
                <w:b/>
                <w:bCs/>
                <w:sz w:val="16"/>
                <w:lang w:val="uk-UA"/>
              </w:rPr>
              <w:t>2017 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 xml:space="preserve">План </w:t>
            </w:r>
          </w:p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>2018 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93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 xml:space="preserve">       </w:t>
            </w:r>
            <w:r w:rsidRPr="002D186F">
              <w:rPr>
                <w:b/>
                <w:bCs/>
                <w:sz w:val="16"/>
                <w:lang w:val="uk-UA"/>
              </w:rPr>
              <w:t xml:space="preserve">Звіт </w:t>
            </w:r>
            <w:r w:rsidRPr="002D186F">
              <w:rPr>
                <w:b/>
                <w:bCs/>
                <w:sz w:val="16"/>
                <w:lang w:val="uk-UA"/>
              </w:rPr>
              <w:br/>
            </w:r>
            <w:r>
              <w:rPr>
                <w:b/>
                <w:bCs/>
                <w:sz w:val="16"/>
                <w:lang w:val="uk-UA"/>
              </w:rPr>
              <w:t xml:space="preserve">      </w:t>
            </w:r>
            <w:r w:rsidRPr="002D186F">
              <w:rPr>
                <w:b/>
                <w:bCs/>
                <w:sz w:val="16"/>
                <w:lang w:val="uk-UA"/>
              </w:rPr>
              <w:t>2017 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 xml:space="preserve">План </w:t>
            </w:r>
          </w:p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 xml:space="preserve"> 2018 р.</w:t>
            </w:r>
          </w:p>
        </w:tc>
      </w:tr>
      <w:tr w:rsidR="003A7D41" w:rsidRPr="002D186F" w:rsidTr="00732514">
        <w:trPr>
          <w:trHeight w:val="26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41" w:rsidRDefault="003A7D41" w:rsidP="003A7D41">
            <w:r>
              <w:t xml:space="preserve"> Собівартість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208 363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228 000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222 758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14 395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-5 242 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41" w:rsidRDefault="003A7D41" w:rsidP="003A7D41">
            <w:pPr>
              <w:jc w:val="right"/>
            </w:pPr>
            <w:r>
              <w:t xml:space="preserve">107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41" w:rsidRDefault="003A7D41" w:rsidP="003A7D41">
            <w:pPr>
              <w:jc w:val="right"/>
            </w:pPr>
            <w:r>
              <w:t xml:space="preserve">98  </w:t>
            </w:r>
          </w:p>
        </w:tc>
      </w:tr>
      <w:tr w:rsidR="003A7D41" w:rsidRPr="002D186F" w:rsidTr="00732514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r>
              <w:t xml:space="preserve"> Адміністративні витрати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69 545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59 804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51 312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-18 233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-8 492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41" w:rsidRDefault="003A7D41" w:rsidP="003A7D41">
            <w:pPr>
              <w:jc w:val="right"/>
            </w:pPr>
            <w:r>
              <w:t xml:space="preserve">74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41" w:rsidRDefault="003A7D41" w:rsidP="003A7D41">
            <w:pPr>
              <w:jc w:val="right"/>
            </w:pPr>
            <w:r>
              <w:t xml:space="preserve">86  </w:t>
            </w:r>
          </w:p>
        </w:tc>
      </w:tr>
      <w:tr w:rsidR="003A7D41" w:rsidRPr="002D186F" w:rsidTr="00732514">
        <w:trPr>
          <w:trHeight w:val="2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r>
              <w:t xml:space="preserve"> Витрати на збут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2 503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1 213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1 890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-613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677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41" w:rsidRDefault="003A7D41" w:rsidP="003A7D41">
            <w:pPr>
              <w:jc w:val="right"/>
            </w:pPr>
            <w:r>
              <w:t xml:space="preserve">76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41" w:rsidRDefault="003A7D41" w:rsidP="003A7D41">
            <w:pPr>
              <w:jc w:val="right"/>
            </w:pPr>
            <w:r>
              <w:t xml:space="preserve">156  </w:t>
            </w:r>
          </w:p>
        </w:tc>
      </w:tr>
      <w:tr w:rsidR="003A7D41" w:rsidRPr="002D186F" w:rsidTr="00732514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r>
              <w:t xml:space="preserve"> Інші операційні витрати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205 448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100 432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111 106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-94 342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10 674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41" w:rsidRDefault="003A7D41" w:rsidP="003A7D41">
            <w:pPr>
              <w:jc w:val="right"/>
            </w:pPr>
            <w:r>
              <w:t xml:space="preserve">54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41" w:rsidRDefault="003A7D41" w:rsidP="003A7D41">
            <w:pPr>
              <w:jc w:val="right"/>
            </w:pPr>
            <w:r>
              <w:t xml:space="preserve">111  </w:t>
            </w:r>
          </w:p>
        </w:tc>
      </w:tr>
      <w:tr w:rsidR="003A7D41" w:rsidRPr="002D186F" w:rsidTr="00732514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r>
              <w:t xml:space="preserve"> Інші витрати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8 731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10 695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454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-8 277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-10 241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41" w:rsidRDefault="003A7D41" w:rsidP="003A7D41">
            <w:pPr>
              <w:jc w:val="right"/>
            </w:pPr>
            <w:r>
              <w:t xml:space="preserve">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41" w:rsidRDefault="003A7D41" w:rsidP="003A7D41">
            <w:pPr>
              <w:jc w:val="right"/>
            </w:pPr>
            <w:r>
              <w:t xml:space="preserve">4  </w:t>
            </w:r>
          </w:p>
        </w:tc>
      </w:tr>
      <w:tr w:rsidR="003A7D41" w:rsidRPr="002D186F" w:rsidTr="0008394E">
        <w:trPr>
          <w:trHeight w:val="28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41" w:rsidRDefault="003A7D41" w:rsidP="003A7D41">
            <w:r>
              <w:t xml:space="preserve"> Податок на прибуток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16 690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32 528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15 135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-1 555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</w:pPr>
            <w:r>
              <w:t xml:space="preserve">-17 393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41" w:rsidRDefault="003A7D41" w:rsidP="003A7D41">
            <w:pPr>
              <w:jc w:val="right"/>
            </w:pPr>
            <w:r>
              <w:t xml:space="preserve">91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41" w:rsidRDefault="003A7D41" w:rsidP="003A7D41">
            <w:pPr>
              <w:jc w:val="right"/>
            </w:pPr>
            <w:r>
              <w:t xml:space="preserve">47  </w:t>
            </w:r>
          </w:p>
        </w:tc>
      </w:tr>
      <w:tr w:rsidR="003A7D41" w:rsidRPr="002D186F" w:rsidTr="0008394E">
        <w:trPr>
          <w:trHeight w:val="26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Всього витрати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511 280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432 672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402 655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-108 625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41" w:rsidRDefault="003A7D41" w:rsidP="003A7D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-30 017 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41" w:rsidRDefault="003A7D41" w:rsidP="003A7D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79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41" w:rsidRDefault="003A7D41" w:rsidP="003A7D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93  </w:t>
            </w:r>
          </w:p>
        </w:tc>
      </w:tr>
    </w:tbl>
    <w:p w:rsidR="0057656C" w:rsidRDefault="001D4E1A" w:rsidP="009D326F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2D186F">
        <w:rPr>
          <w:sz w:val="24"/>
          <w:szCs w:val="24"/>
          <w:lang w:val="uk-UA"/>
        </w:rPr>
        <w:t xml:space="preserve">За звітний період </w:t>
      </w:r>
      <w:r w:rsidR="00563B47" w:rsidRPr="002D186F">
        <w:rPr>
          <w:sz w:val="24"/>
          <w:szCs w:val="24"/>
          <w:lang w:val="uk-UA"/>
        </w:rPr>
        <w:t>фактичні</w:t>
      </w:r>
      <w:r w:rsidR="00510E11" w:rsidRPr="002D186F">
        <w:rPr>
          <w:sz w:val="24"/>
          <w:szCs w:val="24"/>
          <w:lang w:val="uk-UA"/>
        </w:rPr>
        <w:t xml:space="preserve"> </w:t>
      </w:r>
      <w:r w:rsidR="00AD700F" w:rsidRPr="002D186F">
        <w:rPr>
          <w:sz w:val="24"/>
          <w:szCs w:val="24"/>
          <w:lang w:val="uk-UA"/>
        </w:rPr>
        <w:t>витрат</w:t>
      </w:r>
      <w:r w:rsidR="00563B47" w:rsidRPr="002D186F">
        <w:rPr>
          <w:sz w:val="24"/>
          <w:szCs w:val="24"/>
          <w:lang w:val="uk-UA"/>
        </w:rPr>
        <w:t>и</w:t>
      </w:r>
      <w:r w:rsidR="00AD700F" w:rsidRPr="002D186F">
        <w:rPr>
          <w:sz w:val="24"/>
          <w:szCs w:val="24"/>
          <w:lang w:val="uk-UA"/>
        </w:rPr>
        <w:t xml:space="preserve"> </w:t>
      </w:r>
      <w:r w:rsidR="00B25B17" w:rsidRPr="002D186F">
        <w:rPr>
          <w:sz w:val="24"/>
          <w:szCs w:val="24"/>
          <w:lang w:val="uk-UA"/>
        </w:rPr>
        <w:t xml:space="preserve">у складі </w:t>
      </w:r>
      <w:r w:rsidR="004372E8" w:rsidRPr="002D186F">
        <w:rPr>
          <w:b/>
          <w:sz w:val="24"/>
          <w:szCs w:val="24"/>
          <w:lang w:val="uk-UA"/>
        </w:rPr>
        <w:t>собівартості</w:t>
      </w:r>
      <w:r w:rsidR="00AD700F" w:rsidRPr="002D186F">
        <w:rPr>
          <w:b/>
          <w:sz w:val="24"/>
          <w:szCs w:val="24"/>
          <w:lang w:val="uk-UA"/>
        </w:rPr>
        <w:t xml:space="preserve"> </w:t>
      </w:r>
      <w:r w:rsidR="00B25B17" w:rsidRPr="002D186F">
        <w:rPr>
          <w:sz w:val="24"/>
          <w:szCs w:val="24"/>
          <w:lang w:val="uk-UA"/>
        </w:rPr>
        <w:t>становля</w:t>
      </w:r>
      <w:r w:rsidRPr="002D186F">
        <w:rPr>
          <w:sz w:val="24"/>
          <w:szCs w:val="24"/>
          <w:lang w:val="uk-UA"/>
        </w:rPr>
        <w:t xml:space="preserve">ть </w:t>
      </w:r>
      <w:r w:rsidR="00C93585">
        <w:rPr>
          <w:sz w:val="24"/>
          <w:szCs w:val="24"/>
          <w:lang w:val="uk-UA"/>
        </w:rPr>
        <w:t>222,8</w:t>
      </w:r>
      <w:r w:rsidR="00726B59" w:rsidRPr="002D186F">
        <w:rPr>
          <w:sz w:val="24"/>
          <w:szCs w:val="24"/>
          <w:lang w:val="uk-UA"/>
        </w:rPr>
        <w:t xml:space="preserve"> </w:t>
      </w:r>
      <w:r w:rsidR="00563B47" w:rsidRPr="002D186F">
        <w:rPr>
          <w:sz w:val="24"/>
          <w:szCs w:val="24"/>
          <w:lang w:val="uk-UA"/>
        </w:rPr>
        <w:t xml:space="preserve">млн. </w:t>
      </w:r>
      <w:r w:rsidR="000C3C2A" w:rsidRPr="002D186F">
        <w:rPr>
          <w:sz w:val="24"/>
          <w:szCs w:val="24"/>
          <w:lang w:val="uk-UA"/>
        </w:rPr>
        <w:t>грн</w:t>
      </w:r>
      <w:r w:rsidR="00563B47" w:rsidRPr="002D186F">
        <w:rPr>
          <w:sz w:val="24"/>
          <w:szCs w:val="24"/>
          <w:lang w:val="uk-UA"/>
        </w:rPr>
        <w:t xml:space="preserve">., що </w:t>
      </w:r>
      <w:r w:rsidR="002A40B8" w:rsidRPr="002D186F">
        <w:rPr>
          <w:sz w:val="24"/>
          <w:szCs w:val="24"/>
          <w:lang w:val="uk-UA"/>
        </w:rPr>
        <w:t>перевищує аналогічний показник</w:t>
      </w:r>
      <w:r w:rsidR="00B25B17" w:rsidRPr="002D186F">
        <w:rPr>
          <w:sz w:val="24"/>
          <w:szCs w:val="24"/>
          <w:lang w:val="uk-UA"/>
        </w:rPr>
        <w:t xml:space="preserve"> </w:t>
      </w:r>
      <w:r w:rsidR="003708B4" w:rsidRPr="002D186F">
        <w:rPr>
          <w:sz w:val="24"/>
          <w:szCs w:val="24"/>
          <w:lang w:val="uk-UA"/>
        </w:rPr>
        <w:t xml:space="preserve">відповідного періоду </w:t>
      </w:r>
      <w:r w:rsidR="00F02D94" w:rsidRPr="002D186F">
        <w:rPr>
          <w:sz w:val="24"/>
          <w:szCs w:val="24"/>
          <w:lang w:val="uk-UA"/>
        </w:rPr>
        <w:t>2017</w:t>
      </w:r>
      <w:r w:rsidR="00232F03" w:rsidRPr="002D186F">
        <w:rPr>
          <w:sz w:val="24"/>
          <w:szCs w:val="24"/>
          <w:lang w:val="uk-UA"/>
        </w:rPr>
        <w:t> </w:t>
      </w:r>
      <w:r w:rsidR="00F02D94" w:rsidRPr="002D186F">
        <w:rPr>
          <w:sz w:val="24"/>
          <w:szCs w:val="24"/>
          <w:lang w:val="uk-UA"/>
        </w:rPr>
        <w:t>р.</w:t>
      </w:r>
      <w:r w:rsidR="00C93585">
        <w:rPr>
          <w:sz w:val="24"/>
          <w:szCs w:val="24"/>
          <w:lang w:val="uk-UA"/>
        </w:rPr>
        <w:t xml:space="preserve"> на 14,4</w:t>
      </w:r>
      <w:r w:rsidR="003708B4" w:rsidRPr="002D186F">
        <w:rPr>
          <w:sz w:val="24"/>
          <w:szCs w:val="24"/>
          <w:lang w:val="uk-UA"/>
        </w:rPr>
        <w:t xml:space="preserve"> млн. грн.</w:t>
      </w:r>
      <w:r w:rsidR="00323364" w:rsidRPr="002D186F">
        <w:rPr>
          <w:sz w:val="24"/>
          <w:szCs w:val="24"/>
          <w:lang w:val="uk-UA"/>
        </w:rPr>
        <w:t>,</w:t>
      </w:r>
      <w:r w:rsidR="00563B47" w:rsidRPr="002D186F">
        <w:rPr>
          <w:sz w:val="24"/>
          <w:szCs w:val="24"/>
          <w:lang w:val="uk-UA"/>
        </w:rPr>
        <w:t xml:space="preserve"> </w:t>
      </w:r>
      <w:r w:rsidR="00C93585">
        <w:rPr>
          <w:sz w:val="24"/>
          <w:szCs w:val="24"/>
          <w:lang w:val="uk-UA"/>
        </w:rPr>
        <w:t>та менш ніж заплановано на 5,2</w:t>
      </w:r>
      <w:r w:rsidR="00726B59" w:rsidRPr="002D186F">
        <w:rPr>
          <w:sz w:val="24"/>
          <w:szCs w:val="24"/>
          <w:lang w:val="uk-UA"/>
        </w:rPr>
        <w:t xml:space="preserve"> млн. грн.</w:t>
      </w:r>
      <w:r w:rsidR="00323364" w:rsidRPr="002D186F">
        <w:rPr>
          <w:sz w:val="24"/>
          <w:szCs w:val="24"/>
          <w:lang w:val="uk-UA"/>
        </w:rPr>
        <w:t>,</w:t>
      </w:r>
      <w:r w:rsidR="00726B59" w:rsidRPr="002D186F">
        <w:rPr>
          <w:sz w:val="24"/>
          <w:szCs w:val="24"/>
          <w:lang w:val="uk-UA"/>
        </w:rPr>
        <w:t xml:space="preserve"> </w:t>
      </w:r>
      <w:r w:rsidR="00323364" w:rsidRPr="002D186F">
        <w:rPr>
          <w:sz w:val="24"/>
          <w:szCs w:val="24"/>
          <w:lang w:val="uk-UA"/>
        </w:rPr>
        <w:t xml:space="preserve">або на </w:t>
      </w:r>
      <w:r w:rsidR="00C93585">
        <w:rPr>
          <w:sz w:val="24"/>
          <w:szCs w:val="24"/>
          <w:lang w:val="uk-UA"/>
        </w:rPr>
        <w:t>2</w:t>
      </w:r>
      <w:r w:rsidR="005A1086" w:rsidRPr="002D186F">
        <w:rPr>
          <w:sz w:val="24"/>
          <w:szCs w:val="24"/>
          <w:lang w:val="uk-UA"/>
        </w:rPr>
        <w:t>%</w:t>
      </w:r>
      <w:r w:rsidR="00323364" w:rsidRPr="002D186F">
        <w:rPr>
          <w:sz w:val="24"/>
          <w:szCs w:val="24"/>
          <w:lang w:val="uk-UA"/>
        </w:rPr>
        <w:t>,</w:t>
      </w:r>
      <w:r w:rsidR="005A1086" w:rsidRPr="002D186F">
        <w:rPr>
          <w:sz w:val="24"/>
          <w:szCs w:val="24"/>
          <w:lang w:val="uk-UA"/>
        </w:rPr>
        <w:t xml:space="preserve"> </w:t>
      </w:r>
      <w:r w:rsidR="007D3DA1" w:rsidRPr="002D186F">
        <w:rPr>
          <w:sz w:val="24"/>
          <w:szCs w:val="24"/>
          <w:lang w:val="uk-UA"/>
        </w:rPr>
        <w:t>за рахунок</w:t>
      </w:r>
      <w:r w:rsidR="00B25B17" w:rsidRPr="002D186F">
        <w:rPr>
          <w:sz w:val="24"/>
          <w:szCs w:val="24"/>
          <w:lang w:val="uk-UA"/>
        </w:rPr>
        <w:t xml:space="preserve"> комплексного впливу елементів витрат, що включа</w:t>
      </w:r>
      <w:r w:rsidR="00754D0D" w:rsidRPr="002D186F">
        <w:rPr>
          <w:sz w:val="24"/>
          <w:szCs w:val="24"/>
          <w:lang w:val="uk-UA"/>
        </w:rPr>
        <w:t>ються до показника собівартості</w:t>
      </w:r>
      <w:r w:rsidR="00B25B17" w:rsidRPr="002D186F">
        <w:rPr>
          <w:sz w:val="24"/>
          <w:szCs w:val="24"/>
          <w:lang w:val="uk-UA"/>
        </w:rPr>
        <w:t>. Факторний вплив складових собівартості наведено нижче:</w:t>
      </w:r>
    </w:p>
    <w:p w:rsidR="00EF0AEB" w:rsidRPr="002D186F" w:rsidRDefault="00EF0AEB" w:rsidP="00385D9D">
      <w:pPr>
        <w:pStyle w:val="30"/>
        <w:ind w:left="0" w:firstLine="567"/>
        <w:jc w:val="right"/>
        <w:rPr>
          <w:i/>
          <w:sz w:val="24"/>
          <w:szCs w:val="24"/>
        </w:rPr>
      </w:pPr>
      <w:r w:rsidRPr="002D186F">
        <w:rPr>
          <w:i/>
          <w:sz w:val="24"/>
          <w:szCs w:val="24"/>
        </w:rPr>
        <w:t>Таблиця 4, тис. грн.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153"/>
        <w:gridCol w:w="992"/>
        <w:gridCol w:w="992"/>
        <w:gridCol w:w="963"/>
        <w:gridCol w:w="992"/>
        <w:gridCol w:w="880"/>
        <w:gridCol w:w="963"/>
        <w:gridCol w:w="851"/>
      </w:tblGrid>
      <w:tr w:rsidR="00C22205" w:rsidRPr="002D186F" w:rsidTr="00332768">
        <w:trPr>
          <w:trHeight w:val="476"/>
          <w:tblHeader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jc w:val="center"/>
              <w:rPr>
                <w:b/>
                <w:bCs/>
                <w:lang w:val="uk-UA"/>
              </w:rPr>
            </w:pPr>
            <w:r w:rsidRPr="002D186F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 xml:space="preserve">Звіт </w:t>
            </w:r>
            <w:r w:rsidRPr="002D186F">
              <w:rPr>
                <w:b/>
                <w:bCs/>
                <w:sz w:val="18"/>
                <w:lang w:val="uk-UA"/>
              </w:rPr>
              <w:br/>
              <w:t>2017 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 xml:space="preserve">План   </w:t>
            </w:r>
            <w:r w:rsidRPr="002D186F">
              <w:rPr>
                <w:b/>
                <w:bCs/>
                <w:sz w:val="18"/>
                <w:lang w:val="uk-UA"/>
              </w:rPr>
              <w:br/>
              <w:t>2018 р.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Звіт </w:t>
            </w:r>
            <w:r w:rsidRPr="002D186F">
              <w:rPr>
                <w:b/>
                <w:bCs/>
                <w:sz w:val="18"/>
                <w:lang w:val="uk-UA"/>
              </w:rPr>
              <w:br/>
              <w:t>2018 р.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>Відхилення звіту</w:t>
            </w:r>
          </w:p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>2018 р. до: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 xml:space="preserve">Відносно звіту </w:t>
            </w:r>
          </w:p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>2018 р. до:</w:t>
            </w:r>
          </w:p>
        </w:tc>
      </w:tr>
      <w:tr w:rsidR="00C22205" w:rsidRPr="002D186F" w:rsidTr="00332768">
        <w:trPr>
          <w:trHeight w:val="554"/>
          <w:tblHeader/>
        </w:trPr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 xml:space="preserve">Звіт </w:t>
            </w:r>
            <w:r w:rsidRPr="002D186F">
              <w:rPr>
                <w:b/>
                <w:bCs/>
                <w:sz w:val="16"/>
                <w:lang w:val="uk-UA"/>
              </w:rPr>
              <w:br/>
            </w:r>
            <w:r>
              <w:rPr>
                <w:b/>
                <w:bCs/>
                <w:sz w:val="16"/>
                <w:lang w:val="uk-UA"/>
              </w:rPr>
              <w:t xml:space="preserve">   </w:t>
            </w:r>
            <w:r w:rsidRPr="002D186F">
              <w:rPr>
                <w:b/>
                <w:bCs/>
                <w:sz w:val="16"/>
                <w:lang w:val="uk-UA"/>
              </w:rPr>
              <w:t>2017 р.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 xml:space="preserve">План </w:t>
            </w:r>
          </w:p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>2018 р.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93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 xml:space="preserve">       </w:t>
            </w:r>
            <w:r w:rsidRPr="002D186F">
              <w:rPr>
                <w:b/>
                <w:bCs/>
                <w:sz w:val="16"/>
                <w:lang w:val="uk-UA"/>
              </w:rPr>
              <w:t xml:space="preserve">Звіт </w:t>
            </w:r>
            <w:r w:rsidRPr="002D186F">
              <w:rPr>
                <w:b/>
                <w:bCs/>
                <w:sz w:val="16"/>
                <w:lang w:val="uk-UA"/>
              </w:rPr>
              <w:br/>
            </w:r>
            <w:r>
              <w:rPr>
                <w:b/>
                <w:bCs/>
                <w:sz w:val="16"/>
                <w:lang w:val="uk-UA"/>
              </w:rPr>
              <w:t xml:space="preserve">      </w:t>
            </w:r>
            <w:r w:rsidRPr="002D186F">
              <w:rPr>
                <w:b/>
                <w:bCs/>
                <w:sz w:val="16"/>
                <w:lang w:val="uk-UA"/>
              </w:rPr>
              <w:t>2017 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 xml:space="preserve">План </w:t>
            </w:r>
          </w:p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 xml:space="preserve"> 2018 р.</w:t>
            </w:r>
          </w:p>
        </w:tc>
      </w:tr>
      <w:tr w:rsidR="00C93585" w:rsidRPr="002D186F" w:rsidTr="00332768">
        <w:trPr>
          <w:trHeight w:val="51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85" w:rsidRDefault="00C93585" w:rsidP="00C93585">
            <w:pPr>
              <w:rPr>
                <w:b/>
                <w:bCs/>
              </w:rPr>
            </w:pPr>
            <w:r>
              <w:rPr>
                <w:b/>
                <w:bCs/>
              </w:rPr>
              <w:t>Собівартість реаліз. продукції - усього, у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208 363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228 000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222 758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14 395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-5 242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98 </w:t>
            </w:r>
          </w:p>
        </w:tc>
      </w:tr>
      <w:tr w:rsidR="00C93585" w:rsidRPr="002D186F" w:rsidTr="00332768">
        <w:trPr>
          <w:trHeight w:val="26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85" w:rsidRDefault="00C93585" w:rsidP="00C93585">
            <w:r>
              <w:t xml:space="preserve"> - сировина і основні матеріали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4 754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4 918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4 868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114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-50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99 </w:t>
            </w:r>
          </w:p>
        </w:tc>
      </w:tr>
      <w:tr w:rsidR="00C93585" w:rsidRPr="002D186F" w:rsidTr="00332768">
        <w:trPr>
          <w:trHeight w:val="26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85" w:rsidRDefault="00C93585" w:rsidP="00C93585">
            <w:r>
              <w:t xml:space="preserve"> - витрати на паливо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14 549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16 141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14 648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99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-1 493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91 </w:t>
            </w:r>
          </w:p>
        </w:tc>
      </w:tr>
      <w:tr w:rsidR="00C93585" w:rsidRPr="002D186F" w:rsidTr="00332768">
        <w:trPr>
          <w:trHeight w:val="26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85" w:rsidRDefault="00C93585" w:rsidP="00C93585">
            <w:r>
              <w:t xml:space="preserve"> - витрати на  електроенергію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5 508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5 895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7 496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1 988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1 601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127 </w:t>
            </w:r>
          </w:p>
        </w:tc>
      </w:tr>
      <w:tr w:rsidR="00C93585" w:rsidRPr="002D186F" w:rsidTr="00332768">
        <w:trPr>
          <w:trHeight w:val="26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85" w:rsidRDefault="00C93585" w:rsidP="00C93585">
            <w:r>
              <w:t xml:space="preserve"> - витрати на оплату праці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114 231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99 567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111 179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-3 052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11 612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97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112 </w:t>
            </w:r>
          </w:p>
        </w:tc>
      </w:tr>
      <w:tr w:rsidR="00C93585" w:rsidRPr="002D186F" w:rsidTr="00332768">
        <w:trPr>
          <w:trHeight w:val="26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85" w:rsidRDefault="00C93585" w:rsidP="00C93585">
            <w:r>
              <w:t xml:space="preserve"> - відрахування на соц. заходи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22 537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21 554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23 176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639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1 622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108 </w:t>
            </w:r>
          </w:p>
        </w:tc>
      </w:tr>
      <w:tr w:rsidR="00C93585" w:rsidRPr="002D186F" w:rsidTr="00332768">
        <w:trPr>
          <w:trHeight w:val="26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85" w:rsidRDefault="00C93585" w:rsidP="00C93585">
            <w:r>
              <w:t xml:space="preserve"> - амортизація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28 175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31 386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31 187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3 012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-199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99 </w:t>
            </w:r>
          </w:p>
        </w:tc>
      </w:tr>
      <w:tr w:rsidR="00C93585" w:rsidRPr="002D186F" w:rsidTr="00332768">
        <w:trPr>
          <w:trHeight w:val="6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85" w:rsidRDefault="00C93585" w:rsidP="00C93585">
            <w:r>
              <w:lastRenderedPageBreak/>
              <w:t xml:space="preserve"> -витрати, що здійснюються для підтримання об’єкта в робочому стані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5 476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16 259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8 927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3 451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-7 332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163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55 </w:t>
            </w:r>
          </w:p>
        </w:tc>
      </w:tr>
      <w:tr w:rsidR="00C93585" w:rsidRPr="002D186F" w:rsidTr="00332768">
        <w:trPr>
          <w:trHeight w:val="26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585" w:rsidRDefault="00C93585" w:rsidP="00C93585">
            <w:r>
              <w:t xml:space="preserve"> - інші витрати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13 133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32 280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21 277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8 144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-11 003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162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5" w:rsidRDefault="00C93585" w:rsidP="00C93585">
            <w:pPr>
              <w:jc w:val="right"/>
            </w:pPr>
            <w:r>
              <w:t xml:space="preserve">66 </w:t>
            </w:r>
          </w:p>
        </w:tc>
      </w:tr>
    </w:tbl>
    <w:p w:rsidR="001B26D9" w:rsidRPr="002D186F" w:rsidRDefault="00540132" w:rsidP="00C33E06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2D186F">
        <w:rPr>
          <w:sz w:val="24"/>
          <w:szCs w:val="24"/>
          <w:lang w:val="uk-UA"/>
        </w:rPr>
        <w:t xml:space="preserve">Так, </w:t>
      </w:r>
      <w:r w:rsidR="00B25B17" w:rsidRPr="002D186F">
        <w:rPr>
          <w:sz w:val="24"/>
          <w:szCs w:val="24"/>
          <w:lang w:val="uk-UA"/>
        </w:rPr>
        <w:t xml:space="preserve">зміни, що призвели до </w:t>
      </w:r>
      <w:r w:rsidR="00B25B17" w:rsidRPr="002D186F">
        <w:rPr>
          <w:b/>
          <w:sz w:val="24"/>
          <w:szCs w:val="24"/>
          <w:lang w:val="uk-UA"/>
        </w:rPr>
        <w:t xml:space="preserve">економії </w:t>
      </w:r>
      <w:r w:rsidR="009F09B8" w:rsidRPr="002D186F">
        <w:rPr>
          <w:b/>
          <w:sz w:val="24"/>
          <w:szCs w:val="24"/>
          <w:lang w:val="uk-UA"/>
        </w:rPr>
        <w:t xml:space="preserve">запланованого </w:t>
      </w:r>
      <w:r w:rsidR="00B25B17" w:rsidRPr="002D186F">
        <w:rPr>
          <w:b/>
          <w:sz w:val="24"/>
          <w:szCs w:val="24"/>
          <w:lang w:val="uk-UA"/>
        </w:rPr>
        <w:t>пок</w:t>
      </w:r>
      <w:r w:rsidRPr="002D186F">
        <w:rPr>
          <w:b/>
          <w:sz w:val="24"/>
          <w:szCs w:val="24"/>
          <w:lang w:val="uk-UA"/>
        </w:rPr>
        <w:t>азника собівартості</w:t>
      </w:r>
      <w:r w:rsidR="00C93585">
        <w:rPr>
          <w:b/>
          <w:sz w:val="24"/>
          <w:szCs w:val="24"/>
          <w:lang w:val="uk-UA"/>
        </w:rPr>
        <w:t xml:space="preserve"> на 5,2</w:t>
      </w:r>
      <w:r w:rsidR="00204504" w:rsidRPr="002D186F">
        <w:rPr>
          <w:b/>
          <w:sz w:val="24"/>
          <w:szCs w:val="24"/>
          <w:lang w:val="uk-UA"/>
        </w:rPr>
        <w:t> </w:t>
      </w:r>
      <w:r w:rsidR="005A1086" w:rsidRPr="002D186F">
        <w:rPr>
          <w:b/>
          <w:sz w:val="24"/>
          <w:szCs w:val="24"/>
          <w:lang w:val="uk-UA"/>
        </w:rPr>
        <w:t>млн. грн.</w:t>
      </w:r>
      <w:r w:rsidR="005A1086" w:rsidRPr="002D186F">
        <w:rPr>
          <w:sz w:val="24"/>
          <w:szCs w:val="24"/>
          <w:lang w:val="uk-UA"/>
        </w:rPr>
        <w:t xml:space="preserve"> </w:t>
      </w:r>
      <w:r w:rsidRPr="002D186F">
        <w:rPr>
          <w:sz w:val="24"/>
          <w:szCs w:val="24"/>
          <w:lang w:val="uk-UA"/>
        </w:rPr>
        <w:t xml:space="preserve"> за</w:t>
      </w:r>
      <w:r w:rsidR="00C93585">
        <w:rPr>
          <w:sz w:val="24"/>
          <w:szCs w:val="24"/>
          <w:lang w:val="uk-UA"/>
        </w:rPr>
        <w:t xml:space="preserve"> </w:t>
      </w:r>
      <w:r w:rsidR="00C2149E" w:rsidRPr="002D186F">
        <w:rPr>
          <w:sz w:val="24"/>
          <w:szCs w:val="24"/>
          <w:lang w:val="uk-UA"/>
        </w:rPr>
        <w:t>2018</w:t>
      </w:r>
      <w:r w:rsidR="00232F03" w:rsidRPr="002D186F">
        <w:rPr>
          <w:sz w:val="24"/>
          <w:szCs w:val="24"/>
          <w:lang w:val="uk-UA"/>
        </w:rPr>
        <w:t xml:space="preserve"> </w:t>
      </w:r>
      <w:r w:rsidR="00B25B17" w:rsidRPr="002D186F">
        <w:rPr>
          <w:sz w:val="24"/>
          <w:szCs w:val="24"/>
          <w:lang w:val="uk-UA"/>
        </w:rPr>
        <w:t>р</w:t>
      </w:r>
      <w:r w:rsidR="00C93585">
        <w:rPr>
          <w:sz w:val="24"/>
          <w:szCs w:val="24"/>
          <w:lang w:val="uk-UA"/>
        </w:rPr>
        <w:t>ік</w:t>
      </w:r>
      <w:r w:rsidR="00323364" w:rsidRPr="002D186F">
        <w:rPr>
          <w:sz w:val="24"/>
          <w:szCs w:val="24"/>
          <w:lang w:val="uk-UA"/>
        </w:rPr>
        <w:t>,</w:t>
      </w:r>
      <w:r w:rsidR="00B25B17" w:rsidRPr="002D186F">
        <w:rPr>
          <w:sz w:val="24"/>
          <w:szCs w:val="24"/>
          <w:lang w:val="uk-UA"/>
        </w:rPr>
        <w:t xml:space="preserve"> пояснюються</w:t>
      </w:r>
      <w:r w:rsidR="00323364" w:rsidRPr="002D186F">
        <w:rPr>
          <w:sz w:val="24"/>
          <w:szCs w:val="24"/>
          <w:lang w:val="uk-UA"/>
        </w:rPr>
        <w:t xml:space="preserve"> наступним</w:t>
      </w:r>
      <w:r w:rsidR="00B25B17" w:rsidRPr="002D186F">
        <w:rPr>
          <w:sz w:val="24"/>
          <w:szCs w:val="24"/>
          <w:lang w:val="uk-UA"/>
        </w:rPr>
        <w:t>:</w:t>
      </w:r>
    </w:p>
    <w:p w:rsidR="00907C2B" w:rsidRPr="00907C2B" w:rsidRDefault="00907C2B" w:rsidP="00BD1870">
      <w:pPr>
        <w:pStyle w:val="aa"/>
        <w:numPr>
          <w:ilvl w:val="0"/>
          <w:numId w:val="37"/>
        </w:numPr>
        <w:ind w:left="0" w:firstLine="709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збільшенням витрат на оплату праці з відрахуваннями на 13,2 млн. грн.</w:t>
      </w:r>
    </w:p>
    <w:p w:rsidR="00907C2B" w:rsidRPr="00907C2B" w:rsidRDefault="00907C2B" w:rsidP="00BD1870">
      <w:pPr>
        <w:pStyle w:val="aa"/>
        <w:numPr>
          <w:ilvl w:val="0"/>
          <w:numId w:val="37"/>
        </w:numPr>
        <w:ind w:left="0" w:firstLine="709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зменшенням витрат на ремонт на 7,3 млн. грн. у зв</w:t>
      </w:r>
      <w:r w:rsidRPr="00907C2B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язку із перенесенням терміну ремонту буксирів на наступний період;</w:t>
      </w:r>
    </w:p>
    <w:p w:rsidR="00BD1870" w:rsidRPr="00AB4F9E" w:rsidRDefault="00907C2B" w:rsidP="00BD1870">
      <w:pPr>
        <w:pStyle w:val="aa"/>
        <w:numPr>
          <w:ilvl w:val="0"/>
          <w:numId w:val="37"/>
        </w:numPr>
        <w:ind w:left="0" w:firstLine="709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зменшенням витрат </w:t>
      </w:r>
      <w:r w:rsidR="002D2B1C">
        <w:rPr>
          <w:sz w:val="24"/>
          <w:szCs w:val="24"/>
          <w:lang w:val="uk-UA"/>
        </w:rPr>
        <w:t xml:space="preserve"> на техобслуговування на 0,5</w:t>
      </w:r>
      <w:r w:rsidR="00BD1870" w:rsidRPr="00AB4F9E">
        <w:rPr>
          <w:sz w:val="24"/>
          <w:szCs w:val="24"/>
          <w:lang w:val="uk-UA"/>
        </w:rPr>
        <w:t xml:space="preserve"> млн. грн.;</w:t>
      </w:r>
    </w:p>
    <w:p w:rsidR="00BD1870" w:rsidRPr="00907C2B" w:rsidRDefault="00907C2B" w:rsidP="0008394E">
      <w:pPr>
        <w:pStyle w:val="aa"/>
        <w:numPr>
          <w:ilvl w:val="0"/>
          <w:numId w:val="37"/>
        </w:numPr>
        <w:ind w:left="0" w:firstLine="709"/>
        <w:jc w:val="both"/>
        <w:rPr>
          <w:b/>
          <w:sz w:val="24"/>
          <w:szCs w:val="24"/>
          <w:lang w:val="uk-UA"/>
        </w:rPr>
      </w:pPr>
      <w:r w:rsidRPr="00907C2B">
        <w:rPr>
          <w:sz w:val="24"/>
          <w:szCs w:val="24"/>
          <w:lang w:val="uk-UA"/>
        </w:rPr>
        <w:t>зменшенням витрат на змінно-запасні частини на 10,2</w:t>
      </w:r>
      <w:r w:rsidR="00BD1870" w:rsidRPr="00907C2B">
        <w:rPr>
          <w:sz w:val="24"/>
          <w:szCs w:val="24"/>
          <w:lang w:val="uk-UA"/>
        </w:rPr>
        <w:t xml:space="preserve">  млн. грн.</w:t>
      </w:r>
      <w:r w:rsidRPr="00907C2B">
        <w:rPr>
          <w:sz w:val="24"/>
          <w:szCs w:val="24"/>
          <w:lang w:val="uk-UA"/>
        </w:rPr>
        <w:t xml:space="preserve"> у зв</w:t>
      </w:r>
      <w:r w:rsidRPr="00907C2B">
        <w:rPr>
          <w:sz w:val="24"/>
          <w:szCs w:val="24"/>
        </w:rPr>
        <w:t>’</w:t>
      </w:r>
      <w:r w:rsidRPr="00907C2B">
        <w:rPr>
          <w:sz w:val="24"/>
          <w:szCs w:val="24"/>
          <w:lang w:val="uk-UA"/>
        </w:rPr>
        <w:t>язку із перенесенням терміну ремонту буксирів на наступний період;</w:t>
      </w:r>
    </w:p>
    <w:p w:rsidR="00C2149E" w:rsidRPr="00C22205" w:rsidRDefault="00C22205" w:rsidP="00732514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економією</w:t>
      </w:r>
      <w:r w:rsidR="00BD1870" w:rsidRPr="00C22205">
        <w:rPr>
          <w:sz w:val="24"/>
          <w:szCs w:val="24"/>
          <w:lang w:val="uk-UA"/>
        </w:rPr>
        <w:t xml:space="preserve"> витрат на </w:t>
      </w:r>
      <w:r w:rsidR="00AB4F9E" w:rsidRPr="00C22205">
        <w:rPr>
          <w:sz w:val="24"/>
          <w:szCs w:val="24"/>
          <w:lang w:val="uk-UA"/>
        </w:rPr>
        <w:t>технічну документацію на 1,7</w:t>
      </w:r>
      <w:r w:rsidR="00BD1870" w:rsidRPr="00C22205">
        <w:rPr>
          <w:sz w:val="24"/>
          <w:szCs w:val="24"/>
          <w:lang w:val="uk-UA"/>
        </w:rPr>
        <w:t xml:space="preserve"> млн. грн.;</w:t>
      </w:r>
    </w:p>
    <w:p w:rsidR="00BD1870" w:rsidRPr="00AB4F9E" w:rsidRDefault="00C22205" w:rsidP="00BD1870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зменшенням</w:t>
      </w:r>
      <w:r w:rsidR="00BD1870" w:rsidRPr="00AB4F9E">
        <w:rPr>
          <w:sz w:val="24"/>
          <w:szCs w:val="24"/>
          <w:lang w:val="uk-UA"/>
        </w:rPr>
        <w:t xml:space="preserve"> витрат з послуг механізмів сторонніх організацій</w:t>
      </w:r>
      <w:r>
        <w:rPr>
          <w:sz w:val="24"/>
          <w:szCs w:val="24"/>
          <w:lang w:val="uk-UA"/>
        </w:rPr>
        <w:t xml:space="preserve"> на 2,5</w:t>
      </w:r>
      <w:r w:rsidR="00C2149E" w:rsidRPr="00AB4F9E">
        <w:rPr>
          <w:sz w:val="24"/>
          <w:szCs w:val="24"/>
          <w:lang w:val="uk-UA"/>
        </w:rPr>
        <w:t xml:space="preserve"> млн. грн.</w:t>
      </w:r>
      <w:r w:rsidR="00BD1870" w:rsidRPr="00AB4F9E">
        <w:rPr>
          <w:sz w:val="24"/>
          <w:szCs w:val="24"/>
          <w:lang w:val="uk-UA"/>
        </w:rPr>
        <w:t xml:space="preserve"> </w:t>
      </w:r>
      <w:r w:rsidR="00E63DB3" w:rsidRPr="00AB4F9E">
        <w:rPr>
          <w:sz w:val="24"/>
          <w:szCs w:val="24"/>
          <w:lang w:val="uk-UA"/>
        </w:rPr>
        <w:t xml:space="preserve">у зв’язку з відсутністю льодової кампанії </w:t>
      </w:r>
      <w:r w:rsidR="00A03861" w:rsidRPr="00AB4F9E">
        <w:rPr>
          <w:sz w:val="24"/>
          <w:szCs w:val="24"/>
          <w:lang w:val="uk-UA"/>
        </w:rPr>
        <w:t>задля якої вони були заплановані</w:t>
      </w:r>
      <w:r w:rsidR="00C470A5" w:rsidRPr="00AB4F9E">
        <w:rPr>
          <w:sz w:val="24"/>
          <w:szCs w:val="24"/>
          <w:lang w:val="uk-UA"/>
        </w:rPr>
        <w:t>;</w:t>
      </w:r>
    </w:p>
    <w:p w:rsidR="00C470A5" w:rsidRPr="00AB4F9E" w:rsidRDefault="00C22205" w:rsidP="00BD1870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зменшенням</w:t>
      </w:r>
      <w:r w:rsidR="003708B4" w:rsidRPr="00AB4F9E">
        <w:rPr>
          <w:sz w:val="24"/>
          <w:szCs w:val="24"/>
          <w:lang w:val="uk-UA"/>
        </w:rPr>
        <w:t xml:space="preserve"> витрат на страхування на </w:t>
      </w:r>
      <w:r>
        <w:rPr>
          <w:sz w:val="24"/>
          <w:szCs w:val="24"/>
          <w:lang w:val="uk-UA"/>
        </w:rPr>
        <w:t>0,6</w:t>
      </w:r>
      <w:r w:rsidR="00C470A5" w:rsidRPr="00AB4F9E">
        <w:rPr>
          <w:sz w:val="24"/>
          <w:szCs w:val="24"/>
          <w:lang w:val="uk-UA"/>
        </w:rPr>
        <w:t xml:space="preserve"> млн. грн., </w:t>
      </w:r>
      <w:r w:rsidR="0012220E" w:rsidRPr="00AB4F9E">
        <w:rPr>
          <w:sz w:val="24"/>
          <w:szCs w:val="24"/>
          <w:lang w:val="uk-UA"/>
        </w:rPr>
        <w:t xml:space="preserve">зменшенню витрат на паливо </w:t>
      </w:r>
      <w:r w:rsidR="00C470A5" w:rsidRPr="00AB4F9E"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 1,5</w:t>
      </w:r>
      <w:r w:rsidR="000051C8" w:rsidRPr="00AB4F9E">
        <w:rPr>
          <w:sz w:val="24"/>
          <w:szCs w:val="24"/>
          <w:lang w:val="uk-UA"/>
        </w:rPr>
        <w:t xml:space="preserve"> млн. грн., податку</w:t>
      </w:r>
      <w:r w:rsidR="00C470A5" w:rsidRPr="00AB4F9E">
        <w:rPr>
          <w:sz w:val="24"/>
          <w:szCs w:val="24"/>
          <w:lang w:val="uk-UA"/>
        </w:rPr>
        <w:t xml:space="preserve"> на землю на 0,</w:t>
      </w:r>
      <w:r>
        <w:rPr>
          <w:sz w:val="24"/>
          <w:szCs w:val="24"/>
          <w:lang w:val="uk-UA"/>
        </w:rPr>
        <w:t>2</w:t>
      </w:r>
      <w:r w:rsidR="00C470A5" w:rsidRPr="00AB4F9E">
        <w:rPr>
          <w:sz w:val="24"/>
          <w:szCs w:val="24"/>
          <w:lang w:val="uk-UA"/>
        </w:rPr>
        <w:t xml:space="preserve"> млн. грн. </w:t>
      </w:r>
    </w:p>
    <w:p w:rsidR="0066444D" w:rsidRPr="002D186F" w:rsidRDefault="00D70255" w:rsidP="00163C3D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163C3D">
        <w:rPr>
          <w:b/>
          <w:color w:val="000000"/>
          <w:sz w:val="24"/>
          <w:szCs w:val="24"/>
          <w:lang w:val="uk-UA"/>
        </w:rPr>
        <w:t>А</w:t>
      </w:r>
      <w:r w:rsidR="00845055" w:rsidRPr="00163C3D">
        <w:rPr>
          <w:b/>
          <w:color w:val="000000"/>
          <w:sz w:val="24"/>
          <w:szCs w:val="24"/>
          <w:lang w:val="uk-UA"/>
        </w:rPr>
        <w:t>дміністративн</w:t>
      </w:r>
      <w:r w:rsidRPr="00163C3D">
        <w:rPr>
          <w:b/>
          <w:color w:val="000000"/>
          <w:sz w:val="24"/>
          <w:szCs w:val="24"/>
          <w:lang w:val="uk-UA"/>
        </w:rPr>
        <w:t>і</w:t>
      </w:r>
      <w:r w:rsidR="00E04723" w:rsidRPr="002D186F">
        <w:rPr>
          <w:b/>
          <w:sz w:val="24"/>
          <w:szCs w:val="24"/>
          <w:lang w:val="uk-UA"/>
        </w:rPr>
        <w:t xml:space="preserve"> ви</w:t>
      </w:r>
      <w:r w:rsidR="00A1360C" w:rsidRPr="002D186F">
        <w:rPr>
          <w:b/>
          <w:sz w:val="24"/>
          <w:szCs w:val="24"/>
          <w:lang w:val="uk-UA"/>
        </w:rPr>
        <w:t>трат</w:t>
      </w:r>
      <w:r w:rsidRPr="002D186F">
        <w:rPr>
          <w:b/>
          <w:sz w:val="24"/>
          <w:szCs w:val="24"/>
          <w:lang w:val="uk-UA"/>
        </w:rPr>
        <w:t>и</w:t>
      </w:r>
      <w:r w:rsidR="00A1360C" w:rsidRPr="002D186F">
        <w:rPr>
          <w:b/>
          <w:i/>
          <w:sz w:val="24"/>
          <w:szCs w:val="24"/>
          <w:lang w:val="uk-UA"/>
        </w:rPr>
        <w:t xml:space="preserve"> </w:t>
      </w:r>
      <w:r w:rsidR="00BA6C7F" w:rsidRPr="002D186F">
        <w:rPr>
          <w:sz w:val="24"/>
          <w:szCs w:val="24"/>
          <w:lang w:val="uk-UA"/>
        </w:rPr>
        <w:t xml:space="preserve">за </w:t>
      </w:r>
      <w:r w:rsidR="000A6507" w:rsidRPr="002D186F">
        <w:rPr>
          <w:sz w:val="24"/>
          <w:szCs w:val="24"/>
          <w:lang w:val="uk-UA"/>
        </w:rPr>
        <w:t>2018</w:t>
      </w:r>
      <w:r w:rsidR="00CC24F5" w:rsidRPr="002D186F">
        <w:rPr>
          <w:sz w:val="24"/>
          <w:szCs w:val="24"/>
          <w:lang w:val="uk-UA"/>
        </w:rPr>
        <w:t xml:space="preserve"> </w:t>
      </w:r>
      <w:r w:rsidR="007428B8" w:rsidRPr="002D186F">
        <w:rPr>
          <w:sz w:val="24"/>
          <w:szCs w:val="24"/>
          <w:lang w:val="uk-UA"/>
        </w:rPr>
        <w:t>р</w:t>
      </w:r>
      <w:r w:rsidR="00732514">
        <w:rPr>
          <w:sz w:val="24"/>
          <w:szCs w:val="24"/>
          <w:lang w:val="uk-UA"/>
        </w:rPr>
        <w:t>ік</w:t>
      </w:r>
      <w:r w:rsidR="007428B8" w:rsidRPr="002D186F">
        <w:rPr>
          <w:sz w:val="24"/>
          <w:szCs w:val="24"/>
          <w:lang w:val="uk-UA"/>
        </w:rPr>
        <w:t xml:space="preserve"> </w:t>
      </w:r>
      <w:r w:rsidR="00845055" w:rsidRPr="002D186F">
        <w:rPr>
          <w:sz w:val="24"/>
          <w:szCs w:val="24"/>
          <w:lang w:val="uk-UA"/>
        </w:rPr>
        <w:t>у п</w:t>
      </w:r>
      <w:r w:rsidR="008B70CD" w:rsidRPr="002D186F">
        <w:rPr>
          <w:sz w:val="24"/>
          <w:szCs w:val="24"/>
          <w:lang w:val="uk-UA"/>
        </w:rPr>
        <w:t xml:space="preserve">орівнянні з </w:t>
      </w:r>
      <w:r w:rsidR="007428B8" w:rsidRPr="002D186F">
        <w:rPr>
          <w:sz w:val="24"/>
          <w:szCs w:val="24"/>
          <w:lang w:val="uk-UA"/>
        </w:rPr>
        <w:t>відповідним звітним  періодом</w:t>
      </w:r>
      <w:r w:rsidR="008B70CD" w:rsidRPr="002D186F">
        <w:rPr>
          <w:sz w:val="24"/>
          <w:szCs w:val="24"/>
          <w:lang w:val="uk-UA"/>
        </w:rPr>
        <w:t xml:space="preserve"> </w:t>
      </w:r>
      <w:r w:rsidR="00845055" w:rsidRPr="002D186F">
        <w:rPr>
          <w:sz w:val="24"/>
          <w:szCs w:val="24"/>
          <w:lang w:val="uk-UA"/>
        </w:rPr>
        <w:t>201</w:t>
      </w:r>
      <w:r w:rsidR="000A6507" w:rsidRPr="002D186F">
        <w:rPr>
          <w:sz w:val="24"/>
          <w:szCs w:val="24"/>
          <w:lang w:val="uk-UA"/>
        </w:rPr>
        <w:t>7</w:t>
      </w:r>
      <w:r w:rsidR="007428B8" w:rsidRPr="002D186F">
        <w:rPr>
          <w:sz w:val="24"/>
          <w:szCs w:val="24"/>
          <w:lang w:val="uk-UA"/>
        </w:rPr>
        <w:t xml:space="preserve"> року</w:t>
      </w:r>
      <w:r w:rsidR="00297F09" w:rsidRPr="002D186F">
        <w:rPr>
          <w:sz w:val="24"/>
          <w:szCs w:val="24"/>
          <w:lang w:val="uk-UA"/>
        </w:rPr>
        <w:t xml:space="preserve"> </w:t>
      </w:r>
      <w:r w:rsidR="002A40B8" w:rsidRPr="00E01EE8">
        <w:rPr>
          <w:sz w:val="24"/>
          <w:szCs w:val="24"/>
          <w:lang w:val="uk-UA"/>
        </w:rPr>
        <w:t xml:space="preserve">зменшились </w:t>
      </w:r>
      <w:r w:rsidRPr="00E01EE8">
        <w:rPr>
          <w:sz w:val="24"/>
          <w:szCs w:val="24"/>
          <w:lang w:val="uk-UA"/>
        </w:rPr>
        <w:t xml:space="preserve"> </w:t>
      </w:r>
      <w:r w:rsidR="00AD2318" w:rsidRPr="00E01EE8">
        <w:rPr>
          <w:sz w:val="24"/>
          <w:szCs w:val="24"/>
          <w:lang w:val="uk-UA"/>
        </w:rPr>
        <w:t>на</w:t>
      </w:r>
      <w:r w:rsidR="00732514">
        <w:rPr>
          <w:sz w:val="24"/>
          <w:szCs w:val="24"/>
          <w:lang w:val="uk-UA"/>
        </w:rPr>
        <w:t xml:space="preserve"> 18,2</w:t>
      </w:r>
      <w:r w:rsidR="00A1360C" w:rsidRPr="00E01EE8">
        <w:rPr>
          <w:sz w:val="24"/>
          <w:szCs w:val="24"/>
          <w:lang w:val="uk-UA"/>
        </w:rPr>
        <w:t xml:space="preserve"> </w:t>
      </w:r>
      <w:r w:rsidR="00E04723" w:rsidRPr="00E01EE8">
        <w:rPr>
          <w:sz w:val="24"/>
          <w:szCs w:val="24"/>
          <w:lang w:val="uk-UA"/>
        </w:rPr>
        <w:t>млн</w:t>
      </w:r>
      <w:r w:rsidR="00A1360C" w:rsidRPr="00E01EE8">
        <w:rPr>
          <w:sz w:val="24"/>
          <w:szCs w:val="24"/>
          <w:lang w:val="uk-UA"/>
        </w:rPr>
        <w:t>.</w:t>
      </w:r>
      <w:r w:rsidR="00E04723" w:rsidRPr="00E01EE8">
        <w:rPr>
          <w:sz w:val="24"/>
          <w:szCs w:val="24"/>
          <w:lang w:val="uk-UA"/>
        </w:rPr>
        <w:t xml:space="preserve"> </w:t>
      </w:r>
      <w:r w:rsidR="00A1360C" w:rsidRPr="00E01EE8">
        <w:rPr>
          <w:sz w:val="24"/>
          <w:szCs w:val="24"/>
          <w:lang w:val="uk-UA"/>
        </w:rPr>
        <w:t>грн.</w:t>
      </w:r>
      <w:r w:rsidR="00C16F75" w:rsidRPr="00E01EE8">
        <w:rPr>
          <w:sz w:val="24"/>
          <w:szCs w:val="24"/>
          <w:lang w:val="uk-UA"/>
        </w:rPr>
        <w:t xml:space="preserve"> </w:t>
      </w:r>
      <w:r w:rsidR="005075BB" w:rsidRPr="00E01EE8">
        <w:rPr>
          <w:sz w:val="24"/>
          <w:szCs w:val="24"/>
          <w:lang w:val="uk-UA"/>
        </w:rPr>
        <w:t xml:space="preserve"> та </w:t>
      </w:r>
      <w:r w:rsidR="005075BB" w:rsidRPr="00E01EE8">
        <w:rPr>
          <w:b/>
          <w:sz w:val="24"/>
          <w:szCs w:val="24"/>
          <w:lang w:val="uk-UA"/>
        </w:rPr>
        <w:t>зменшено у порівнянні з</w:t>
      </w:r>
      <w:r w:rsidR="005075BB" w:rsidRPr="00E01EE8">
        <w:rPr>
          <w:sz w:val="24"/>
          <w:szCs w:val="24"/>
          <w:lang w:val="uk-UA"/>
        </w:rPr>
        <w:t xml:space="preserve"> </w:t>
      </w:r>
      <w:r w:rsidR="00206FF3" w:rsidRPr="00E01EE8">
        <w:rPr>
          <w:b/>
          <w:sz w:val="24"/>
          <w:szCs w:val="24"/>
          <w:lang w:val="uk-UA"/>
        </w:rPr>
        <w:t>план</w:t>
      </w:r>
      <w:r w:rsidR="002A40B8" w:rsidRPr="00E01EE8">
        <w:rPr>
          <w:b/>
          <w:sz w:val="24"/>
          <w:szCs w:val="24"/>
          <w:lang w:val="uk-UA"/>
        </w:rPr>
        <w:t xml:space="preserve">ом на </w:t>
      </w:r>
      <w:r w:rsidR="00732514">
        <w:rPr>
          <w:b/>
          <w:sz w:val="24"/>
          <w:szCs w:val="24"/>
          <w:lang w:val="uk-UA"/>
        </w:rPr>
        <w:t>8,5</w:t>
      </w:r>
      <w:r w:rsidR="00E01EE8" w:rsidRPr="00E01EE8">
        <w:rPr>
          <w:b/>
          <w:sz w:val="24"/>
          <w:szCs w:val="24"/>
          <w:lang w:val="uk-UA"/>
        </w:rPr>
        <w:t> </w:t>
      </w:r>
      <w:r w:rsidR="005075BB" w:rsidRPr="00E01EE8">
        <w:rPr>
          <w:b/>
          <w:sz w:val="24"/>
          <w:szCs w:val="24"/>
          <w:lang w:val="uk-UA"/>
        </w:rPr>
        <w:t xml:space="preserve">млн. </w:t>
      </w:r>
      <w:r w:rsidR="00D31CE8" w:rsidRPr="00E01EE8">
        <w:rPr>
          <w:b/>
          <w:sz w:val="24"/>
          <w:szCs w:val="24"/>
          <w:lang w:val="uk-UA"/>
        </w:rPr>
        <w:t>грн</w:t>
      </w:r>
      <w:r w:rsidR="00D31CE8" w:rsidRPr="00E01EE8">
        <w:rPr>
          <w:sz w:val="24"/>
          <w:szCs w:val="24"/>
          <w:lang w:val="uk-UA"/>
        </w:rPr>
        <w:t>. за рахунок</w:t>
      </w:r>
      <w:r w:rsidR="00D31CE8" w:rsidRPr="00E01EE8">
        <w:rPr>
          <w:b/>
          <w:sz w:val="24"/>
          <w:szCs w:val="24"/>
          <w:lang w:val="uk-UA"/>
        </w:rPr>
        <w:t xml:space="preserve"> </w:t>
      </w:r>
      <w:r w:rsidR="00CC24F5" w:rsidRPr="00E01EE8">
        <w:rPr>
          <w:sz w:val="24"/>
          <w:szCs w:val="24"/>
          <w:lang w:val="uk-UA"/>
        </w:rPr>
        <w:t xml:space="preserve"> </w:t>
      </w:r>
      <w:r w:rsidR="00F67FE8" w:rsidRPr="00E01EE8">
        <w:rPr>
          <w:sz w:val="24"/>
          <w:szCs w:val="24"/>
          <w:lang w:val="uk-UA"/>
        </w:rPr>
        <w:t>зменшення витрат на опла</w:t>
      </w:r>
      <w:r w:rsidR="00D52158" w:rsidRPr="00E01EE8">
        <w:rPr>
          <w:sz w:val="24"/>
          <w:szCs w:val="24"/>
          <w:lang w:val="uk-UA"/>
        </w:rPr>
        <w:t xml:space="preserve">ту </w:t>
      </w:r>
      <w:r w:rsidR="00BA6C7F" w:rsidRPr="00E01EE8">
        <w:rPr>
          <w:sz w:val="24"/>
          <w:szCs w:val="24"/>
          <w:lang w:val="uk-UA"/>
        </w:rPr>
        <w:t xml:space="preserve">праці з </w:t>
      </w:r>
      <w:r w:rsidR="00732514">
        <w:rPr>
          <w:sz w:val="24"/>
          <w:szCs w:val="24"/>
          <w:lang w:val="uk-UA"/>
        </w:rPr>
        <w:t>відрахуваннями на 7,9</w:t>
      </w:r>
      <w:r w:rsidR="00F67FE8" w:rsidRPr="00E01EE8">
        <w:rPr>
          <w:sz w:val="24"/>
          <w:szCs w:val="24"/>
          <w:lang w:val="uk-UA"/>
        </w:rPr>
        <w:t xml:space="preserve"> млн. грн.</w:t>
      </w:r>
      <w:r w:rsidR="00860708" w:rsidRPr="00E01EE8">
        <w:rPr>
          <w:sz w:val="24"/>
          <w:szCs w:val="24"/>
          <w:lang w:val="uk-UA"/>
        </w:rPr>
        <w:t>, а також</w:t>
      </w:r>
      <w:r w:rsidR="00F67FE8" w:rsidRPr="00E01EE8">
        <w:rPr>
          <w:sz w:val="24"/>
          <w:szCs w:val="24"/>
          <w:lang w:val="uk-UA"/>
        </w:rPr>
        <w:t xml:space="preserve"> </w:t>
      </w:r>
      <w:r w:rsidR="00206FF3" w:rsidRPr="00E01EE8">
        <w:rPr>
          <w:sz w:val="24"/>
          <w:szCs w:val="24"/>
          <w:lang w:val="uk-UA"/>
        </w:rPr>
        <w:t>економі</w:t>
      </w:r>
      <w:r w:rsidR="00B72718" w:rsidRPr="00E01EE8">
        <w:rPr>
          <w:sz w:val="24"/>
          <w:szCs w:val="24"/>
          <w:lang w:val="uk-UA"/>
        </w:rPr>
        <w:t>ї витрат на аудит</w:t>
      </w:r>
      <w:r w:rsidR="00206FF3" w:rsidRPr="00E01EE8">
        <w:rPr>
          <w:sz w:val="24"/>
          <w:szCs w:val="24"/>
          <w:lang w:val="uk-UA"/>
        </w:rPr>
        <w:t xml:space="preserve"> на </w:t>
      </w:r>
      <w:r w:rsidR="00F67FE8" w:rsidRPr="00E01EE8">
        <w:rPr>
          <w:sz w:val="24"/>
          <w:szCs w:val="24"/>
          <w:lang w:val="uk-UA"/>
        </w:rPr>
        <w:t xml:space="preserve">суму </w:t>
      </w:r>
      <w:r w:rsidR="00732514">
        <w:rPr>
          <w:sz w:val="24"/>
          <w:szCs w:val="24"/>
          <w:lang w:val="uk-UA"/>
        </w:rPr>
        <w:t>1,0</w:t>
      </w:r>
      <w:r w:rsidR="00DA29A1" w:rsidRPr="00E01EE8">
        <w:rPr>
          <w:sz w:val="24"/>
          <w:szCs w:val="24"/>
          <w:lang w:val="uk-UA"/>
        </w:rPr>
        <w:t xml:space="preserve"> млн. грн.</w:t>
      </w:r>
    </w:p>
    <w:p w:rsidR="005E6E9E" w:rsidRPr="002D186F" w:rsidRDefault="00BF0C75" w:rsidP="00163C3D">
      <w:pPr>
        <w:spacing w:before="120"/>
        <w:ind w:firstLine="709"/>
        <w:jc w:val="both"/>
        <w:rPr>
          <w:color w:val="000000"/>
          <w:sz w:val="24"/>
          <w:szCs w:val="24"/>
          <w:lang w:val="uk-UA"/>
        </w:rPr>
      </w:pPr>
      <w:r w:rsidRPr="002D186F">
        <w:rPr>
          <w:b/>
          <w:color w:val="000000"/>
          <w:sz w:val="24"/>
          <w:szCs w:val="24"/>
          <w:lang w:val="uk-UA"/>
        </w:rPr>
        <w:t>І</w:t>
      </w:r>
      <w:r w:rsidR="00AD700F" w:rsidRPr="002D186F">
        <w:rPr>
          <w:b/>
          <w:color w:val="000000"/>
          <w:sz w:val="24"/>
          <w:szCs w:val="24"/>
          <w:lang w:val="uk-UA"/>
        </w:rPr>
        <w:t>н</w:t>
      </w:r>
      <w:r w:rsidR="00676B50" w:rsidRPr="002D186F">
        <w:rPr>
          <w:b/>
          <w:color w:val="000000"/>
          <w:sz w:val="24"/>
          <w:szCs w:val="24"/>
          <w:lang w:val="uk-UA"/>
        </w:rPr>
        <w:t>ші операційні</w:t>
      </w:r>
      <w:r w:rsidR="00AD700F" w:rsidRPr="002D186F">
        <w:rPr>
          <w:b/>
          <w:color w:val="000000"/>
          <w:sz w:val="24"/>
          <w:szCs w:val="24"/>
          <w:lang w:val="uk-UA"/>
        </w:rPr>
        <w:t xml:space="preserve"> витрат</w:t>
      </w:r>
      <w:r w:rsidR="00676B50" w:rsidRPr="002D186F">
        <w:rPr>
          <w:b/>
          <w:color w:val="000000"/>
          <w:sz w:val="24"/>
          <w:szCs w:val="24"/>
          <w:lang w:val="uk-UA"/>
        </w:rPr>
        <w:t>и</w:t>
      </w:r>
      <w:r w:rsidR="009B1AB8" w:rsidRPr="002D186F">
        <w:rPr>
          <w:color w:val="000000"/>
          <w:sz w:val="24"/>
          <w:szCs w:val="24"/>
          <w:lang w:val="uk-UA"/>
        </w:rPr>
        <w:t xml:space="preserve"> </w:t>
      </w:r>
      <w:r w:rsidR="00946CC7">
        <w:rPr>
          <w:color w:val="000000"/>
          <w:sz w:val="24"/>
          <w:szCs w:val="24"/>
          <w:lang w:val="uk-UA"/>
        </w:rPr>
        <w:t>складають 111,1</w:t>
      </w:r>
      <w:r w:rsidR="00DA29A1" w:rsidRPr="002D186F">
        <w:rPr>
          <w:color w:val="000000"/>
          <w:sz w:val="24"/>
          <w:szCs w:val="24"/>
          <w:lang w:val="uk-UA"/>
        </w:rPr>
        <w:t xml:space="preserve"> млн. грн. </w:t>
      </w:r>
      <w:r w:rsidR="00CC24F5" w:rsidRPr="002D186F">
        <w:rPr>
          <w:color w:val="000000"/>
          <w:sz w:val="24"/>
          <w:szCs w:val="24"/>
          <w:lang w:val="uk-UA"/>
        </w:rPr>
        <w:t xml:space="preserve">та </w:t>
      </w:r>
      <w:r w:rsidR="00974D50" w:rsidRPr="002D186F">
        <w:rPr>
          <w:color w:val="000000"/>
          <w:sz w:val="24"/>
          <w:szCs w:val="24"/>
          <w:lang w:val="uk-UA"/>
        </w:rPr>
        <w:t>у порівнянні із відповідним</w:t>
      </w:r>
      <w:r w:rsidR="00521400" w:rsidRPr="002D186F">
        <w:rPr>
          <w:color w:val="000000"/>
          <w:sz w:val="24"/>
          <w:szCs w:val="24"/>
          <w:lang w:val="uk-UA"/>
        </w:rPr>
        <w:t xml:space="preserve"> звітним періодом </w:t>
      </w:r>
      <w:r w:rsidR="000A6507" w:rsidRPr="002D186F">
        <w:rPr>
          <w:color w:val="000000"/>
          <w:sz w:val="24"/>
          <w:szCs w:val="24"/>
          <w:lang w:val="uk-UA"/>
        </w:rPr>
        <w:t xml:space="preserve"> 2017</w:t>
      </w:r>
      <w:r w:rsidR="00A34A80" w:rsidRPr="002D186F">
        <w:rPr>
          <w:color w:val="000000"/>
          <w:sz w:val="24"/>
          <w:szCs w:val="24"/>
          <w:lang w:val="uk-UA"/>
        </w:rPr>
        <w:t xml:space="preserve"> </w:t>
      </w:r>
      <w:r w:rsidR="00974D50" w:rsidRPr="002D186F">
        <w:rPr>
          <w:color w:val="000000"/>
          <w:sz w:val="24"/>
          <w:szCs w:val="24"/>
          <w:lang w:val="uk-UA"/>
        </w:rPr>
        <w:t xml:space="preserve">р. </w:t>
      </w:r>
      <w:r w:rsidR="00CC24F5" w:rsidRPr="002D186F">
        <w:rPr>
          <w:color w:val="000000"/>
          <w:sz w:val="24"/>
          <w:szCs w:val="24"/>
          <w:lang w:val="uk-UA"/>
        </w:rPr>
        <w:t xml:space="preserve">зменшено </w:t>
      </w:r>
      <w:r w:rsidR="00946CC7">
        <w:rPr>
          <w:color w:val="000000"/>
          <w:sz w:val="24"/>
          <w:szCs w:val="24"/>
          <w:lang w:val="uk-UA"/>
        </w:rPr>
        <w:t>на 94,3</w:t>
      </w:r>
      <w:r w:rsidR="00DA29A1" w:rsidRPr="002D186F">
        <w:rPr>
          <w:color w:val="000000"/>
          <w:sz w:val="24"/>
          <w:szCs w:val="24"/>
          <w:lang w:val="uk-UA"/>
        </w:rPr>
        <w:t xml:space="preserve"> млн. грн.</w:t>
      </w:r>
      <w:r w:rsidR="00CC24F5" w:rsidRPr="002D186F">
        <w:rPr>
          <w:color w:val="000000"/>
          <w:sz w:val="24"/>
          <w:szCs w:val="24"/>
          <w:lang w:val="uk-UA"/>
        </w:rPr>
        <w:t>,</w:t>
      </w:r>
      <w:r w:rsidR="00AD700F" w:rsidRPr="002D186F">
        <w:rPr>
          <w:color w:val="000000"/>
          <w:sz w:val="24"/>
          <w:szCs w:val="24"/>
          <w:lang w:val="uk-UA"/>
        </w:rPr>
        <w:t xml:space="preserve"> </w:t>
      </w:r>
      <w:r w:rsidR="00F85976" w:rsidRPr="002D186F">
        <w:rPr>
          <w:color w:val="000000"/>
          <w:sz w:val="24"/>
          <w:szCs w:val="24"/>
          <w:lang w:val="uk-UA"/>
        </w:rPr>
        <w:t>переважно</w:t>
      </w:r>
      <w:r w:rsidR="00AF61DD" w:rsidRPr="002D186F">
        <w:rPr>
          <w:color w:val="000000"/>
          <w:sz w:val="24"/>
          <w:szCs w:val="24"/>
          <w:lang w:val="uk-UA"/>
        </w:rPr>
        <w:t xml:space="preserve"> </w:t>
      </w:r>
      <w:r w:rsidR="00521400" w:rsidRPr="002D186F">
        <w:rPr>
          <w:color w:val="000000"/>
          <w:sz w:val="24"/>
          <w:szCs w:val="24"/>
          <w:lang w:val="uk-UA"/>
        </w:rPr>
        <w:t xml:space="preserve">за рахунок зменшення витрат </w:t>
      </w:r>
      <w:r w:rsidR="00956D39" w:rsidRPr="002D186F">
        <w:rPr>
          <w:color w:val="000000"/>
          <w:sz w:val="24"/>
          <w:szCs w:val="24"/>
          <w:lang w:val="uk-UA"/>
        </w:rPr>
        <w:t>від</w:t>
      </w:r>
      <w:r w:rsidR="00521400" w:rsidRPr="002D186F">
        <w:rPr>
          <w:color w:val="000000"/>
          <w:sz w:val="24"/>
          <w:szCs w:val="24"/>
          <w:lang w:val="uk-UA"/>
        </w:rPr>
        <w:t xml:space="preserve"> </w:t>
      </w:r>
      <w:r w:rsidR="000A6507" w:rsidRPr="002D186F">
        <w:rPr>
          <w:color w:val="000000"/>
          <w:sz w:val="24"/>
          <w:szCs w:val="24"/>
          <w:lang w:val="uk-UA"/>
        </w:rPr>
        <w:t>виплат працівникам</w:t>
      </w:r>
      <w:r w:rsidR="00754D0D" w:rsidRPr="002D186F">
        <w:rPr>
          <w:color w:val="000000"/>
          <w:sz w:val="24"/>
          <w:szCs w:val="24"/>
          <w:lang w:val="uk-UA"/>
        </w:rPr>
        <w:t xml:space="preserve"> з урахуванням ЄСВ </w:t>
      </w:r>
      <w:r w:rsidR="00455FFD" w:rsidRPr="002D186F">
        <w:rPr>
          <w:color w:val="000000"/>
          <w:sz w:val="24"/>
          <w:szCs w:val="24"/>
          <w:lang w:val="uk-UA"/>
        </w:rPr>
        <w:t>та виконанням інших</w:t>
      </w:r>
      <w:r w:rsidR="00754D0D" w:rsidRPr="002D186F">
        <w:rPr>
          <w:color w:val="000000"/>
          <w:sz w:val="24"/>
          <w:szCs w:val="24"/>
          <w:lang w:val="uk-UA"/>
        </w:rPr>
        <w:t xml:space="preserve"> умов Колдоговору та з</w:t>
      </w:r>
      <w:r w:rsidR="000A6507" w:rsidRPr="002D186F">
        <w:rPr>
          <w:color w:val="000000"/>
          <w:sz w:val="24"/>
          <w:szCs w:val="24"/>
          <w:lang w:val="uk-UA"/>
        </w:rPr>
        <w:t xml:space="preserve">аконодавства </w:t>
      </w:r>
      <w:r w:rsidR="00521400" w:rsidRPr="002D186F">
        <w:rPr>
          <w:color w:val="000000"/>
          <w:sz w:val="24"/>
          <w:szCs w:val="24"/>
          <w:lang w:val="uk-UA"/>
        </w:rPr>
        <w:t xml:space="preserve"> </w:t>
      </w:r>
      <w:r w:rsidR="00297F09" w:rsidRPr="002D186F">
        <w:rPr>
          <w:color w:val="000000"/>
          <w:sz w:val="24"/>
          <w:szCs w:val="24"/>
          <w:lang w:val="uk-UA"/>
        </w:rPr>
        <w:t xml:space="preserve">на </w:t>
      </w:r>
      <w:r w:rsidR="00A34346">
        <w:rPr>
          <w:color w:val="000000"/>
          <w:sz w:val="24"/>
          <w:szCs w:val="24"/>
          <w:lang w:val="uk-UA"/>
        </w:rPr>
        <w:t>79,6</w:t>
      </w:r>
      <w:r w:rsidR="00521400" w:rsidRPr="002D186F">
        <w:rPr>
          <w:color w:val="000000"/>
          <w:sz w:val="24"/>
          <w:szCs w:val="24"/>
          <w:lang w:val="uk-UA"/>
        </w:rPr>
        <w:t xml:space="preserve"> млн. грн.</w:t>
      </w:r>
      <w:r w:rsidR="00946CC7">
        <w:rPr>
          <w:color w:val="000000"/>
          <w:sz w:val="24"/>
          <w:szCs w:val="24"/>
          <w:lang w:val="uk-UA"/>
        </w:rPr>
        <w:t>, зменшення відрахувань до резерву сумнівних боргів на  10,4 млн. грн, зменшення витрат на утримання ОЗ у оренді на  10,4 млн.</w:t>
      </w:r>
      <w:r w:rsidR="00A34346">
        <w:rPr>
          <w:color w:val="000000"/>
          <w:sz w:val="24"/>
          <w:szCs w:val="24"/>
          <w:lang w:val="uk-UA"/>
        </w:rPr>
        <w:t xml:space="preserve"> </w:t>
      </w:r>
      <w:r w:rsidR="00946CC7">
        <w:rPr>
          <w:color w:val="000000"/>
          <w:sz w:val="24"/>
          <w:szCs w:val="24"/>
          <w:lang w:val="uk-UA"/>
        </w:rPr>
        <w:t>грн.</w:t>
      </w:r>
      <w:r w:rsidR="00A34346">
        <w:rPr>
          <w:color w:val="000000"/>
          <w:sz w:val="24"/>
          <w:szCs w:val="24"/>
          <w:lang w:val="uk-UA"/>
        </w:rPr>
        <w:t>, зменшення відрахувань профспілки на 9,8 млн. грн. при збільшенні витрат по операційної курсової різниці на 13,8</w:t>
      </w:r>
      <w:r w:rsidR="00907C2B">
        <w:rPr>
          <w:color w:val="000000"/>
          <w:sz w:val="24"/>
          <w:szCs w:val="24"/>
          <w:lang w:val="uk-UA"/>
        </w:rPr>
        <w:t xml:space="preserve">       </w:t>
      </w:r>
      <w:r w:rsidR="00A34346">
        <w:rPr>
          <w:color w:val="000000"/>
          <w:sz w:val="24"/>
          <w:szCs w:val="24"/>
          <w:lang w:val="uk-UA"/>
        </w:rPr>
        <w:t xml:space="preserve"> млн.</w:t>
      </w:r>
      <w:r w:rsidR="00907C2B">
        <w:rPr>
          <w:color w:val="000000"/>
          <w:sz w:val="24"/>
          <w:szCs w:val="24"/>
          <w:lang w:val="uk-UA"/>
        </w:rPr>
        <w:t xml:space="preserve"> </w:t>
      </w:r>
      <w:r w:rsidR="00A34346">
        <w:rPr>
          <w:color w:val="000000"/>
          <w:sz w:val="24"/>
          <w:szCs w:val="24"/>
          <w:lang w:val="uk-UA"/>
        </w:rPr>
        <w:t>грн.</w:t>
      </w:r>
    </w:p>
    <w:p w:rsidR="00EF0AEB" w:rsidRPr="002D186F" w:rsidRDefault="00EF0AEB">
      <w:pPr>
        <w:pStyle w:val="30"/>
        <w:ind w:left="0" w:firstLine="567"/>
        <w:jc w:val="right"/>
        <w:rPr>
          <w:sz w:val="24"/>
          <w:szCs w:val="24"/>
        </w:rPr>
      </w:pPr>
      <w:r w:rsidRPr="002D186F">
        <w:rPr>
          <w:i/>
          <w:sz w:val="24"/>
          <w:szCs w:val="24"/>
        </w:rPr>
        <w:t>Таблиця 5, тис. грн.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1134"/>
        <w:gridCol w:w="851"/>
        <w:gridCol w:w="850"/>
        <w:gridCol w:w="851"/>
        <w:gridCol w:w="963"/>
      </w:tblGrid>
      <w:tr w:rsidR="00C22205" w:rsidRPr="002D186F" w:rsidTr="00163C3D">
        <w:trPr>
          <w:trHeight w:val="476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jc w:val="center"/>
              <w:rPr>
                <w:b/>
                <w:bCs/>
                <w:lang w:val="uk-UA"/>
              </w:rPr>
            </w:pPr>
            <w:r w:rsidRPr="002D186F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 xml:space="preserve">Звіт </w:t>
            </w:r>
            <w:r w:rsidRPr="002D186F">
              <w:rPr>
                <w:b/>
                <w:bCs/>
                <w:sz w:val="18"/>
                <w:lang w:val="uk-UA"/>
              </w:rPr>
              <w:br/>
              <w:t>2017 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 xml:space="preserve">План   </w:t>
            </w:r>
            <w:r w:rsidRPr="002D186F">
              <w:rPr>
                <w:b/>
                <w:bCs/>
                <w:sz w:val="18"/>
                <w:lang w:val="uk-UA"/>
              </w:rPr>
              <w:br/>
              <w:t>2018 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Звіт </w:t>
            </w:r>
            <w:r w:rsidRPr="002D186F">
              <w:rPr>
                <w:b/>
                <w:bCs/>
                <w:sz w:val="18"/>
                <w:lang w:val="uk-UA"/>
              </w:rPr>
              <w:br/>
              <w:t>2018 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>Відхилення звіту</w:t>
            </w:r>
          </w:p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>2018 р. до: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 xml:space="preserve">Відносно звіту </w:t>
            </w:r>
          </w:p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>2018 р. до:</w:t>
            </w:r>
          </w:p>
        </w:tc>
      </w:tr>
      <w:tr w:rsidR="00C22205" w:rsidRPr="002D186F" w:rsidTr="00163C3D">
        <w:trPr>
          <w:trHeight w:val="554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 xml:space="preserve">Звіт </w:t>
            </w:r>
            <w:r w:rsidRPr="002D186F">
              <w:rPr>
                <w:b/>
                <w:bCs/>
                <w:sz w:val="16"/>
                <w:lang w:val="uk-UA"/>
              </w:rPr>
              <w:br/>
            </w:r>
            <w:r>
              <w:rPr>
                <w:b/>
                <w:bCs/>
                <w:sz w:val="16"/>
                <w:lang w:val="uk-UA"/>
              </w:rPr>
              <w:t xml:space="preserve">   </w:t>
            </w:r>
            <w:r w:rsidRPr="002D186F">
              <w:rPr>
                <w:b/>
                <w:bCs/>
                <w:sz w:val="16"/>
                <w:lang w:val="uk-UA"/>
              </w:rPr>
              <w:t>2017 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 xml:space="preserve">План </w:t>
            </w:r>
          </w:p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>2018 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93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 xml:space="preserve">       </w:t>
            </w:r>
            <w:r w:rsidRPr="002D186F">
              <w:rPr>
                <w:b/>
                <w:bCs/>
                <w:sz w:val="16"/>
                <w:lang w:val="uk-UA"/>
              </w:rPr>
              <w:t xml:space="preserve">Звіт </w:t>
            </w:r>
            <w:r w:rsidRPr="002D186F">
              <w:rPr>
                <w:b/>
                <w:bCs/>
                <w:sz w:val="16"/>
                <w:lang w:val="uk-UA"/>
              </w:rPr>
              <w:br/>
            </w:r>
            <w:r>
              <w:rPr>
                <w:b/>
                <w:bCs/>
                <w:sz w:val="16"/>
                <w:lang w:val="uk-UA"/>
              </w:rPr>
              <w:t xml:space="preserve">      </w:t>
            </w:r>
            <w:r w:rsidRPr="002D186F">
              <w:rPr>
                <w:b/>
                <w:bCs/>
                <w:sz w:val="16"/>
                <w:lang w:val="uk-UA"/>
              </w:rPr>
              <w:t>2017 р.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 xml:space="preserve">План </w:t>
            </w:r>
          </w:p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 xml:space="preserve"> 2018 р.</w:t>
            </w:r>
          </w:p>
        </w:tc>
      </w:tr>
      <w:tr w:rsidR="00732514" w:rsidRPr="002D186F" w:rsidTr="00163C3D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14" w:rsidRDefault="00732514" w:rsidP="00732514">
            <w:pPr>
              <w:rPr>
                <w:b/>
                <w:bCs/>
              </w:rPr>
            </w:pPr>
            <w:r>
              <w:rPr>
                <w:b/>
                <w:bCs/>
              </w:rPr>
              <w:t>Інші операційні витрати  - усього, у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100 432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-94 342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10 674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</w:tr>
      <w:tr w:rsidR="00732514" w:rsidRPr="002D186F" w:rsidTr="00163C3D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14" w:rsidRDefault="00732514" w:rsidP="00732514">
            <w:pPr>
              <w:rPr>
                <w:b/>
                <w:bCs/>
              </w:rPr>
            </w:pPr>
            <w:r>
              <w:rPr>
                <w:b/>
                <w:bCs/>
              </w:rPr>
              <w:t>Витрати від реалізації іноземної валюти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32514" w:rsidRPr="002D186F" w:rsidTr="00163C3D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14" w:rsidRDefault="00732514" w:rsidP="00732514">
            <w:pPr>
              <w:rPr>
                <w:b/>
                <w:bCs/>
              </w:rPr>
            </w:pPr>
            <w:r>
              <w:rPr>
                <w:b/>
                <w:bCs/>
              </w:rPr>
              <w:t>Інші операційні витрати (без реалізації валюти) - усього, у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-94 215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732514" w:rsidRPr="002D186F" w:rsidTr="00163C3D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14" w:rsidRDefault="00732514" w:rsidP="00732514">
            <w:r>
              <w:t xml:space="preserve"> - собівартість реалізованих виробничих запасів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-189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1 244</w:t>
            </w:r>
          </w:p>
        </w:tc>
      </w:tr>
      <w:tr w:rsidR="00732514" w:rsidRPr="002D186F" w:rsidTr="00163C3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14" w:rsidRDefault="00732514" w:rsidP="00732514">
            <w:r>
              <w:t xml:space="preserve"> - відрахування до резерву сумнівних боргів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10 813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-10 356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 </w:t>
            </w:r>
          </w:p>
        </w:tc>
      </w:tr>
      <w:tr w:rsidR="00732514" w:rsidRPr="002D186F" w:rsidTr="00163C3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14" w:rsidRDefault="00732514" w:rsidP="00732514">
            <w:r>
              <w:t xml:space="preserve"> - витрати від операційних курсових різниць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10 007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23 785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13 778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15 785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238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297</w:t>
            </w:r>
          </w:p>
        </w:tc>
      </w:tr>
      <w:tr w:rsidR="00732514" w:rsidRPr="002D186F" w:rsidTr="00163C3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14" w:rsidRDefault="00732514" w:rsidP="00732514">
            <w:r>
              <w:t xml:space="preserve"> - витрати на утримання, експлуатацію та забезпечення основної діяльності об'єктів соціальної інфраструктури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4 988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4 528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6 406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1 418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1 878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141</w:t>
            </w:r>
          </w:p>
        </w:tc>
      </w:tr>
      <w:tr w:rsidR="00732514" w:rsidRPr="002D186F" w:rsidTr="00163C3D">
        <w:trPr>
          <w:trHeight w:val="4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14" w:rsidRDefault="00732514" w:rsidP="00732514">
            <w:r>
              <w:t xml:space="preserve">  - витрати на утримання ОЗ у оренді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39 813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45 082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29 432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-10 381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-15 650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65</w:t>
            </w:r>
          </w:p>
        </w:tc>
      </w:tr>
      <w:tr w:rsidR="00732514" w:rsidRPr="002D186F" w:rsidTr="00163C3D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14" w:rsidRDefault="00732514" w:rsidP="00732514">
            <w:r>
              <w:lastRenderedPageBreak/>
              <w:t xml:space="preserve">  - виплати працівникам згідно умов Колдоговору та Законодавства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94 202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23 965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25 711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-68 491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1 746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107</w:t>
            </w:r>
          </w:p>
        </w:tc>
      </w:tr>
      <w:tr w:rsidR="00732514" w:rsidRPr="002D186F" w:rsidTr="00163C3D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14" w:rsidRDefault="00732514" w:rsidP="00732514">
            <w:r>
              <w:t xml:space="preserve">  - нарахування на виплати працівникам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15 136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4 671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3 894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-11 242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-777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83</w:t>
            </w:r>
          </w:p>
        </w:tc>
      </w:tr>
      <w:tr w:rsidR="00732514" w:rsidRPr="002D186F" w:rsidTr="00163C3D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14" w:rsidRDefault="00732514" w:rsidP="00732514">
            <w:r>
              <w:t xml:space="preserve">  - витрати по утриманню ВВК "Чабанка"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1 037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1 691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144</w:t>
            </w:r>
          </w:p>
        </w:tc>
      </w:tr>
      <w:tr w:rsidR="00732514" w:rsidRPr="002D186F" w:rsidTr="00163C3D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14" w:rsidRDefault="00732514" w:rsidP="00732514">
            <w:r>
              <w:t xml:space="preserve">  - утримання профспілки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148</w:t>
            </w:r>
          </w:p>
        </w:tc>
      </w:tr>
      <w:tr w:rsidR="00732514" w:rsidRPr="002D186F" w:rsidTr="00163C3D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14" w:rsidRDefault="00732514" w:rsidP="00732514">
            <w:r>
              <w:t xml:space="preserve">  - утримання аквапарку "Посейдон"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944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-39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107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96</w:t>
            </w:r>
          </w:p>
        </w:tc>
      </w:tr>
      <w:tr w:rsidR="00732514" w:rsidRPr="002D186F" w:rsidTr="00163C3D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14" w:rsidRDefault="00732514" w:rsidP="00732514">
            <w:r>
              <w:t xml:space="preserve">  - утримання готелю "Одеса"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1 275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1 277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1 543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121</w:t>
            </w:r>
          </w:p>
        </w:tc>
      </w:tr>
      <w:tr w:rsidR="00732514" w:rsidRPr="002D186F" w:rsidTr="00163C3D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14" w:rsidRDefault="00732514" w:rsidP="00732514">
            <w:r>
              <w:t xml:space="preserve"> -витрати пов'язані з передачею майна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 </w:t>
            </w:r>
          </w:p>
        </w:tc>
      </w:tr>
      <w:tr w:rsidR="00732514" w:rsidRPr="002D186F" w:rsidTr="00163C3D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14" w:rsidRDefault="00732514" w:rsidP="00732514">
            <w:r>
              <w:t xml:space="preserve">  - відрахування профспілці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23 947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14 134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-9 813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4 134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141</w:t>
            </w:r>
          </w:p>
        </w:tc>
      </w:tr>
      <w:tr w:rsidR="00732514" w:rsidRPr="002D186F" w:rsidTr="00163C3D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14" w:rsidRDefault="00732514" w:rsidP="00732514">
            <w:r>
              <w:t xml:space="preserve">  - інші витрати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1 697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1 495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-202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1 108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14" w:rsidRDefault="00732514" w:rsidP="00732514">
            <w:pPr>
              <w:jc w:val="right"/>
            </w:pPr>
            <w:r>
              <w:t>386</w:t>
            </w:r>
          </w:p>
        </w:tc>
      </w:tr>
    </w:tbl>
    <w:p w:rsidR="00031BAD" w:rsidRPr="002D186F" w:rsidRDefault="00031BAD" w:rsidP="00163C3D">
      <w:pPr>
        <w:spacing w:before="120"/>
        <w:ind w:firstLine="709"/>
        <w:jc w:val="both"/>
        <w:rPr>
          <w:color w:val="000000"/>
          <w:sz w:val="24"/>
          <w:szCs w:val="24"/>
          <w:lang w:val="uk-UA"/>
        </w:rPr>
      </w:pPr>
      <w:r w:rsidRPr="002D186F">
        <w:rPr>
          <w:b/>
          <w:color w:val="000000"/>
          <w:sz w:val="24"/>
          <w:szCs w:val="24"/>
          <w:lang w:val="uk-UA"/>
        </w:rPr>
        <w:t xml:space="preserve">У </w:t>
      </w:r>
      <w:r w:rsidRPr="00163C3D">
        <w:rPr>
          <w:b/>
          <w:sz w:val="24"/>
          <w:szCs w:val="24"/>
          <w:lang w:val="uk-UA"/>
        </w:rPr>
        <w:t>порівнянні</w:t>
      </w:r>
      <w:r w:rsidRPr="002D186F">
        <w:rPr>
          <w:b/>
          <w:color w:val="000000"/>
          <w:sz w:val="24"/>
          <w:szCs w:val="24"/>
          <w:lang w:val="uk-UA"/>
        </w:rPr>
        <w:t xml:space="preserve"> з планом</w:t>
      </w:r>
      <w:r w:rsidR="00DA29A1" w:rsidRPr="002D186F">
        <w:rPr>
          <w:color w:val="000000"/>
          <w:sz w:val="24"/>
          <w:szCs w:val="24"/>
          <w:lang w:val="uk-UA"/>
        </w:rPr>
        <w:t xml:space="preserve"> </w:t>
      </w:r>
      <w:r w:rsidR="00521400" w:rsidRPr="002D186F">
        <w:rPr>
          <w:color w:val="000000"/>
          <w:sz w:val="24"/>
          <w:szCs w:val="24"/>
          <w:lang w:val="uk-UA"/>
        </w:rPr>
        <w:t xml:space="preserve">інші </w:t>
      </w:r>
      <w:r w:rsidR="00EA30ED" w:rsidRPr="002D186F">
        <w:rPr>
          <w:color w:val="000000"/>
          <w:sz w:val="24"/>
          <w:szCs w:val="24"/>
          <w:lang w:val="uk-UA"/>
        </w:rPr>
        <w:t>операційні витрати за</w:t>
      </w:r>
      <w:r w:rsidR="00A34346">
        <w:rPr>
          <w:color w:val="000000"/>
          <w:sz w:val="24"/>
          <w:szCs w:val="24"/>
          <w:lang w:val="uk-UA"/>
        </w:rPr>
        <w:t xml:space="preserve"> </w:t>
      </w:r>
      <w:r w:rsidR="000A6507" w:rsidRPr="002D186F">
        <w:rPr>
          <w:color w:val="000000"/>
          <w:sz w:val="24"/>
          <w:szCs w:val="24"/>
          <w:lang w:val="uk-UA"/>
        </w:rPr>
        <w:t>2018</w:t>
      </w:r>
      <w:r w:rsidR="00CC24F5" w:rsidRPr="002D186F">
        <w:rPr>
          <w:color w:val="000000"/>
          <w:sz w:val="24"/>
          <w:szCs w:val="24"/>
          <w:lang w:val="uk-UA"/>
        </w:rPr>
        <w:t xml:space="preserve"> </w:t>
      </w:r>
      <w:r w:rsidR="00521400" w:rsidRPr="002D186F">
        <w:rPr>
          <w:color w:val="000000"/>
          <w:sz w:val="24"/>
          <w:szCs w:val="24"/>
          <w:lang w:val="uk-UA"/>
        </w:rPr>
        <w:t>р</w:t>
      </w:r>
      <w:r w:rsidR="00A34346">
        <w:rPr>
          <w:color w:val="000000"/>
          <w:sz w:val="24"/>
          <w:szCs w:val="24"/>
          <w:lang w:val="uk-UA"/>
        </w:rPr>
        <w:t>ік</w:t>
      </w:r>
      <w:r w:rsidR="00EA30ED" w:rsidRPr="002D186F">
        <w:rPr>
          <w:color w:val="000000"/>
          <w:sz w:val="24"/>
          <w:szCs w:val="24"/>
          <w:lang w:val="uk-UA"/>
        </w:rPr>
        <w:t xml:space="preserve"> збіл</w:t>
      </w:r>
      <w:r w:rsidR="00A34346">
        <w:rPr>
          <w:color w:val="000000"/>
          <w:sz w:val="24"/>
          <w:szCs w:val="24"/>
          <w:lang w:val="uk-UA"/>
        </w:rPr>
        <w:t>ьшено на 10,7</w:t>
      </w:r>
      <w:r w:rsidR="00956D39" w:rsidRPr="002D186F">
        <w:rPr>
          <w:color w:val="000000"/>
          <w:sz w:val="24"/>
          <w:szCs w:val="24"/>
          <w:lang w:val="uk-UA"/>
        </w:rPr>
        <w:t> </w:t>
      </w:r>
      <w:r w:rsidRPr="002D186F">
        <w:rPr>
          <w:color w:val="000000"/>
          <w:sz w:val="24"/>
          <w:szCs w:val="24"/>
          <w:lang w:val="uk-UA"/>
        </w:rPr>
        <w:t>млн. грн.</w:t>
      </w:r>
      <w:r w:rsidR="00CC24F5" w:rsidRPr="002D186F">
        <w:rPr>
          <w:color w:val="000000"/>
          <w:sz w:val="24"/>
          <w:szCs w:val="24"/>
          <w:lang w:val="uk-UA"/>
        </w:rPr>
        <w:t>, в першу чергу,</w:t>
      </w:r>
      <w:r w:rsidRPr="002D186F">
        <w:rPr>
          <w:color w:val="000000"/>
          <w:sz w:val="24"/>
          <w:szCs w:val="24"/>
          <w:lang w:val="uk-UA"/>
        </w:rPr>
        <w:t xml:space="preserve"> за рахунок з</w:t>
      </w:r>
      <w:r w:rsidR="00DA29A1" w:rsidRPr="002D186F">
        <w:rPr>
          <w:color w:val="000000"/>
          <w:sz w:val="24"/>
          <w:szCs w:val="24"/>
          <w:lang w:val="uk-UA"/>
        </w:rPr>
        <w:t xml:space="preserve">більшення </w:t>
      </w:r>
      <w:r w:rsidR="000A6507" w:rsidRPr="002D186F">
        <w:rPr>
          <w:color w:val="000000"/>
          <w:sz w:val="24"/>
          <w:szCs w:val="24"/>
          <w:lang w:val="uk-UA"/>
        </w:rPr>
        <w:t>витрат по опе</w:t>
      </w:r>
      <w:r w:rsidR="00A34346">
        <w:rPr>
          <w:color w:val="000000"/>
          <w:sz w:val="24"/>
          <w:szCs w:val="24"/>
          <w:lang w:val="uk-UA"/>
        </w:rPr>
        <w:t>раційної курсової різниці на 15,8</w:t>
      </w:r>
      <w:r w:rsidR="000A6507" w:rsidRPr="002D186F">
        <w:rPr>
          <w:color w:val="000000"/>
          <w:sz w:val="24"/>
          <w:szCs w:val="24"/>
          <w:lang w:val="uk-UA"/>
        </w:rPr>
        <w:t xml:space="preserve"> млн.</w:t>
      </w:r>
      <w:r w:rsidR="00BD1870" w:rsidRPr="002D186F">
        <w:rPr>
          <w:color w:val="000000"/>
          <w:sz w:val="24"/>
          <w:szCs w:val="24"/>
          <w:lang w:val="uk-UA"/>
        </w:rPr>
        <w:t xml:space="preserve"> </w:t>
      </w:r>
      <w:r w:rsidR="000A6507" w:rsidRPr="002D186F">
        <w:rPr>
          <w:color w:val="000000"/>
          <w:sz w:val="24"/>
          <w:szCs w:val="24"/>
          <w:lang w:val="uk-UA"/>
        </w:rPr>
        <w:t>грн.</w:t>
      </w:r>
      <w:r w:rsidR="00A34346">
        <w:rPr>
          <w:color w:val="000000"/>
          <w:sz w:val="24"/>
          <w:szCs w:val="24"/>
          <w:lang w:val="uk-UA"/>
        </w:rPr>
        <w:t>, перерахувань профспілці на 4,1 млн. грн.,</w:t>
      </w:r>
      <w:r w:rsidR="00A34A80" w:rsidRPr="002D186F">
        <w:rPr>
          <w:color w:val="000000"/>
          <w:sz w:val="24"/>
          <w:szCs w:val="24"/>
          <w:lang w:val="uk-UA"/>
        </w:rPr>
        <w:t xml:space="preserve"> виплат працівникам відпо</w:t>
      </w:r>
      <w:r w:rsidR="00A34346">
        <w:rPr>
          <w:color w:val="000000"/>
          <w:sz w:val="24"/>
          <w:szCs w:val="24"/>
          <w:lang w:val="uk-UA"/>
        </w:rPr>
        <w:t>відно до умов Колдоговору на 1,0</w:t>
      </w:r>
      <w:r w:rsidR="00A34A80" w:rsidRPr="002D186F">
        <w:rPr>
          <w:color w:val="000000"/>
          <w:sz w:val="24"/>
          <w:szCs w:val="24"/>
          <w:lang w:val="uk-UA"/>
        </w:rPr>
        <w:t xml:space="preserve"> млн. грн. та зменшен</w:t>
      </w:r>
      <w:r w:rsidR="00A34346">
        <w:rPr>
          <w:color w:val="000000"/>
          <w:sz w:val="24"/>
          <w:szCs w:val="24"/>
          <w:lang w:val="uk-UA"/>
        </w:rPr>
        <w:t>о на 15,7</w:t>
      </w:r>
      <w:r w:rsidR="00A34A80" w:rsidRPr="002D186F">
        <w:rPr>
          <w:color w:val="000000"/>
          <w:sz w:val="24"/>
          <w:szCs w:val="24"/>
          <w:lang w:val="uk-UA"/>
        </w:rPr>
        <w:t xml:space="preserve"> млн.</w:t>
      </w:r>
      <w:r w:rsidR="00276EC0" w:rsidRPr="002D186F">
        <w:rPr>
          <w:color w:val="000000"/>
          <w:sz w:val="24"/>
          <w:szCs w:val="24"/>
          <w:lang w:val="uk-UA"/>
        </w:rPr>
        <w:t xml:space="preserve"> </w:t>
      </w:r>
      <w:r w:rsidR="00A34A80" w:rsidRPr="002D186F">
        <w:rPr>
          <w:color w:val="000000"/>
          <w:sz w:val="24"/>
          <w:szCs w:val="24"/>
          <w:lang w:val="uk-UA"/>
        </w:rPr>
        <w:t>грн.</w:t>
      </w:r>
      <w:r w:rsidR="00276EC0" w:rsidRPr="002D186F">
        <w:rPr>
          <w:color w:val="000000"/>
          <w:sz w:val="24"/>
          <w:szCs w:val="24"/>
          <w:lang w:val="uk-UA"/>
        </w:rPr>
        <w:t xml:space="preserve"> за рахунок зменшення витрат по утриманню ОЗ у оренді (зменшення амортизаційних відрахувань).</w:t>
      </w:r>
    </w:p>
    <w:p w:rsidR="00E024CB" w:rsidRPr="002D186F" w:rsidRDefault="00E024CB" w:rsidP="00163C3D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2D186F">
        <w:rPr>
          <w:b/>
          <w:sz w:val="24"/>
          <w:szCs w:val="24"/>
          <w:lang w:val="uk-UA"/>
        </w:rPr>
        <w:t xml:space="preserve">Витрати </w:t>
      </w:r>
      <w:r w:rsidRPr="00163C3D">
        <w:rPr>
          <w:b/>
          <w:iCs/>
          <w:sz w:val="24"/>
          <w:szCs w:val="24"/>
          <w:lang w:val="uk-UA"/>
        </w:rPr>
        <w:t>за</w:t>
      </w:r>
      <w:r w:rsidRPr="002D186F">
        <w:rPr>
          <w:b/>
          <w:sz w:val="24"/>
          <w:szCs w:val="24"/>
          <w:lang w:val="uk-UA"/>
        </w:rPr>
        <w:t xml:space="preserve"> збут</w:t>
      </w:r>
      <w:r w:rsidR="00325F58" w:rsidRPr="002D186F">
        <w:rPr>
          <w:sz w:val="24"/>
          <w:szCs w:val="24"/>
          <w:lang w:val="uk-UA"/>
        </w:rPr>
        <w:t xml:space="preserve"> </w:t>
      </w:r>
      <w:r w:rsidR="00A34346">
        <w:rPr>
          <w:sz w:val="24"/>
          <w:szCs w:val="24"/>
          <w:lang w:val="uk-UA"/>
        </w:rPr>
        <w:t>складають 1,9</w:t>
      </w:r>
      <w:r w:rsidRPr="002D186F">
        <w:rPr>
          <w:sz w:val="24"/>
          <w:szCs w:val="24"/>
          <w:lang w:val="uk-UA"/>
        </w:rPr>
        <w:t xml:space="preserve"> млн. грн.</w:t>
      </w:r>
      <w:r w:rsidR="00CC24F5" w:rsidRPr="002D186F">
        <w:rPr>
          <w:sz w:val="24"/>
          <w:szCs w:val="24"/>
          <w:lang w:val="uk-UA"/>
        </w:rPr>
        <w:t xml:space="preserve"> </w:t>
      </w:r>
      <w:r w:rsidR="00325F58" w:rsidRPr="002D186F">
        <w:rPr>
          <w:sz w:val="24"/>
          <w:szCs w:val="24"/>
          <w:lang w:val="uk-UA"/>
        </w:rPr>
        <w:t>та</w:t>
      </w:r>
      <w:r w:rsidR="002A40B8" w:rsidRPr="002D186F">
        <w:rPr>
          <w:sz w:val="24"/>
          <w:szCs w:val="24"/>
          <w:lang w:val="uk-UA"/>
        </w:rPr>
        <w:t xml:space="preserve"> збільшено </w:t>
      </w:r>
      <w:r w:rsidR="00A34346">
        <w:rPr>
          <w:sz w:val="24"/>
          <w:szCs w:val="24"/>
          <w:lang w:val="uk-UA"/>
        </w:rPr>
        <w:t>на 0,7</w:t>
      </w:r>
      <w:r w:rsidR="007A5536" w:rsidRPr="002D186F">
        <w:rPr>
          <w:sz w:val="24"/>
          <w:szCs w:val="24"/>
          <w:lang w:val="uk-UA"/>
        </w:rPr>
        <w:t xml:space="preserve"> млн. грн.</w:t>
      </w:r>
    </w:p>
    <w:p w:rsidR="00A34346" w:rsidRPr="00413C1B" w:rsidRDefault="00455FFD" w:rsidP="00163C3D">
      <w:pPr>
        <w:spacing w:before="120"/>
        <w:ind w:firstLine="709"/>
        <w:jc w:val="both"/>
        <w:rPr>
          <w:iCs/>
          <w:sz w:val="24"/>
          <w:szCs w:val="24"/>
          <w:lang w:val="uk-UA"/>
        </w:rPr>
      </w:pPr>
      <w:r w:rsidRPr="002D186F">
        <w:rPr>
          <w:b/>
          <w:iCs/>
          <w:sz w:val="24"/>
          <w:szCs w:val="24"/>
          <w:lang w:val="uk-UA"/>
        </w:rPr>
        <w:t xml:space="preserve">Інші </w:t>
      </w:r>
      <w:r w:rsidRPr="00C33E06">
        <w:rPr>
          <w:b/>
          <w:iCs/>
          <w:sz w:val="24"/>
          <w:szCs w:val="24"/>
          <w:lang w:val="uk-UA"/>
        </w:rPr>
        <w:t xml:space="preserve">витрати </w:t>
      </w:r>
      <w:r w:rsidR="00A34346">
        <w:rPr>
          <w:iCs/>
          <w:sz w:val="24"/>
          <w:szCs w:val="24"/>
          <w:lang w:val="uk-UA"/>
        </w:rPr>
        <w:t>складають 454,0</w:t>
      </w:r>
      <w:r w:rsidR="00700DC3" w:rsidRPr="00C33E06">
        <w:rPr>
          <w:iCs/>
          <w:sz w:val="24"/>
          <w:szCs w:val="24"/>
          <w:lang w:val="uk-UA"/>
        </w:rPr>
        <w:t xml:space="preserve"> тис. грн</w:t>
      </w:r>
      <w:r w:rsidR="009F7CAC">
        <w:rPr>
          <w:iCs/>
          <w:sz w:val="24"/>
          <w:szCs w:val="24"/>
          <w:lang w:val="uk-UA"/>
        </w:rPr>
        <w:t xml:space="preserve">. та зменшено у порівнянні із планом на                 10,2 млн. грн. </w:t>
      </w:r>
      <w:r w:rsidR="00413C1B">
        <w:rPr>
          <w:iCs/>
          <w:sz w:val="24"/>
          <w:szCs w:val="24"/>
          <w:lang w:val="uk-UA"/>
        </w:rPr>
        <w:t>у зв</w:t>
      </w:r>
      <w:r w:rsidR="00413C1B" w:rsidRPr="00413C1B">
        <w:rPr>
          <w:iCs/>
          <w:sz w:val="24"/>
          <w:szCs w:val="24"/>
        </w:rPr>
        <w:t>’</w:t>
      </w:r>
      <w:r w:rsidR="00F92452">
        <w:rPr>
          <w:iCs/>
          <w:sz w:val="24"/>
          <w:szCs w:val="24"/>
          <w:lang w:val="uk-UA"/>
        </w:rPr>
        <w:t xml:space="preserve">язку з неотриманням дозволу Міністерства Інфраструктури на списання ОЗ </w:t>
      </w:r>
      <w:r w:rsidR="00413C1B">
        <w:rPr>
          <w:iCs/>
          <w:sz w:val="24"/>
          <w:szCs w:val="24"/>
          <w:lang w:val="uk-UA"/>
        </w:rPr>
        <w:t>у запланованому обсязі.</w:t>
      </w:r>
    </w:p>
    <w:p w:rsidR="00D52158" w:rsidRPr="002D186F" w:rsidRDefault="00D52158" w:rsidP="00163C3D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163C3D">
        <w:rPr>
          <w:b/>
          <w:iCs/>
          <w:sz w:val="24"/>
          <w:szCs w:val="24"/>
          <w:lang w:val="uk-UA"/>
        </w:rPr>
        <w:t>Чистий</w:t>
      </w:r>
      <w:r w:rsidRPr="002D186F">
        <w:rPr>
          <w:b/>
          <w:sz w:val="24"/>
          <w:szCs w:val="24"/>
          <w:lang w:val="uk-UA"/>
        </w:rPr>
        <w:t xml:space="preserve"> прибуток</w:t>
      </w:r>
      <w:r w:rsidRPr="002D186F">
        <w:rPr>
          <w:b/>
          <w:i/>
          <w:sz w:val="24"/>
          <w:szCs w:val="24"/>
          <w:lang w:val="uk-UA"/>
        </w:rPr>
        <w:t xml:space="preserve"> </w:t>
      </w:r>
      <w:r w:rsidRPr="002D186F">
        <w:rPr>
          <w:sz w:val="24"/>
          <w:szCs w:val="24"/>
          <w:lang w:val="uk-UA"/>
        </w:rPr>
        <w:t xml:space="preserve">за звітний період становить </w:t>
      </w:r>
      <w:r w:rsidR="00F92452">
        <w:rPr>
          <w:b/>
          <w:sz w:val="24"/>
          <w:szCs w:val="24"/>
          <w:lang w:val="uk-UA"/>
        </w:rPr>
        <w:t>19,2</w:t>
      </w:r>
      <w:r w:rsidRPr="002D186F">
        <w:rPr>
          <w:b/>
          <w:sz w:val="24"/>
          <w:szCs w:val="24"/>
          <w:lang w:val="uk-UA"/>
        </w:rPr>
        <w:t xml:space="preserve"> млн. грн</w:t>
      </w:r>
      <w:r w:rsidRPr="002D186F">
        <w:rPr>
          <w:sz w:val="24"/>
          <w:szCs w:val="24"/>
          <w:lang w:val="uk-UA"/>
        </w:rPr>
        <w:t>.,</w:t>
      </w:r>
      <w:r w:rsidRPr="002D186F">
        <w:rPr>
          <w:b/>
          <w:i/>
          <w:sz w:val="24"/>
          <w:szCs w:val="24"/>
          <w:lang w:val="uk-UA"/>
        </w:rPr>
        <w:t xml:space="preserve"> </w:t>
      </w:r>
      <w:r w:rsidR="004438D0">
        <w:rPr>
          <w:sz w:val="24"/>
          <w:szCs w:val="24"/>
          <w:lang w:val="uk-UA"/>
        </w:rPr>
        <w:t>який більше</w:t>
      </w:r>
      <w:r w:rsidRPr="002D186F">
        <w:rPr>
          <w:sz w:val="24"/>
          <w:szCs w:val="24"/>
          <w:lang w:val="uk-UA"/>
        </w:rPr>
        <w:t xml:space="preserve"> у порівнянні з аналогічним </w:t>
      </w:r>
      <w:r w:rsidR="00FC5086" w:rsidRPr="002D186F">
        <w:rPr>
          <w:sz w:val="24"/>
          <w:szCs w:val="24"/>
          <w:lang w:val="uk-UA"/>
        </w:rPr>
        <w:t>періодом минуло</w:t>
      </w:r>
      <w:r w:rsidR="00F92452">
        <w:rPr>
          <w:sz w:val="24"/>
          <w:szCs w:val="24"/>
          <w:lang w:val="uk-UA"/>
        </w:rPr>
        <w:t>го року на 3</w:t>
      </w:r>
      <w:r w:rsidR="00A34346">
        <w:rPr>
          <w:sz w:val="24"/>
          <w:szCs w:val="24"/>
          <w:lang w:val="uk-UA"/>
        </w:rPr>
        <w:t>,5</w:t>
      </w:r>
      <w:r w:rsidRPr="002D186F">
        <w:rPr>
          <w:sz w:val="24"/>
          <w:szCs w:val="24"/>
          <w:lang w:val="uk-UA"/>
        </w:rPr>
        <w:t xml:space="preserve"> млн. грн., у т. ч. за рахунок наступного: </w:t>
      </w:r>
    </w:p>
    <w:p w:rsidR="00D52158" w:rsidRPr="002D186F" w:rsidRDefault="00D52158" w:rsidP="00D5215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2D186F">
        <w:rPr>
          <w:sz w:val="24"/>
          <w:szCs w:val="24"/>
          <w:lang w:val="uk-UA"/>
        </w:rPr>
        <w:t>зменшення фінансового результ</w:t>
      </w:r>
      <w:r w:rsidR="00577B91" w:rsidRPr="002D186F">
        <w:rPr>
          <w:sz w:val="24"/>
          <w:szCs w:val="24"/>
          <w:lang w:val="uk-UA"/>
        </w:rPr>
        <w:t>ату</w:t>
      </w:r>
      <w:r w:rsidR="00A34346">
        <w:rPr>
          <w:sz w:val="24"/>
          <w:szCs w:val="24"/>
          <w:lang w:val="uk-UA"/>
        </w:rPr>
        <w:t xml:space="preserve"> основної діяльності на 102,8</w:t>
      </w:r>
      <w:r w:rsidRPr="002D186F">
        <w:rPr>
          <w:sz w:val="24"/>
          <w:szCs w:val="24"/>
          <w:lang w:val="uk-UA"/>
        </w:rPr>
        <w:t xml:space="preserve"> млн. грн., що обумовлено зменшенням обсягів надання буксирних послуг з причин роботи у акв</w:t>
      </w:r>
      <w:r w:rsidR="002954F5" w:rsidRPr="002D186F">
        <w:rPr>
          <w:sz w:val="24"/>
          <w:szCs w:val="24"/>
          <w:lang w:val="uk-UA"/>
        </w:rPr>
        <w:t>аторії Одеського порту приватних буксирних компаній</w:t>
      </w:r>
      <w:r w:rsidRPr="002D186F">
        <w:rPr>
          <w:sz w:val="24"/>
          <w:szCs w:val="24"/>
          <w:lang w:val="uk-UA"/>
        </w:rPr>
        <w:t xml:space="preserve"> ТОВ «</w:t>
      </w:r>
      <w:r w:rsidR="00CE5B83" w:rsidRPr="002D186F">
        <w:rPr>
          <w:sz w:val="24"/>
          <w:szCs w:val="24"/>
          <w:lang w:val="uk-UA"/>
        </w:rPr>
        <w:t>ЕКОФЛОТ</w:t>
      </w:r>
      <w:r w:rsidRPr="002D186F">
        <w:rPr>
          <w:sz w:val="24"/>
          <w:szCs w:val="24"/>
          <w:lang w:val="uk-UA"/>
        </w:rPr>
        <w:t>»</w:t>
      </w:r>
      <w:r w:rsidR="002954F5" w:rsidRPr="002D186F">
        <w:rPr>
          <w:sz w:val="24"/>
          <w:szCs w:val="24"/>
          <w:lang w:val="uk-UA"/>
        </w:rPr>
        <w:t xml:space="preserve"> та ТОВ «</w:t>
      </w:r>
      <w:r w:rsidR="00CE5B83" w:rsidRPr="002D186F">
        <w:rPr>
          <w:sz w:val="24"/>
          <w:szCs w:val="24"/>
          <w:lang w:val="uk-UA"/>
        </w:rPr>
        <w:t>УКРФЛОТ-СЕРВІС</w:t>
      </w:r>
      <w:r w:rsidR="002954F5" w:rsidRPr="002D186F">
        <w:rPr>
          <w:sz w:val="24"/>
          <w:szCs w:val="24"/>
          <w:lang w:val="uk-UA"/>
        </w:rPr>
        <w:t>»</w:t>
      </w:r>
      <w:r w:rsidRPr="002D186F">
        <w:rPr>
          <w:sz w:val="24"/>
          <w:szCs w:val="24"/>
          <w:lang w:val="uk-UA"/>
        </w:rPr>
        <w:t>;</w:t>
      </w:r>
    </w:p>
    <w:p w:rsidR="00D52158" w:rsidRPr="002D186F" w:rsidRDefault="008C3951" w:rsidP="00D5215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2D186F">
        <w:rPr>
          <w:sz w:val="24"/>
          <w:szCs w:val="24"/>
          <w:lang w:val="uk-UA"/>
        </w:rPr>
        <w:t>зменшенн</w:t>
      </w:r>
      <w:r w:rsidR="00A34346">
        <w:rPr>
          <w:sz w:val="24"/>
          <w:szCs w:val="24"/>
          <w:lang w:val="uk-UA"/>
        </w:rPr>
        <w:t>я адміністративних витрат на 18,2</w:t>
      </w:r>
      <w:r w:rsidR="00D52158" w:rsidRPr="002D186F">
        <w:rPr>
          <w:sz w:val="24"/>
          <w:szCs w:val="24"/>
          <w:lang w:val="uk-UA"/>
        </w:rPr>
        <w:t xml:space="preserve"> млн. грн.</w:t>
      </w:r>
      <w:r w:rsidRPr="002D186F">
        <w:rPr>
          <w:sz w:val="24"/>
          <w:szCs w:val="24"/>
          <w:lang w:val="uk-UA"/>
        </w:rPr>
        <w:t>;</w:t>
      </w:r>
    </w:p>
    <w:p w:rsidR="00D52158" w:rsidRPr="002D186F" w:rsidRDefault="007A5536" w:rsidP="00D5215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2D186F">
        <w:rPr>
          <w:sz w:val="24"/>
          <w:szCs w:val="24"/>
          <w:lang w:val="uk-UA"/>
        </w:rPr>
        <w:t xml:space="preserve">зменшення </w:t>
      </w:r>
      <w:r w:rsidR="00D52158" w:rsidRPr="002D186F">
        <w:rPr>
          <w:sz w:val="24"/>
          <w:szCs w:val="24"/>
          <w:lang w:val="uk-UA"/>
        </w:rPr>
        <w:t xml:space="preserve"> фінансового результату від фінансової діяльності на </w:t>
      </w:r>
      <w:r w:rsidR="00A34346">
        <w:rPr>
          <w:sz w:val="24"/>
          <w:szCs w:val="24"/>
          <w:lang w:val="uk-UA"/>
        </w:rPr>
        <w:br/>
        <w:t>8,5</w:t>
      </w:r>
      <w:r w:rsidR="00D52158" w:rsidRPr="002D186F">
        <w:rPr>
          <w:sz w:val="24"/>
          <w:szCs w:val="24"/>
          <w:lang w:val="uk-UA"/>
        </w:rPr>
        <w:t xml:space="preserve"> млн. грн. за рахунок </w:t>
      </w:r>
      <w:r w:rsidRPr="002D186F">
        <w:rPr>
          <w:sz w:val="24"/>
          <w:szCs w:val="24"/>
          <w:lang w:val="uk-UA"/>
        </w:rPr>
        <w:t>зменшення</w:t>
      </w:r>
      <w:r w:rsidR="00F73790" w:rsidRPr="002D186F">
        <w:rPr>
          <w:sz w:val="24"/>
          <w:szCs w:val="24"/>
          <w:lang w:val="uk-UA"/>
        </w:rPr>
        <w:t xml:space="preserve"> обсягів коштів та </w:t>
      </w:r>
      <w:r w:rsidRPr="002D186F">
        <w:rPr>
          <w:sz w:val="24"/>
          <w:szCs w:val="24"/>
          <w:lang w:val="uk-UA"/>
        </w:rPr>
        <w:t>депозитних ставок;</w:t>
      </w:r>
    </w:p>
    <w:p w:rsidR="00D52158" w:rsidRPr="002D186F" w:rsidRDefault="00D52158" w:rsidP="00D5215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2D186F">
        <w:rPr>
          <w:sz w:val="24"/>
          <w:szCs w:val="24"/>
          <w:lang w:val="uk-UA"/>
        </w:rPr>
        <w:t>зменшення надходжень від користування банками в</w:t>
      </w:r>
      <w:r w:rsidR="00577B91" w:rsidRPr="002D186F">
        <w:rPr>
          <w:sz w:val="24"/>
          <w:szCs w:val="24"/>
          <w:lang w:val="uk-UA"/>
        </w:rPr>
        <w:t>і</w:t>
      </w:r>
      <w:r w:rsidR="00A34346">
        <w:rPr>
          <w:sz w:val="24"/>
          <w:szCs w:val="24"/>
          <w:lang w:val="uk-UA"/>
        </w:rPr>
        <w:t>льними обіговими кошта</w:t>
      </w:r>
      <w:r w:rsidR="00F92452">
        <w:rPr>
          <w:sz w:val="24"/>
          <w:szCs w:val="24"/>
          <w:lang w:val="uk-UA"/>
        </w:rPr>
        <w:t>ми на 12,0</w:t>
      </w:r>
      <w:r w:rsidRPr="002D186F">
        <w:rPr>
          <w:sz w:val="24"/>
          <w:szCs w:val="24"/>
          <w:lang w:val="uk-UA"/>
        </w:rPr>
        <w:t xml:space="preserve"> млн. грн. з причин зменшення обсягів вказаних коштів;</w:t>
      </w:r>
    </w:p>
    <w:p w:rsidR="00D52158" w:rsidRPr="002D186F" w:rsidRDefault="00A34346" w:rsidP="00D5215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267D72">
        <w:rPr>
          <w:sz w:val="24"/>
          <w:szCs w:val="24"/>
          <w:lang w:val="uk-UA"/>
        </w:rPr>
        <w:t>меншення</w:t>
      </w:r>
      <w:r w:rsidR="00D52158" w:rsidRPr="002D186F">
        <w:rPr>
          <w:sz w:val="24"/>
          <w:szCs w:val="24"/>
          <w:lang w:val="uk-UA"/>
        </w:rPr>
        <w:t xml:space="preserve"> фінансового результату від оп</w:t>
      </w:r>
      <w:r w:rsidR="00577B91" w:rsidRPr="002D186F">
        <w:rPr>
          <w:sz w:val="24"/>
          <w:szCs w:val="24"/>
          <w:lang w:val="uk-UA"/>
        </w:rPr>
        <w:t>ер</w:t>
      </w:r>
      <w:r w:rsidR="008C3951" w:rsidRPr="002D186F">
        <w:rPr>
          <w:sz w:val="24"/>
          <w:szCs w:val="24"/>
          <w:lang w:val="uk-UA"/>
        </w:rPr>
        <w:t>аційної курсової різниці на</w:t>
      </w:r>
      <w:r w:rsidR="00865411">
        <w:rPr>
          <w:sz w:val="24"/>
          <w:szCs w:val="24"/>
          <w:lang w:val="uk-UA"/>
        </w:rPr>
        <w:t xml:space="preserve"> </w:t>
      </w:r>
      <w:r w:rsidR="00267D72">
        <w:rPr>
          <w:sz w:val="24"/>
          <w:szCs w:val="24"/>
          <w:lang w:val="uk-UA"/>
        </w:rPr>
        <w:t>7,2</w:t>
      </w:r>
      <w:r w:rsidR="00865411">
        <w:rPr>
          <w:sz w:val="24"/>
          <w:szCs w:val="24"/>
          <w:lang w:val="uk-UA"/>
        </w:rPr>
        <w:t> </w:t>
      </w:r>
      <w:r w:rsidR="00D52158" w:rsidRPr="002D186F">
        <w:rPr>
          <w:sz w:val="24"/>
          <w:szCs w:val="24"/>
          <w:lang w:val="uk-UA"/>
        </w:rPr>
        <w:t>млн.</w:t>
      </w:r>
      <w:r w:rsidR="00865411">
        <w:rPr>
          <w:sz w:val="24"/>
          <w:szCs w:val="24"/>
          <w:lang w:val="uk-UA"/>
        </w:rPr>
        <w:t> </w:t>
      </w:r>
      <w:r w:rsidR="00D52158" w:rsidRPr="002D186F">
        <w:rPr>
          <w:sz w:val="24"/>
          <w:szCs w:val="24"/>
          <w:lang w:val="uk-UA"/>
        </w:rPr>
        <w:t>грн.;</w:t>
      </w:r>
    </w:p>
    <w:p w:rsidR="00D52158" w:rsidRDefault="00AC6AD4" w:rsidP="00D5215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2D186F">
        <w:rPr>
          <w:sz w:val="24"/>
          <w:szCs w:val="24"/>
          <w:lang w:val="uk-UA"/>
        </w:rPr>
        <w:t>збільшення</w:t>
      </w:r>
      <w:r w:rsidR="00D52158" w:rsidRPr="002D186F">
        <w:rPr>
          <w:sz w:val="24"/>
          <w:szCs w:val="24"/>
          <w:lang w:val="uk-UA"/>
        </w:rPr>
        <w:t xml:space="preserve"> фінансов</w:t>
      </w:r>
      <w:r w:rsidR="00276EC0" w:rsidRPr="002D186F">
        <w:rPr>
          <w:sz w:val="24"/>
          <w:szCs w:val="24"/>
          <w:lang w:val="uk-UA"/>
        </w:rPr>
        <w:t>о</w:t>
      </w:r>
      <w:r w:rsidR="00267D72">
        <w:rPr>
          <w:sz w:val="24"/>
          <w:szCs w:val="24"/>
          <w:lang w:val="uk-UA"/>
        </w:rPr>
        <w:t>го результату від оренди на 10,3</w:t>
      </w:r>
      <w:r w:rsidR="00D52158" w:rsidRPr="002D186F">
        <w:rPr>
          <w:sz w:val="24"/>
          <w:szCs w:val="24"/>
          <w:lang w:val="uk-UA"/>
        </w:rPr>
        <w:t xml:space="preserve"> млн. грн.</w:t>
      </w:r>
    </w:p>
    <w:p w:rsidR="00267D72" w:rsidRDefault="00267D72" w:rsidP="00D5215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збільшення фінансового результату від списанн</w:t>
      </w:r>
      <w:r w:rsidR="00F92452">
        <w:rPr>
          <w:sz w:val="24"/>
          <w:szCs w:val="24"/>
          <w:lang w:val="uk-UA"/>
        </w:rPr>
        <w:t>я на 10,2</w:t>
      </w:r>
      <w:r>
        <w:rPr>
          <w:sz w:val="24"/>
          <w:szCs w:val="24"/>
          <w:lang w:val="uk-UA"/>
        </w:rPr>
        <w:t xml:space="preserve"> млн.</w:t>
      </w:r>
      <w:r w:rsidR="00F7367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грн.</w:t>
      </w:r>
    </w:p>
    <w:p w:rsidR="00267D72" w:rsidRPr="002D186F" w:rsidRDefault="00267D72" w:rsidP="00267D72">
      <w:pPr>
        <w:pStyle w:val="aa"/>
        <w:ind w:left="709"/>
        <w:jc w:val="both"/>
        <w:rPr>
          <w:sz w:val="24"/>
          <w:szCs w:val="24"/>
          <w:lang w:val="uk-UA"/>
        </w:rPr>
      </w:pPr>
    </w:p>
    <w:p w:rsidR="00D52158" w:rsidRPr="002D186F" w:rsidRDefault="00D52158" w:rsidP="00D52158">
      <w:pPr>
        <w:ind w:firstLine="709"/>
        <w:jc w:val="both"/>
        <w:rPr>
          <w:sz w:val="24"/>
          <w:szCs w:val="24"/>
          <w:lang w:val="uk-UA"/>
        </w:rPr>
      </w:pPr>
      <w:r w:rsidRPr="002D186F">
        <w:rPr>
          <w:sz w:val="24"/>
          <w:szCs w:val="24"/>
          <w:lang w:val="uk-UA"/>
        </w:rPr>
        <w:t xml:space="preserve">У свою чергу, розмір чистого прибутку </w:t>
      </w:r>
      <w:r w:rsidRPr="002D186F">
        <w:rPr>
          <w:b/>
          <w:sz w:val="24"/>
          <w:szCs w:val="24"/>
          <w:lang w:val="uk-UA"/>
        </w:rPr>
        <w:t>зменшен</w:t>
      </w:r>
      <w:r w:rsidR="00A8710A" w:rsidRPr="002D186F">
        <w:rPr>
          <w:b/>
          <w:sz w:val="24"/>
          <w:szCs w:val="24"/>
          <w:lang w:val="uk-UA"/>
        </w:rPr>
        <w:t>о</w:t>
      </w:r>
      <w:r w:rsidR="00FC5086" w:rsidRPr="002D186F">
        <w:rPr>
          <w:b/>
          <w:sz w:val="24"/>
          <w:szCs w:val="24"/>
          <w:lang w:val="uk-UA"/>
        </w:rPr>
        <w:t xml:space="preserve"> у порівнянні із планом на</w:t>
      </w:r>
      <w:r w:rsidR="00865411">
        <w:rPr>
          <w:b/>
          <w:sz w:val="24"/>
          <w:szCs w:val="24"/>
          <w:lang w:val="uk-UA"/>
        </w:rPr>
        <w:t xml:space="preserve"> </w:t>
      </w:r>
      <w:r w:rsidR="00F92452">
        <w:rPr>
          <w:b/>
          <w:sz w:val="24"/>
          <w:szCs w:val="24"/>
          <w:lang w:val="uk-UA"/>
        </w:rPr>
        <w:t xml:space="preserve">                 100</w:t>
      </w:r>
      <w:r w:rsidR="00267D72">
        <w:rPr>
          <w:b/>
          <w:sz w:val="24"/>
          <w:szCs w:val="24"/>
          <w:lang w:val="uk-UA"/>
        </w:rPr>
        <w:t xml:space="preserve">,0 </w:t>
      </w:r>
      <w:r w:rsidR="00865411">
        <w:rPr>
          <w:b/>
          <w:sz w:val="24"/>
          <w:szCs w:val="24"/>
          <w:lang w:val="uk-UA"/>
        </w:rPr>
        <w:t>млн. </w:t>
      </w:r>
      <w:r w:rsidRPr="002D186F">
        <w:rPr>
          <w:b/>
          <w:sz w:val="24"/>
          <w:szCs w:val="24"/>
          <w:lang w:val="uk-UA"/>
        </w:rPr>
        <w:t>грн.,</w:t>
      </w:r>
      <w:r w:rsidRPr="002D186F">
        <w:rPr>
          <w:sz w:val="24"/>
          <w:szCs w:val="24"/>
          <w:lang w:val="uk-UA"/>
        </w:rPr>
        <w:t xml:space="preserve"> у тому числі за факторами:</w:t>
      </w:r>
    </w:p>
    <w:p w:rsidR="00D52158" w:rsidRPr="002D186F" w:rsidRDefault="00D52158" w:rsidP="00D5215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2D186F">
        <w:rPr>
          <w:sz w:val="24"/>
          <w:szCs w:val="24"/>
          <w:lang w:val="uk-UA"/>
        </w:rPr>
        <w:t xml:space="preserve">зменшення фінансового результату від основної діяльності на </w:t>
      </w:r>
      <w:r w:rsidR="00267D72">
        <w:rPr>
          <w:sz w:val="24"/>
          <w:szCs w:val="24"/>
          <w:lang w:val="uk-UA"/>
        </w:rPr>
        <w:br/>
        <w:t>153,5</w:t>
      </w:r>
      <w:r w:rsidRPr="002D186F">
        <w:rPr>
          <w:sz w:val="24"/>
          <w:szCs w:val="24"/>
          <w:lang w:val="uk-UA"/>
        </w:rPr>
        <w:t xml:space="preserve"> млн. грн., що</w:t>
      </w:r>
      <w:r w:rsidR="00F95545">
        <w:rPr>
          <w:sz w:val="24"/>
          <w:szCs w:val="24"/>
          <w:lang w:val="uk-UA"/>
        </w:rPr>
        <w:t xml:space="preserve"> </w:t>
      </w:r>
      <w:r w:rsidRPr="002D186F">
        <w:rPr>
          <w:sz w:val="24"/>
          <w:szCs w:val="24"/>
          <w:lang w:val="uk-UA"/>
        </w:rPr>
        <w:t>обумовлено</w:t>
      </w:r>
      <w:r w:rsidR="00F95545">
        <w:rPr>
          <w:sz w:val="24"/>
          <w:szCs w:val="24"/>
          <w:lang w:val="uk-UA"/>
        </w:rPr>
        <w:t>, в першу чергу,</w:t>
      </w:r>
      <w:r w:rsidRPr="002D186F">
        <w:rPr>
          <w:sz w:val="24"/>
          <w:szCs w:val="24"/>
          <w:lang w:val="uk-UA"/>
        </w:rPr>
        <w:t xml:space="preserve"> зменшенням обсягів надання буксирних послуг з причин роботи у акв</w:t>
      </w:r>
      <w:r w:rsidR="002954F5" w:rsidRPr="002D186F">
        <w:rPr>
          <w:sz w:val="24"/>
          <w:szCs w:val="24"/>
          <w:lang w:val="uk-UA"/>
        </w:rPr>
        <w:t xml:space="preserve">аторії Одеського порту приватних буксирних компаній </w:t>
      </w:r>
      <w:r w:rsidRPr="002D186F">
        <w:rPr>
          <w:sz w:val="24"/>
          <w:szCs w:val="24"/>
          <w:lang w:val="uk-UA"/>
        </w:rPr>
        <w:t>ТОВ «</w:t>
      </w:r>
      <w:r w:rsidR="00CE5B83" w:rsidRPr="002D186F">
        <w:rPr>
          <w:sz w:val="24"/>
          <w:szCs w:val="24"/>
          <w:lang w:val="uk-UA"/>
        </w:rPr>
        <w:t>ЕКОФЛОТ</w:t>
      </w:r>
      <w:r w:rsidRPr="002D186F">
        <w:rPr>
          <w:sz w:val="24"/>
          <w:szCs w:val="24"/>
          <w:lang w:val="uk-UA"/>
        </w:rPr>
        <w:t>»</w:t>
      </w:r>
      <w:r w:rsidR="00CE5B83" w:rsidRPr="002D186F">
        <w:rPr>
          <w:sz w:val="24"/>
          <w:szCs w:val="24"/>
          <w:lang w:val="uk-UA"/>
        </w:rPr>
        <w:t xml:space="preserve"> та ТОВ </w:t>
      </w:r>
      <w:r w:rsidR="002954F5" w:rsidRPr="002D186F">
        <w:rPr>
          <w:sz w:val="24"/>
          <w:szCs w:val="24"/>
          <w:lang w:val="uk-UA"/>
        </w:rPr>
        <w:t>«</w:t>
      </w:r>
      <w:r w:rsidR="00CE5B83" w:rsidRPr="002D186F">
        <w:rPr>
          <w:sz w:val="24"/>
          <w:szCs w:val="24"/>
          <w:lang w:val="uk-UA"/>
        </w:rPr>
        <w:t>УКРФЛОТ-СЕРВІС</w:t>
      </w:r>
      <w:r w:rsidR="002954F5" w:rsidRPr="002D186F">
        <w:rPr>
          <w:sz w:val="24"/>
          <w:szCs w:val="24"/>
          <w:lang w:val="uk-UA"/>
        </w:rPr>
        <w:t>»</w:t>
      </w:r>
      <w:r w:rsidRPr="002D186F">
        <w:rPr>
          <w:sz w:val="24"/>
          <w:szCs w:val="24"/>
          <w:lang w:val="uk-UA"/>
        </w:rPr>
        <w:t>;</w:t>
      </w:r>
    </w:p>
    <w:p w:rsidR="00D52158" w:rsidRPr="002D186F" w:rsidRDefault="00D52158" w:rsidP="00D5215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2D186F">
        <w:rPr>
          <w:sz w:val="24"/>
          <w:szCs w:val="24"/>
          <w:lang w:val="uk-UA"/>
        </w:rPr>
        <w:t>збільшення фінансового результату</w:t>
      </w:r>
      <w:r w:rsidR="00267D72">
        <w:rPr>
          <w:sz w:val="24"/>
          <w:szCs w:val="24"/>
          <w:lang w:val="uk-UA"/>
        </w:rPr>
        <w:t xml:space="preserve"> від оренди на 5,3</w:t>
      </w:r>
      <w:r w:rsidRPr="002D186F">
        <w:rPr>
          <w:sz w:val="24"/>
          <w:szCs w:val="24"/>
          <w:lang w:val="uk-UA"/>
        </w:rPr>
        <w:t xml:space="preserve"> млн. грн.;</w:t>
      </w:r>
    </w:p>
    <w:p w:rsidR="00D52158" w:rsidRPr="002D186F" w:rsidRDefault="00D52158" w:rsidP="00D5215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2D186F">
        <w:rPr>
          <w:sz w:val="24"/>
          <w:szCs w:val="24"/>
          <w:lang w:val="uk-UA"/>
        </w:rPr>
        <w:t>зменшенн</w:t>
      </w:r>
      <w:r w:rsidR="00267D72">
        <w:rPr>
          <w:sz w:val="24"/>
          <w:szCs w:val="24"/>
          <w:lang w:val="uk-UA"/>
        </w:rPr>
        <w:t>я адміністративних витрат на 8,5</w:t>
      </w:r>
      <w:r w:rsidRPr="002D186F">
        <w:rPr>
          <w:sz w:val="24"/>
          <w:szCs w:val="24"/>
          <w:lang w:val="uk-UA"/>
        </w:rPr>
        <w:t xml:space="preserve"> млн. грн.;</w:t>
      </w:r>
    </w:p>
    <w:p w:rsidR="00D52158" w:rsidRPr="002D186F" w:rsidRDefault="00267D72" w:rsidP="00D5215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зменшення</w:t>
      </w:r>
      <w:r w:rsidR="00D52158" w:rsidRPr="002D186F">
        <w:rPr>
          <w:sz w:val="24"/>
          <w:szCs w:val="24"/>
          <w:lang w:val="uk-UA"/>
        </w:rPr>
        <w:t xml:space="preserve"> фінансового результату від опе</w:t>
      </w:r>
      <w:r w:rsidR="003E3622" w:rsidRPr="002D186F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аційної курсової різниці на 27,1</w:t>
      </w:r>
      <w:r w:rsidR="00D52158" w:rsidRPr="002D186F">
        <w:rPr>
          <w:sz w:val="24"/>
          <w:szCs w:val="24"/>
          <w:lang w:val="uk-UA"/>
        </w:rPr>
        <w:t xml:space="preserve"> млн. грн.;</w:t>
      </w:r>
      <w:bookmarkStart w:id="0" w:name="_GoBack"/>
      <w:bookmarkEnd w:id="0"/>
    </w:p>
    <w:p w:rsidR="00E83C49" w:rsidRDefault="000E3573" w:rsidP="000E3573">
      <w:pPr>
        <w:pStyle w:val="aa"/>
        <w:numPr>
          <w:ilvl w:val="0"/>
          <w:numId w:val="40"/>
        </w:numPr>
        <w:ind w:left="0" w:right="-1" w:firstLine="709"/>
        <w:jc w:val="both"/>
        <w:rPr>
          <w:sz w:val="24"/>
          <w:szCs w:val="24"/>
          <w:lang w:val="uk-UA"/>
        </w:rPr>
      </w:pPr>
      <w:r w:rsidRPr="002D186F">
        <w:rPr>
          <w:sz w:val="24"/>
          <w:szCs w:val="24"/>
          <w:lang w:val="uk-UA"/>
        </w:rPr>
        <w:lastRenderedPageBreak/>
        <w:t>збільшення</w:t>
      </w:r>
      <w:r w:rsidR="00845C39" w:rsidRPr="002D186F">
        <w:rPr>
          <w:sz w:val="24"/>
          <w:szCs w:val="24"/>
          <w:lang w:val="uk-UA"/>
        </w:rPr>
        <w:t xml:space="preserve"> надходжень по </w:t>
      </w:r>
      <w:r w:rsidR="00267D72">
        <w:rPr>
          <w:sz w:val="24"/>
          <w:szCs w:val="24"/>
          <w:lang w:val="uk-UA"/>
        </w:rPr>
        <w:t>депозитах на 14,5</w:t>
      </w:r>
      <w:r w:rsidR="00D52158" w:rsidRPr="002D186F">
        <w:rPr>
          <w:sz w:val="24"/>
          <w:szCs w:val="24"/>
          <w:lang w:val="uk-UA"/>
        </w:rPr>
        <w:t xml:space="preserve"> млн. грн.</w:t>
      </w:r>
      <w:r w:rsidR="00F92452">
        <w:rPr>
          <w:sz w:val="24"/>
          <w:szCs w:val="24"/>
          <w:lang w:val="uk-UA"/>
        </w:rPr>
        <w:t xml:space="preserve"> та на поточних рахунках на 7,0 млн.</w:t>
      </w:r>
      <w:r w:rsidR="00A24491">
        <w:rPr>
          <w:sz w:val="24"/>
          <w:szCs w:val="24"/>
          <w:lang w:val="uk-UA"/>
        </w:rPr>
        <w:t xml:space="preserve"> </w:t>
      </w:r>
      <w:r w:rsidR="00F92452">
        <w:rPr>
          <w:sz w:val="24"/>
          <w:szCs w:val="24"/>
          <w:lang w:val="uk-UA"/>
        </w:rPr>
        <w:t>грн.;</w:t>
      </w:r>
    </w:p>
    <w:p w:rsidR="00267D72" w:rsidRPr="002D186F" w:rsidRDefault="00267D72" w:rsidP="000E3573">
      <w:pPr>
        <w:pStyle w:val="aa"/>
        <w:numPr>
          <w:ilvl w:val="0"/>
          <w:numId w:val="40"/>
        </w:numPr>
        <w:ind w:left="0" w:right="-1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збільшення фінансового результату від списання майна на 8,6 млн.</w:t>
      </w:r>
      <w:r w:rsidR="00F9245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грн.</w:t>
      </w:r>
    </w:p>
    <w:p w:rsidR="00332768" w:rsidRDefault="00D52158" w:rsidP="00E83C49">
      <w:pPr>
        <w:pStyle w:val="aa"/>
        <w:ind w:left="709" w:right="-1"/>
        <w:jc w:val="both"/>
        <w:rPr>
          <w:sz w:val="24"/>
          <w:szCs w:val="24"/>
          <w:lang w:val="uk-UA"/>
        </w:rPr>
      </w:pPr>
      <w:r w:rsidRPr="002D186F">
        <w:rPr>
          <w:sz w:val="24"/>
          <w:szCs w:val="24"/>
          <w:lang w:val="uk-UA"/>
        </w:rPr>
        <w:t xml:space="preserve"> </w:t>
      </w:r>
    </w:p>
    <w:p w:rsidR="00F73675" w:rsidRDefault="00F73675" w:rsidP="00E83C49">
      <w:pPr>
        <w:pStyle w:val="aa"/>
        <w:ind w:left="709" w:right="-1"/>
        <w:jc w:val="both"/>
        <w:rPr>
          <w:sz w:val="24"/>
          <w:szCs w:val="24"/>
          <w:lang w:val="uk-UA"/>
        </w:rPr>
      </w:pPr>
    </w:p>
    <w:p w:rsidR="00482346" w:rsidRPr="002D186F" w:rsidRDefault="00097596">
      <w:pPr>
        <w:ind w:firstLine="709"/>
        <w:contextualSpacing/>
        <w:jc w:val="center"/>
        <w:rPr>
          <w:b/>
          <w:sz w:val="24"/>
          <w:szCs w:val="24"/>
          <w:u w:val="single"/>
          <w:lang w:val="uk-UA"/>
        </w:rPr>
      </w:pPr>
      <w:r w:rsidRPr="002D186F">
        <w:rPr>
          <w:b/>
          <w:sz w:val="24"/>
          <w:szCs w:val="24"/>
          <w:u w:val="single"/>
          <w:lang w:val="uk-UA"/>
        </w:rPr>
        <w:t>В</w:t>
      </w:r>
      <w:r w:rsidR="00482346" w:rsidRPr="002D186F">
        <w:rPr>
          <w:b/>
          <w:sz w:val="24"/>
          <w:szCs w:val="24"/>
          <w:u w:val="single"/>
          <w:lang w:val="uk-UA"/>
        </w:rPr>
        <w:t>заємовідносини з бюджетом та цільовими фондами</w:t>
      </w:r>
    </w:p>
    <w:p w:rsidR="003F437B" w:rsidRPr="002D186F" w:rsidRDefault="00D70255" w:rsidP="00163C3D">
      <w:pPr>
        <w:pStyle w:val="30"/>
        <w:spacing w:before="120"/>
        <w:ind w:left="0" w:firstLine="567"/>
        <w:jc w:val="right"/>
        <w:rPr>
          <w:i/>
          <w:sz w:val="24"/>
          <w:szCs w:val="24"/>
        </w:rPr>
      </w:pPr>
      <w:r w:rsidRPr="002D186F">
        <w:rPr>
          <w:sz w:val="24"/>
          <w:szCs w:val="24"/>
        </w:rPr>
        <w:t xml:space="preserve">                                                           </w:t>
      </w:r>
      <w:r w:rsidR="003F437B" w:rsidRPr="002D186F">
        <w:rPr>
          <w:sz w:val="24"/>
          <w:szCs w:val="24"/>
        </w:rPr>
        <w:t xml:space="preserve"> </w:t>
      </w:r>
      <w:r w:rsidR="003F437B" w:rsidRPr="002D186F">
        <w:rPr>
          <w:i/>
          <w:sz w:val="24"/>
          <w:szCs w:val="24"/>
        </w:rPr>
        <w:t>Таблиця 6, тис. грн.</w:t>
      </w:r>
    </w:p>
    <w:tbl>
      <w:tblPr>
        <w:tblW w:w="993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266"/>
        <w:gridCol w:w="994"/>
        <w:gridCol w:w="993"/>
        <w:gridCol w:w="980"/>
        <w:gridCol w:w="12"/>
        <w:gridCol w:w="992"/>
        <w:gridCol w:w="994"/>
        <w:gridCol w:w="851"/>
        <w:gridCol w:w="850"/>
      </w:tblGrid>
      <w:tr w:rsidR="00C22205" w:rsidRPr="002D186F" w:rsidTr="00332768">
        <w:trPr>
          <w:trHeight w:val="476"/>
          <w:tblHeader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jc w:val="center"/>
              <w:rPr>
                <w:b/>
                <w:bCs/>
                <w:lang w:val="uk-UA"/>
              </w:rPr>
            </w:pPr>
            <w:r w:rsidRPr="002D186F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 xml:space="preserve">Звіт </w:t>
            </w:r>
            <w:r w:rsidRPr="002D186F">
              <w:rPr>
                <w:b/>
                <w:bCs/>
                <w:sz w:val="18"/>
                <w:lang w:val="uk-UA"/>
              </w:rPr>
              <w:br/>
              <w:t>2017 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 xml:space="preserve">План   </w:t>
            </w:r>
            <w:r w:rsidRPr="002D186F">
              <w:rPr>
                <w:b/>
                <w:bCs/>
                <w:sz w:val="18"/>
                <w:lang w:val="uk-UA"/>
              </w:rPr>
              <w:br/>
              <w:t>2018 р.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Звіт </w:t>
            </w:r>
            <w:r w:rsidRPr="002D186F">
              <w:rPr>
                <w:b/>
                <w:bCs/>
                <w:sz w:val="18"/>
                <w:lang w:val="uk-UA"/>
              </w:rPr>
              <w:br/>
              <w:t>2018 р.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>Відхилення звіту</w:t>
            </w:r>
          </w:p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>2018 р. до: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 xml:space="preserve">Відносно звіту </w:t>
            </w:r>
          </w:p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2D186F">
              <w:rPr>
                <w:b/>
                <w:bCs/>
                <w:sz w:val="18"/>
                <w:lang w:val="uk-UA"/>
              </w:rPr>
              <w:t>2018 р. до:</w:t>
            </w:r>
          </w:p>
        </w:tc>
      </w:tr>
      <w:tr w:rsidR="00C22205" w:rsidRPr="002D186F" w:rsidTr="00332768">
        <w:trPr>
          <w:trHeight w:val="554"/>
          <w:tblHeader/>
        </w:trPr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108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 xml:space="preserve">Звіт </w:t>
            </w:r>
            <w:r w:rsidRPr="002D186F">
              <w:rPr>
                <w:b/>
                <w:bCs/>
                <w:sz w:val="16"/>
                <w:lang w:val="uk-UA"/>
              </w:rPr>
              <w:br/>
            </w:r>
            <w:r>
              <w:rPr>
                <w:b/>
                <w:bCs/>
                <w:sz w:val="16"/>
                <w:lang w:val="uk-UA"/>
              </w:rPr>
              <w:t xml:space="preserve">   </w:t>
            </w:r>
            <w:r w:rsidRPr="002D186F">
              <w:rPr>
                <w:b/>
                <w:bCs/>
                <w:sz w:val="16"/>
                <w:lang w:val="uk-UA"/>
              </w:rPr>
              <w:t>2017 р.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 xml:space="preserve">План </w:t>
            </w:r>
          </w:p>
          <w:p w:rsidR="00C22205" w:rsidRPr="002D186F" w:rsidRDefault="00C22205" w:rsidP="00C22205">
            <w:pPr>
              <w:ind w:left="-95" w:right="-108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>2018 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Pr="002D186F" w:rsidRDefault="00C22205" w:rsidP="00C22205">
            <w:pPr>
              <w:ind w:left="-95" w:right="-93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 xml:space="preserve">       </w:t>
            </w:r>
            <w:r w:rsidRPr="002D186F">
              <w:rPr>
                <w:b/>
                <w:bCs/>
                <w:sz w:val="16"/>
                <w:lang w:val="uk-UA"/>
              </w:rPr>
              <w:t xml:space="preserve">Звіт </w:t>
            </w:r>
            <w:r w:rsidRPr="002D186F">
              <w:rPr>
                <w:b/>
                <w:bCs/>
                <w:sz w:val="16"/>
                <w:lang w:val="uk-UA"/>
              </w:rPr>
              <w:br/>
            </w:r>
            <w:r>
              <w:rPr>
                <w:b/>
                <w:bCs/>
                <w:sz w:val="16"/>
                <w:lang w:val="uk-UA"/>
              </w:rPr>
              <w:t xml:space="preserve">      </w:t>
            </w:r>
            <w:r w:rsidRPr="002D186F">
              <w:rPr>
                <w:b/>
                <w:bCs/>
                <w:sz w:val="16"/>
                <w:lang w:val="uk-UA"/>
              </w:rPr>
              <w:t>2017 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2205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 xml:space="preserve">План </w:t>
            </w:r>
          </w:p>
          <w:p w:rsidR="00C22205" w:rsidRPr="002D186F" w:rsidRDefault="00C22205" w:rsidP="00C22205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2D186F">
              <w:rPr>
                <w:b/>
                <w:bCs/>
                <w:sz w:val="16"/>
                <w:lang w:val="uk-UA"/>
              </w:rPr>
              <w:t xml:space="preserve"> 2018 р.</w:t>
            </w:r>
          </w:p>
        </w:tc>
      </w:tr>
      <w:tr w:rsidR="00E5770A" w:rsidRPr="002D186F" w:rsidTr="00A95EA4">
        <w:trPr>
          <w:trHeight w:val="79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rPr>
                <w:b/>
                <w:bCs/>
              </w:rPr>
            </w:pPr>
            <w:r>
              <w:rPr>
                <w:b/>
                <w:bCs/>
              </w:rPr>
              <w:t>Сплата поточних податків та обов’язкових платежів до бюджету, у тому числі: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147 308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223 188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107 893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-39 415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-115 295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E5770A" w:rsidRPr="002D186F" w:rsidTr="00A95EA4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r>
              <w:t>Податок на прибуток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7 715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41 105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7 158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-557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-33 947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17</w:t>
            </w:r>
          </w:p>
        </w:tc>
      </w:tr>
      <w:tr w:rsidR="00E5770A" w:rsidRPr="002D186F" w:rsidTr="00A95EA4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r>
              <w:t>ПДВ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92 113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68 604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55 166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-36 947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-13 438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80</w:t>
            </w:r>
          </w:p>
        </w:tc>
      </w:tr>
      <w:tr w:rsidR="00E5770A" w:rsidRPr="002D186F" w:rsidTr="00A95EA4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r>
              <w:t>Ресурсні платежі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-3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29</w:t>
            </w:r>
          </w:p>
        </w:tc>
      </w:tr>
      <w:tr w:rsidR="00E5770A" w:rsidRPr="002D186F" w:rsidTr="00A95EA4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r>
              <w:t>Частина чистого прибутку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42 863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110 595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39 689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-3 174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-70 906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36</w:t>
            </w:r>
          </w:p>
        </w:tc>
      </w:tr>
      <w:tr w:rsidR="00E5770A" w:rsidRPr="002D186F" w:rsidTr="00A95EA4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r>
              <w:t>Орендна плата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1 763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1 716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1 719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3 751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4 007</w:t>
            </w:r>
          </w:p>
        </w:tc>
      </w:tr>
      <w:tr w:rsidR="00E5770A" w:rsidRPr="002D186F" w:rsidTr="00A95EA4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r>
              <w:t>Збір за використання радіочастот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342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380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111</w:t>
            </w:r>
          </w:p>
        </w:tc>
      </w:tr>
      <w:tr w:rsidR="00E5770A" w:rsidRPr="002D186F" w:rsidTr="00A95EA4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r>
              <w:t>Військовий збір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4 213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2 491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3 735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-478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1 244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150</w:t>
            </w:r>
          </w:p>
        </w:tc>
      </w:tr>
      <w:tr w:rsidR="00E5770A" w:rsidRPr="002D186F" w:rsidTr="00A95EA4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rPr>
                <w:b/>
                <w:bCs/>
              </w:rPr>
            </w:pPr>
            <w:r>
              <w:rPr>
                <w:b/>
                <w:bCs/>
              </w:rPr>
              <w:t>Внески до державних цільових фондів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42 254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-3 028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</w:tr>
      <w:tr w:rsidR="00E5770A" w:rsidRPr="002D186F" w:rsidTr="00A95EA4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r>
              <w:t>Пенсійний фонд України (ЄСВ)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45 282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35 963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42 254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-3 028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6 291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117</w:t>
            </w:r>
          </w:p>
        </w:tc>
      </w:tr>
      <w:tr w:rsidR="00E5770A" w:rsidRPr="002D186F" w:rsidTr="00A95EA4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rPr>
                <w:b/>
                <w:bCs/>
              </w:rPr>
            </w:pPr>
            <w:r>
              <w:rPr>
                <w:b/>
                <w:bCs/>
              </w:rPr>
              <w:t>Інші обов’язкові платежі, у тому числі: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59 173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39 865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53 627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-5 546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E5770A" w:rsidRPr="002D186F" w:rsidTr="00A95EA4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r>
              <w:t>Місцеві податки та збори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59 173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39 865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53 627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-5 546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13 762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135</w:t>
            </w:r>
          </w:p>
        </w:tc>
      </w:tr>
      <w:tr w:rsidR="00E5770A" w:rsidRPr="002D186F" w:rsidTr="00A95EA4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r>
              <w:t>Податок з доходів фізичних осіб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51 711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29 893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43 519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-8 192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13 626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146</w:t>
            </w:r>
          </w:p>
        </w:tc>
      </w:tr>
      <w:tr w:rsidR="00E5770A" w:rsidRPr="002D186F" w:rsidTr="00A95EA4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r>
              <w:t>Плата та податок на землю, нерухомість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7 462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9 948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10 102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2 640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102</w:t>
            </w:r>
          </w:p>
        </w:tc>
      </w:tr>
      <w:tr w:rsidR="00E5770A" w:rsidRPr="002D186F" w:rsidTr="00754D0D">
        <w:trPr>
          <w:trHeight w:val="18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r>
              <w:t>Транспортний податок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-18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</w:pPr>
            <w:r>
              <w:t>25</w:t>
            </w:r>
          </w:p>
        </w:tc>
      </w:tr>
      <w:tr w:rsidR="00E5770A" w:rsidRPr="002D186F" w:rsidTr="00A95EA4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rPr>
                <w:b/>
                <w:bCs/>
              </w:rPr>
            </w:pPr>
            <w:r>
              <w:rPr>
                <w:b/>
                <w:bCs/>
              </w:rPr>
              <w:t>Усього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299 016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203 774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-47 989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-95 242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0A" w:rsidRDefault="00E5770A" w:rsidP="00E57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</w:tbl>
    <w:p w:rsidR="00325F58" w:rsidRPr="002D186F" w:rsidRDefault="00435010" w:rsidP="004D3712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2D186F">
        <w:rPr>
          <w:sz w:val="24"/>
          <w:szCs w:val="24"/>
          <w:lang w:val="uk-UA"/>
        </w:rPr>
        <w:t>З</w:t>
      </w:r>
      <w:r w:rsidR="00841B6B" w:rsidRPr="002D186F">
        <w:rPr>
          <w:sz w:val="24"/>
          <w:szCs w:val="24"/>
          <w:lang w:val="uk-UA"/>
        </w:rPr>
        <w:t>а</w:t>
      </w:r>
      <w:r w:rsidR="00F65EC6" w:rsidRPr="002D186F">
        <w:rPr>
          <w:sz w:val="24"/>
          <w:szCs w:val="24"/>
          <w:lang w:val="uk-UA"/>
        </w:rPr>
        <w:t xml:space="preserve"> </w:t>
      </w:r>
      <w:r w:rsidR="00324EE1" w:rsidRPr="002D186F">
        <w:rPr>
          <w:sz w:val="24"/>
          <w:szCs w:val="24"/>
          <w:lang w:val="uk-UA"/>
        </w:rPr>
        <w:t>20</w:t>
      </w:r>
      <w:r w:rsidR="00A0562E" w:rsidRPr="002D186F">
        <w:rPr>
          <w:sz w:val="24"/>
          <w:szCs w:val="24"/>
          <w:lang w:val="uk-UA"/>
        </w:rPr>
        <w:t>1</w:t>
      </w:r>
      <w:r w:rsidR="000E3573" w:rsidRPr="002D186F">
        <w:rPr>
          <w:sz w:val="24"/>
          <w:szCs w:val="24"/>
          <w:lang w:val="uk-UA"/>
        </w:rPr>
        <w:t>8</w:t>
      </w:r>
      <w:r w:rsidR="00D70255" w:rsidRPr="002D186F">
        <w:rPr>
          <w:sz w:val="24"/>
          <w:szCs w:val="24"/>
          <w:lang w:val="uk-UA"/>
        </w:rPr>
        <w:t xml:space="preserve"> </w:t>
      </w:r>
      <w:r w:rsidR="00F73675">
        <w:rPr>
          <w:sz w:val="24"/>
          <w:szCs w:val="24"/>
          <w:lang w:val="uk-UA"/>
        </w:rPr>
        <w:t>рік</w:t>
      </w:r>
      <w:r w:rsidR="00325F58" w:rsidRPr="002D186F">
        <w:rPr>
          <w:sz w:val="24"/>
          <w:szCs w:val="24"/>
          <w:lang w:val="uk-UA"/>
        </w:rPr>
        <w:t xml:space="preserve"> </w:t>
      </w:r>
      <w:r w:rsidR="00D07F83" w:rsidRPr="002D186F">
        <w:rPr>
          <w:sz w:val="24"/>
          <w:szCs w:val="24"/>
          <w:lang w:val="uk-UA"/>
        </w:rPr>
        <w:t>ДП «Одеський порт</w:t>
      </w:r>
      <w:r w:rsidR="003D3774" w:rsidRPr="002D186F">
        <w:rPr>
          <w:sz w:val="24"/>
          <w:szCs w:val="24"/>
          <w:lang w:val="uk-UA"/>
        </w:rPr>
        <w:t>»</w:t>
      </w:r>
      <w:r w:rsidR="00324EE1" w:rsidRPr="002D186F">
        <w:rPr>
          <w:sz w:val="24"/>
          <w:szCs w:val="24"/>
          <w:lang w:val="uk-UA"/>
        </w:rPr>
        <w:t xml:space="preserve"> перераховано до бюджетів різних рівнів і державних цільових фондів</w:t>
      </w:r>
      <w:r w:rsidR="005D30EE" w:rsidRPr="002D186F">
        <w:rPr>
          <w:sz w:val="24"/>
          <w:szCs w:val="24"/>
          <w:lang w:val="uk-UA"/>
        </w:rPr>
        <w:t xml:space="preserve"> </w:t>
      </w:r>
      <w:r w:rsidR="00F73675">
        <w:rPr>
          <w:b/>
          <w:sz w:val="24"/>
          <w:szCs w:val="24"/>
          <w:lang w:val="uk-UA"/>
        </w:rPr>
        <w:t>203,8</w:t>
      </w:r>
      <w:r w:rsidR="00D70255" w:rsidRPr="002D186F">
        <w:rPr>
          <w:b/>
          <w:sz w:val="24"/>
          <w:szCs w:val="24"/>
          <w:lang w:val="uk-UA"/>
        </w:rPr>
        <w:t xml:space="preserve"> </w:t>
      </w:r>
      <w:r w:rsidR="005D30EE" w:rsidRPr="002D186F">
        <w:rPr>
          <w:b/>
          <w:sz w:val="24"/>
          <w:szCs w:val="24"/>
          <w:lang w:val="uk-UA"/>
        </w:rPr>
        <w:t>млн</w:t>
      </w:r>
      <w:r w:rsidR="003D3774" w:rsidRPr="002D186F">
        <w:rPr>
          <w:b/>
          <w:sz w:val="24"/>
          <w:szCs w:val="24"/>
          <w:lang w:val="uk-UA"/>
        </w:rPr>
        <w:t>.</w:t>
      </w:r>
      <w:r w:rsidR="005D30EE" w:rsidRPr="002D186F">
        <w:rPr>
          <w:b/>
          <w:sz w:val="24"/>
          <w:szCs w:val="24"/>
          <w:lang w:val="uk-UA"/>
        </w:rPr>
        <w:t xml:space="preserve"> </w:t>
      </w:r>
      <w:r w:rsidR="00E7401B" w:rsidRPr="002D186F">
        <w:rPr>
          <w:b/>
          <w:sz w:val="24"/>
          <w:szCs w:val="24"/>
          <w:lang w:val="uk-UA"/>
        </w:rPr>
        <w:t>грн.</w:t>
      </w:r>
      <w:r w:rsidR="005D30EE" w:rsidRPr="002D186F">
        <w:rPr>
          <w:b/>
          <w:sz w:val="24"/>
          <w:szCs w:val="24"/>
          <w:lang w:val="uk-UA"/>
        </w:rPr>
        <w:t>,</w:t>
      </w:r>
      <w:r w:rsidR="005D30EE" w:rsidRPr="002D186F">
        <w:rPr>
          <w:sz w:val="24"/>
          <w:szCs w:val="24"/>
          <w:lang w:val="uk-UA"/>
        </w:rPr>
        <w:t xml:space="preserve"> що</w:t>
      </w:r>
      <w:r w:rsidR="00E84A32" w:rsidRPr="002D186F">
        <w:rPr>
          <w:sz w:val="24"/>
          <w:szCs w:val="24"/>
          <w:lang w:val="uk-UA" w:eastAsia="uk-UA"/>
        </w:rPr>
        <w:t xml:space="preserve"> </w:t>
      </w:r>
      <w:r w:rsidR="00F73675">
        <w:rPr>
          <w:sz w:val="24"/>
          <w:szCs w:val="24"/>
          <w:lang w:val="uk-UA" w:eastAsia="uk-UA"/>
        </w:rPr>
        <w:t>на 48,0</w:t>
      </w:r>
      <w:r w:rsidR="00681651" w:rsidRPr="002D186F">
        <w:rPr>
          <w:sz w:val="24"/>
          <w:szCs w:val="24"/>
          <w:lang w:val="uk-UA" w:eastAsia="uk-UA"/>
        </w:rPr>
        <w:t xml:space="preserve"> </w:t>
      </w:r>
      <w:r w:rsidR="00E84A32" w:rsidRPr="002D186F">
        <w:rPr>
          <w:sz w:val="24"/>
          <w:szCs w:val="24"/>
          <w:lang w:val="uk-UA" w:eastAsia="uk-UA"/>
        </w:rPr>
        <w:t>млн</w:t>
      </w:r>
      <w:r w:rsidR="00EB2C8C" w:rsidRPr="002D186F">
        <w:rPr>
          <w:sz w:val="24"/>
          <w:szCs w:val="24"/>
          <w:lang w:val="uk-UA" w:eastAsia="uk-UA"/>
        </w:rPr>
        <w:t>.</w:t>
      </w:r>
      <w:r w:rsidR="00E84A32" w:rsidRPr="002D186F">
        <w:rPr>
          <w:sz w:val="24"/>
          <w:szCs w:val="24"/>
          <w:lang w:val="uk-UA" w:eastAsia="uk-UA"/>
        </w:rPr>
        <w:t xml:space="preserve"> </w:t>
      </w:r>
      <w:r w:rsidR="00F67D57" w:rsidRPr="002D186F">
        <w:rPr>
          <w:sz w:val="24"/>
          <w:szCs w:val="24"/>
          <w:lang w:val="uk-UA" w:eastAsia="uk-UA"/>
        </w:rPr>
        <w:t>грн.</w:t>
      </w:r>
      <w:r w:rsidR="00324EE1" w:rsidRPr="002D186F">
        <w:rPr>
          <w:sz w:val="24"/>
          <w:szCs w:val="24"/>
          <w:lang w:val="uk-UA" w:eastAsia="uk-UA"/>
        </w:rPr>
        <w:t xml:space="preserve"> </w:t>
      </w:r>
      <w:r w:rsidR="00F25A36" w:rsidRPr="002D186F">
        <w:rPr>
          <w:sz w:val="24"/>
          <w:szCs w:val="24"/>
          <w:lang w:val="uk-UA" w:eastAsia="uk-UA"/>
        </w:rPr>
        <w:t>менш</w:t>
      </w:r>
      <w:r w:rsidR="00DD5257" w:rsidRPr="002D186F">
        <w:rPr>
          <w:sz w:val="24"/>
          <w:szCs w:val="24"/>
          <w:lang w:val="uk-UA" w:eastAsia="uk-UA"/>
        </w:rPr>
        <w:t>е</w:t>
      </w:r>
      <w:r w:rsidR="002C6AE6" w:rsidRPr="002D186F">
        <w:rPr>
          <w:sz w:val="24"/>
          <w:szCs w:val="24"/>
          <w:lang w:val="uk-UA" w:eastAsia="uk-UA"/>
        </w:rPr>
        <w:t xml:space="preserve"> </w:t>
      </w:r>
      <w:r w:rsidR="003D3774" w:rsidRPr="002D186F">
        <w:rPr>
          <w:sz w:val="24"/>
          <w:szCs w:val="24"/>
          <w:lang w:val="uk-UA" w:eastAsia="uk-UA"/>
        </w:rPr>
        <w:t xml:space="preserve">ніж </w:t>
      </w:r>
      <w:r w:rsidR="00841B6B" w:rsidRPr="002D186F">
        <w:rPr>
          <w:sz w:val="24"/>
          <w:szCs w:val="24"/>
          <w:lang w:val="uk-UA" w:eastAsia="uk-UA"/>
        </w:rPr>
        <w:t>за</w:t>
      </w:r>
      <w:r w:rsidR="007E7A9C" w:rsidRPr="002D186F">
        <w:rPr>
          <w:sz w:val="24"/>
          <w:szCs w:val="24"/>
          <w:lang w:val="uk-UA" w:eastAsia="uk-UA"/>
        </w:rPr>
        <w:t xml:space="preserve"> </w:t>
      </w:r>
      <w:r w:rsidR="00BF2C55" w:rsidRPr="002D186F">
        <w:rPr>
          <w:sz w:val="24"/>
          <w:szCs w:val="24"/>
          <w:lang w:val="uk-UA" w:eastAsia="uk-UA"/>
        </w:rPr>
        <w:t xml:space="preserve">відповідний період </w:t>
      </w:r>
      <w:r w:rsidR="002A7DF9" w:rsidRPr="002D186F">
        <w:rPr>
          <w:sz w:val="24"/>
          <w:szCs w:val="24"/>
          <w:lang w:val="uk-UA" w:eastAsia="uk-UA"/>
        </w:rPr>
        <w:t>2017</w:t>
      </w:r>
      <w:r w:rsidR="002C6AE6" w:rsidRPr="002D186F">
        <w:rPr>
          <w:sz w:val="24"/>
          <w:szCs w:val="24"/>
          <w:lang w:val="uk-UA" w:eastAsia="uk-UA"/>
        </w:rPr>
        <w:t>, а саме</w:t>
      </w:r>
      <w:r w:rsidR="00325F58" w:rsidRPr="002D186F">
        <w:rPr>
          <w:sz w:val="24"/>
          <w:szCs w:val="24"/>
          <w:lang w:val="uk-UA" w:eastAsia="uk-UA"/>
        </w:rPr>
        <w:t xml:space="preserve">, </w:t>
      </w:r>
      <w:r w:rsidR="002833D4" w:rsidRPr="002D186F">
        <w:rPr>
          <w:sz w:val="24"/>
          <w:szCs w:val="24"/>
          <w:lang w:val="uk-UA"/>
        </w:rPr>
        <w:t>перераховано</w:t>
      </w:r>
      <w:r w:rsidR="00325F58" w:rsidRPr="002D186F">
        <w:rPr>
          <w:sz w:val="24"/>
          <w:szCs w:val="24"/>
          <w:lang w:val="uk-UA"/>
        </w:rPr>
        <w:t xml:space="preserve"> </w:t>
      </w:r>
      <w:r w:rsidR="00325F58" w:rsidRPr="002D186F">
        <w:rPr>
          <w:sz w:val="24"/>
          <w:szCs w:val="24"/>
          <w:lang w:val="uk-UA" w:eastAsia="uk-UA"/>
        </w:rPr>
        <w:t>до</w:t>
      </w:r>
      <w:r w:rsidR="001C3F0E" w:rsidRPr="002D186F">
        <w:rPr>
          <w:sz w:val="24"/>
          <w:szCs w:val="24"/>
          <w:lang w:val="uk-UA" w:eastAsia="uk-UA"/>
        </w:rPr>
        <w:t xml:space="preserve"> </w:t>
      </w:r>
      <w:r w:rsidR="00324EE1" w:rsidRPr="002D186F">
        <w:rPr>
          <w:sz w:val="24"/>
          <w:szCs w:val="24"/>
          <w:lang w:val="uk-UA"/>
        </w:rPr>
        <w:t>державного бюджету</w:t>
      </w:r>
      <w:r w:rsidR="002619A7" w:rsidRPr="002D186F">
        <w:rPr>
          <w:sz w:val="24"/>
          <w:szCs w:val="24"/>
          <w:lang w:val="uk-UA"/>
        </w:rPr>
        <w:t xml:space="preserve"> </w:t>
      </w:r>
      <w:r w:rsidR="00F73675">
        <w:rPr>
          <w:sz w:val="24"/>
          <w:szCs w:val="24"/>
          <w:lang w:val="uk-UA"/>
        </w:rPr>
        <w:t>107,9</w:t>
      </w:r>
      <w:r w:rsidR="00324EE1" w:rsidRPr="002D186F">
        <w:rPr>
          <w:sz w:val="24"/>
          <w:szCs w:val="24"/>
          <w:lang w:val="uk-UA"/>
        </w:rPr>
        <w:t xml:space="preserve"> млн</w:t>
      </w:r>
      <w:r w:rsidR="00D07F83" w:rsidRPr="002D186F">
        <w:rPr>
          <w:sz w:val="24"/>
          <w:szCs w:val="24"/>
          <w:lang w:val="uk-UA"/>
        </w:rPr>
        <w:t>.</w:t>
      </w:r>
      <w:r w:rsidR="00324EE1" w:rsidRPr="002D186F">
        <w:rPr>
          <w:sz w:val="24"/>
          <w:szCs w:val="24"/>
          <w:lang w:val="uk-UA"/>
        </w:rPr>
        <w:t xml:space="preserve"> </w:t>
      </w:r>
      <w:r w:rsidR="00D07F83" w:rsidRPr="002D186F">
        <w:rPr>
          <w:sz w:val="24"/>
          <w:szCs w:val="24"/>
          <w:lang w:val="uk-UA"/>
        </w:rPr>
        <w:t>грн.</w:t>
      </w:r>
      <w:r w:rsidR="001C3F0E" w:rsidRPr="002D186F">
        <w:rPr>
          <w:sz w:val="24"/>
          <w:szCs w:val="24"/>
          <w:lang w:val="uk-UA"/>
        </w:rPr>
        <w:t xml:space="preserve">, до </w:t>
      </w:r>
      <w:r w:rsidR="008C3951" w:rsidRPr="002D186F">
        <w:rPr>
          <w:sz w:val="24"/>
          <w:szCs w:val="24"/>
          <w:lang w:val="uk-UA"/>
        </w:rPr>
        <w:t xml:space="preserve">місцевого бюджету </w:t>
      </w:r>
      <w:r w:rsidR="00F73675">
        <w:rPr>
          <w:sz w:val="24"/>
          <w:szCs w:val="24"/>
          <w:lang w:val="uk-UA"/>
        </w:rPr>
        <w:t xml:space="preserve"> 53,6</w:t>
      </w:r>
      <w:r w:rsidR="00A9265C" w:rsidRPr="002D186F">
        <w:rPr>
          <w:sz w:val="24"/>
          <w:szCs w:val="24"/>
          <w:lang w:val="uk-UA"/>
        </w:rPr>
        <w:t xml:space="preserve"> млн</w:t>
      </w:r>
      <w:r w:rsidR="00190A36" w:rsidRPr="002D186F">
        <w:rPr>
          <w:sz w:val="24"/>
          <w:szCs w:val="24"/>
          <w:lang w:val="uk-UA"/>
        </w:rPr>
        <w:t>.</w:t>
      </w:r>
      <w:r w:rsidR="00D8337A" w:rsidRPr="002D186F">
        <w:rPr>
          <w:sz w:val="24"/>
          <w:szCs w:val="24"/>
          <w:lang w:val="uk-UA"/>
        </w:rPr>
        <w:t xml:space="preserve"> </w:t>
      </w:r>
      <w:r w:rsidR="00EB2C8C" w:rsidRPr="002D186F">
        <w:rPr>
          <w:sz w:val="24"/>
          <w:szCs w:val="24"/>
          <w:lang w:val="uk-UA"/>
        </w:rPr>
        <w:t>грн.</w:t>
      </w:r>
      <w:r w:rsidR="001C3F0E" w:rsidRPr="002D186F">
        <w:rPr>
          <w:sz w:val="24"/>
          <w:szCs w:val="24"/>
          <w:lang w:val="uk-UA"/>
        </w:rPr>
        <w:t xml:space="preserve"> та до </w:t>
      </w:r>
      <w:r w:rsidR="00324EE1" w:rsidRPr="002D186F">
        <w:rPr>
          <w:sz w:val="24"/>
          <w:szCs w:val="24"/>
          <w:lang w:val="uk-UA"/>
        </w:rPr>
        <w:t xml:space="preserve">державних цільових фондів </w:t>
      </w:r>
      <w:r w:rsidR="00F73675">
        <w:rPr>
          <w:sz w:val="24"/>
          <w:szCs w:val="24"/>
          <w:lang w:val="uk-UA"/>
        </w:rPr>
        <w:t>42,3</w:t>
      </w:r>
      <w:r w:rsidR="00D70255" w:rsidRPr="002D186F">
        <w:rPr>
          <w:sz w:val="24"/>
          <w:szCs w:val="24"/>
          <w:lang w:val="uk-UA"/>
        </w:rPr>
        <w:t xml:space="preserve"> </w:t>
      </w:r>
      <w:r w:rsidR="00324EE1" w:rsidRPr="002D186F">
        <w:rPr>
          <w:sz w:val="24"/>
          <w:szCs w:val="24"/>
          <w:lang w:val="uk-UA"/>
        </w:rPr>
        <w:t>млн</w:t>
      </w:r>
      <w:r w:rsidR="00190A36" w:rsidRPr="002D186F">
        <w:rPr>
          <w:sz w:val="24"/>
          <w:szCs w:val="24"/>
          <w:lang w:val="uk-UA"/>
        </w:rPr>
        <w:t>.</w:t>
      </w:r>
      <w:r w:rsidR="00324EE1" w:rsidRPr="002D186F">
        <w:rPr>
          <w:sz w:val="24"/>
          <w:szCs w:val="24"/>
          <w:lang w:val="uk-UA"/>
        </w:rPr>
        <w:t xml:space="preserve"> </w:t>
      </w:r>
      <w:r w:rsidR="00C32E75" w:rsidRPr="002D186F">
        <w:rPr>
          <w:sz w:val="24"/>
          <w:szCs w:val="24"/>
          <w:lang w:val="uk-UA"/>
        </w:rPr>
        <w:t>грн.</w:t>
      </w:r>
    </w:p>
    <w:p w:rsidR="00963AB9" w:rsidRPr="002D186F" w:rsidRDefault="00E7236B" w:rsidP="00FA66A0">
      <w:pPr>
        <w:ind w:firstLine="709"/>
        <w:jc w:val="both"/>
        <w:rPr>
          <w:sz w:val="24"/>
          <w:szCs w:val="24"/>
          <w:lang w:val="uk-UA"/>
        </w:rPr>
      </w:pPr>
      <w:r w:rsidRPr="002D186F">
        <w:rPr>
          <w:b/>
          <w:sz w:val="24"/>
          <w:szCs w:val="24"/>
          <w:lang w:val="uk-UA"/>
        </w:rPr>
        <w:t>У порівнянні з планом</w:t>
      </w:r>
      <w:r w:rsidR="00F73675">
        <w:rPr>
          <w:sz w:val="24"/>
          <w:szCs w:val="24"/>
          <w:lang w:val="uk-UA"/>
        </w:rPr>
        <w:t xml:space="preserve"> зменшено платежів на  95,2</w:t>
      </w:r>
      <w:r w:rsidR="00A42ECB" w:rsidRPr="002D186F">
        <w:rPr>
          <w:sz w:val="24"/>
          <w:szCs w:val="24"/>
          <w:lang w:val="uk-UA"/>
        </w:rPr>
        <w:t xml:space="preserve"> млн. грн.</w:t>
      </w:r>
      <w:r w:rsidR="00DD5257" w:rsidRPr="002D186F">
        <w:rPr>
          <w:sz w:val="24"/>
          <w:szCs w:val="24"/>
          <w:lang w:val="uk-UA"/>
        </w:rPr>
        <w:t>,</w:t>
      </w:r>
      <w:r w:rsidR="00A42ECB" w:rsidRPr="002D186F">
        <w:rPr>
          <w:sz w:val="24"/>
          <w:szCs w:val="24"/>
          <w:lang w:val="uk-UA"/>
        </w:rPr>
        <w:t xml:space="preserve"> у тому числі зі сплати </w:t>
      </w:r>
      <w:r w:rsidR="00E1347A" w:rsidRPr="002D186F">
        <w:rPr>
          <w:sz w:val="24"/>
          <w:szCs w:val="24"/>
          <w:lang w:val="uk-UA"/>
        </w:rPr>
        <w:t xml:space="preserve">податку прибуток </w:t>
      </w:r>
      <w:r w:rsidR="00F73675">
        <w:rPr>
          <w:sz w:val="24"/>
          <w:szCs w:val="24"/>
          <w:lang w:val="uk-UA"/>
        </w:rPr>
        <w:t>на 33,9</w:t>
      </w:r>
      <w:r w:rsidR="00841B6B" w:rsidRPr="002D186F">
        <w:rPr>
          <w:sz w:val="24"/>
          <w:szCs w:val="24"/>
          <w:lang w:val="uk-UA"/>
        </w:rPr>
        <w:t xml:space="preserve"> </w:t>
      </w:r>
      <w:r w:rsidR="002D3A77" w:rsidRPr="002D186F">
        <w:rPr>
          <w:sz w:val="24"/>
          <w:szCs w:val="24"/>
          <w:lang w:val="uk-UA"/>
        </w:rPr>
        <w:t xml:space="preserve">млн. грн., відрахувань </w:t>
      </w:r>
      <w:r w:rsidR="00F73675">
        <w:rPr>
          <w:sz w:val="24"/>
          <w:szCs w:val="24"/>
          <w:lang w:val="uk-UA"/>
        </w:rPr>
        <w:t>частини чистого прибутку на 70,9</w:t>
      </w:r>
      <w:r w:rsidR="002D3A77" w:rsidRPr="002D186F">
        <w:rPr>
          <w:sz w:val="24"/>
          <w:szCs w:val="24"/>
          <w:lang w:val="uk-UA"/>
        </w:rPr>
        <w:t xml:space="preserve"> млн. грн.  та  ПДВ на</w:t>
      </w:r>
      <w:r w:rsidR="00F73675">
        <w:rPr>
          <w:sz w:val="24"/>
          <w:szCs w:val="24"/>
          <w:lang w:val="uk-UA"/>
        </w:rPr>
        <w:t xml:space="preserve"> 13</w:t>
      </w:r>
      <w:r w:rsidR="008C3951" w:rsidRPr="002D186F">
        <w:rPr>
          <w:sz w:val="24"/>
          <w:szCs w:val="24"/>
          <w:lang w:val="uk-UA"/>
        </w:rPr>
        <w:t>,4</w:t>
      </w:r>
      <w:r w:rsidR="002D3A77" w:rsidRPr="002D186F">
        <w:rPr>
          <w:sz w:val="24"/>
          <w:szCs w:val="24"/>
          <w:lang w:val="uk-UA"/>
        </w:rPr>
        <w:t xml:space="preserve"> млн. грн. у зв’язку зі зменшенням обсягів доходів та фінансового результату звітного періоду</w:t>
      </w:r>
      <w:r w:rsidR="00A95EA4" w:rsidRPr="002D186F">
        <w:rPr>
          <w:sz w:val="24"/>
          <w:szCs w:val="24"/>
          <w:lang w:val="uk-UA"/>
        </w:rPr>
        <w:t xml:space="preserve">. </w:t>
      </w:r>
      <w:r w:rsidR="00DD5257" w:rsidRPr="002D186F">
        <w:rPr>
          <w:sz w:val="24"/>
          <w:szCs w:val="24"/>
          <w:lang w:val="uk-UA"/>
        </w:rPr>
        <w:t>Підприємство не має простроченої заборгованості п</w:t>
      </w:r>
      <w:r w:rsidR="00324EE1" w:rsidRPr="002D186F">
        <w:rPr>
          <w:sz w:val="24"/>
          <w:szCs w:val="24"/>
          <w:lang w:val="uk-UA"/>
        </w:rPr>
        <w:t>о розрахунка</w:t>
      </w:r>
      <w:r w:rsidR="00230627" w:rsidRPr="002D186F">
        <w:rPr>
          <w:sz w:val="24"/>
          <w:szCs w:val="24"/>
          <w:lang w:val="uk-UA"/>
        </w:rPr>
        <w:t>х</w:t>
      </w:r>
      <w:r w:rsidR="00324EE1" w:rsidRPr="002D186F">
        <w:rPr>
          <w:sz w:val="24"/>
          <w:szCs w:val="24"/>
          <w:lang w:val="uk-UA"/>
        </w:rPr>
        <w:t xml:space="preserve"> з бюджетом </w:t>
      </w:r>
      <w:r w:rsidR="00375DB9" w:rsidRPr="002D186F">
        <w:rPr>
          <w:sz w:val="24"/>
          <w:szCs w:val="24"/>
          <w:lang w:val="uk-UA"/>
        </w:rPr>
        <w:t>і позабюджетними фондами</w:t>
      </w:r>
      <w:r w:rsidR="00B01131" w:rsidRPr="002D186F">
        <w:rPr>
          <w:sz w:val="24"/>
          <w:szCs w:val="24"/>
          <w:lang w:val="uk-UA"/>
        </w:rPr>
        <w:t>.</w:t>
      </w:r>
    </w:p>
    <w:p w:rsidR="00E83C49" w:rsidRPr="002D186F" w:rsidRDefault="00E83C49" w:rsidP="00FA66A0">
      <w:pPr>
        <w:ind w:firstLine="709"/>
        <w:jc w:val="both"/>
        <w:rPr>
          <w:sz w:val="24"/>
          <w:szCs w:val="24"/>
          <w:lang w:val="uk-UA"/>
        </w:rPr>
      </w:pPr>
    </w:p>
    <w:p w:rsidR="00482346" w:rsidRDefault="00482346">
      <w:pPr>
        <w:jc w:val="center"/>
        <w:rPr>
          <w:b/>
          <w:sz w:val="24"/>
          <w:szCs w:val="24"/>
          <w:u w:val="single"/>
          <w:lang w:val="uk-UA"/>
        </w:rPr>
      </w:pPr>
      <w:r w:rsidRPr="002D186F">
        <w:rPr>
          <w:b/>
          <w:sz w:val="24"/>
          <w:szCs w:val="24"/>
          <w:u w:val="single"/>
          <w:lang w:val="uk-UA"/>
        </w:rPr>
        <w:t xml:space="preserve">Виконання плану </w:t>
      </w:r>
      <w:r w:rsidR="00920185" w:rsidRPr="002D186F">
        <w:rPr>
          <w:b/>
          <w:sz w:val="24"/>
          <w:szCs w:val="24"/>
          <w:u w:val="single"/>
          <w:lang w:val="uk-UA"/>
        </w:rPr>
        <w:t>капітальних</w:t>
      </w:r>
      <w:r w:rsidRPr="002D186F">
        <w:rPr>
          <w:b/>
          <w:sz w:val="24"/>
          <w:szCs w:val="24"/>
          <w:u w:val="single"/>
          <w:lang w:val="uk-UA"/>
        </w:rPr>
        <w:t xml:space="preserve"> інвестицій у виробництво</w:t>
      </w:r>
    </w:p>
    <w:p w:rsidR="00A24491" w:rsidRPr="002D186F" w:rsidRDefault="00A24491">
      <w:pPr>
        <w:jc w:val="center"/>
        <w:rPr>
          <w:b/>
          <w:sz w:val="24"/>
          <w:szCs w:val="24"/>
          <w:u w:val="single"/>
          <w:lang w:val="uk-UA"/>
        </w:rPr>
      </w:pPr>
    </w:p>
    <w:p w:rsidR="00841B6B" w:rsidRPr="008F0D7C" w:rsidRDefault="00841B6B" w:rsidP="0071717D">
      <w:pPr>
        <w:ind w:firstLine="709"/>
        <w:jc w:val="both"/>
        <w:rPr>
          <w:bCs/>
          <w:iCs/>
          <w:sz w:val="24"/>
          <w:szCs w:val="24"/>
          <w:lang w:val="uk-UA"/>
        </w:rPr>
      </w:pPr>
      <w:r w:rsidRPr="008F0D7C">
        <w:rPr>
          <w:bCs/>
          <w:iCs/>
          <w:sz w:val="24"/>
          <w:szCs w:val="24"/>
          <w:lang w:val="uk-UA"/>
        </w:rPr>
        <w:t xml:space="preserve">У </w:t>
      </w:r>
      <w:r w:rsidRPr="008F0D7C">
        <w:rPr>
          <w:sz w:val="24"/>
          <w:szCs w:val="24"/>
          <w:lang w:val="uk-UA"/>
        </w:rPr>
        <w:t>звітному</w:t>
      </w:r>
      <w:r w:rsidRPr="008F0D7C">
        <w:rPr>
          <w:bCs/>
          <w:iCs/>
          <w:sz w:val="24"/>
          <w:szCs w:val="24"/>
          <w:lang w:val="uk-UA"/>
        </w:rPr>
        <w:t xml:space="preserve"> періоді ДП «Одеський порт»  </w:t>
      </w:r>
      <w:r w:rsidRPr="008F0D7C">
        <w:rPr>
          <w:b/>
          <w:bCs/>
          <w:iCs/>
          <w:sz w:val="24"/>
          <w:szCs w:val="24"/>
          <w:lang w:val="uk-UA"/>
        </w:rPr>
        <w:t>здійснено</w:t>
      </w:r>
      <w:r w:rsidR="002A7DF9" w:rsidRPr="008F0D7C">
        <w:rPr>
          <w:b/>
          <w:bCs/>
          <w:iCs/>
          <w:sz w:val="24"/>
          <w:szCs w:val="24"/>
          <w:lang w:val="uk-UA"/>
        </w:rPr>
        <w:t xml:space="preserve"> інвестицій на суму </w:t>
      </w:r>
      <w:r w:rsidRPr="008F0D7C">
        <w:rPr>
          <w:b/>
          <w:bCs/>
          <w:iCs/>
          <w:sz w:val="24"/>
          <w:szCs w:val="24"/>
          <w:lang w:val="uk-UA"/>
        </w:rPr>
        <w:t xml:space="preserve"> </w:t>
      </w:r>
      <w:r w:rsidR="00DE6776">
        <w:rPr>
          <w:b/>
          <w:bCs/>
          <w:iCs/>
          <w:sz w:val="24"/>
          <w:szCs w:val="24"/>
          <w:lang w:val="uk-UA"/>
        </w:rPr>
        <w:t>62 005</w:t>
      </w:r>
      <w:r w:rsidR="0071717D" w:rsidRPr="008F0D7C">
        <w:rPr>
          <w:b/>
          <w:bCs/>
          <w:iCs/>
          <w:sz w:val="24"/>
          <w:szCs w:val="24"/>
          <w:lang w:val="uk-UA"/>
        </w:rPr>
        <w:t xml:space="preserve"> </w:t>
      </w:r>
      <w:r w:rsidRPr="008F0D7C">
        <w:rPr>
          <w:b/>
          <w:bCs/>
          <w:iCs/>
          <w:sz w:val="24"/>
          <w:szCs w:val="24"/>
          <w:lang w:val="uk-UA"/>
        </w:rPr>
        <w:t>тис. грн.</w:t>
      </w:r>
      <w:r w:rsidRPr="008F0D7C">
        <w:rPr>
          <w:bCs/>
          <w:iCs/>
          <w:sz w:val="24"/>
          <w:szCs w:val="24"/>
          <w:lang w:val="uk-UA"/>
        </w:rPr>
        <w:t xml:space="preserve"> у тому числі:</w:t>
      </w:r>
    </w:p>
    <w:p w:rsidR="00F73675" w:rsidRPr="00F73675" w:rsidRDefault="00F73675" w:rsidP="0071717D">
      <w:pPr>
        <w:ind w:firstLine="709"/>
        <w:jc w:val="both"/>
        <w:rPr>
          <w:bCs/>
          <w:iCs/>
          <w:sz w:val="24"/>
          <w:szCs w:val="24"/>
          <w:highlight w:val="green"/>
          <w:lang w:val="uk-UA"/>
        </w:rPr>
      </w:pPr>
      <w:r>
        <w:rPr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r>
        <w:rPr>
          <w:i/>
          <w:sz w:val="24"/>
          <w:szCs w:val="24"/>
        </w:rPr>
        <w:t>Таблиця 7</w:t>
      </w:r>
      <w:r w:rsidRPr="002D186F">
        <w:rPr>
          <w:i/>
          <w:sz w:val="24"/>
          <w:szCs w:val="24"/>
        </w:rPr>
        <w:t xml:space="preserve">, тис. </w:t>
      </w:r>
      <w:r>
        <w:rPr>
          <w:i/>
          <w:sz w:val="24"/>
          <w:szCs w:val="24"/>
        </w:rPr>
        <w:t>г</w:t>
      </w:r>
      <w:r w:rsidRPr="002D186F">
        <w:rPr>
          <w:i/>
          <w:sz w:val="24"/>
          <w:szCs w:val="24"/>
        </w:rPr>
        <w:t>рн</w:t>
      </w:r>
      <w:r>
        <w:rPr>
          <w:i/>
          <w:sz w:val="24"/>
          <w:szCs w:val="24"/>
          <w:lang w:val="uk-UA"/>
        </w:rPr>
        <w:t>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689"/>
        <w:gridCol w:w="842"/>
        <w:gridCol w:w="992"/>
        <w:gridCol w:w="993"/>
        <w:gridCol w:w="992"/>
        <w:gridCol w:w="3268"/>
      </w:tblGrid>
      <w:tr w:rsidR="0095317B" w:rsidRPr="0095317B" w:rsidTr="0095317B">
        <w:trPr>
          <w:trHeight w:val="1890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5317B" w:rsidRPr="0095317B" w:rsidRDefault="0095317B" w:rsidP="0095317B">
            <w:pPr>
              <w:jc w:val="center"/>
              <w:rPr>
                <w:b/>
                <w:bCs/>
              </w:rPr>
            </w:pPr>
            <w:r w:rsidRPr="0095317B">
              <w:rPr>
                <w:b/>
                <w:bCs/>
              </w:rPr>
              <w:t>Показники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5317B" w:rsidRPr="0095317B" w:rsidRDefault="0095317B" w:rsidP="0095317B">
            <w:pPr>
              <w:jc w:val="center"/>
              <w:rPr>
                <w:b/>
                <w:bCs/>
              </w:rPr>
            </w:pPr>
            <w:r w:rsidRPr="0095317B">
              <w:rPr>
                <w:b/>
                <w:bCs/>
              </w:rPr>
              <w:t>План 2018 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5317B" w:rsidRPr="0095317B" w:rsidRDefault="0095317B" w:rsidP="0095317B">
            <w:pPr>
              <w:jc w:val="center"/>
              <w:rPr>
                <w:b/>
                <w:bCs/>
              </w:rPr>
            </w:pPr>
            <w:r w:rsidRPr="0095317B">
              <w:rPr>
                <w:b/>
                <w:bCs/>
              </w:rPr>
              <w:t>Звіт 2018 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5317B" w:rsidRPr="0095317B" w:rsidRDefault="0095317B" w:rsidP="0095317B">
            <w:pPr>
              <w:jc w:val="center"/>
              <w:rPr>
                <w:b/>
                <w:bCs/>
              </w:rPr>
            </w:pPr>
            <w:r w:rsidRPr="0095317B">
              <w:rPr>
                <w:b/>
                <w:bCs/>
              </w:rPr>
              <w:t>Відх.  звіту  2018 р до плану 2018 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5317B" w:rsidRPr="0095317B" w:rsidRDefault="0095317B" w:rsidP="0095317B">
            <w:pPr>
              <w:jc w:val="center"/>
              <w:rPr>
                <w:b/>
                <w:bCs/>
              </w:rPr>
            </w:pPr>
            <w:r w:rsidRPr="0095317B">
              <w:rPr>
                <w:b/>
                <w:bCs/>
              </w:rPr>
              <w:t>Відн. звіту  2018 р до плану 2018 р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5317B" w:rsidRPr="0095317B" w:rsidRDefault="0095317B" w:rsidP="0095317B">
            <w:pPr>
              <w:rPr>
                <w:b/>
                <w:bCs/>
              </w:rPr>
            </w:pPr>
            <w:r w:rsidRPr="0095317B">
              <w:rPr>
                <w:b/>
                <w:bCs/>
              </w:rPr>
              <w:t xml:space="preserve">Пояснення </w:t>
            </w:r>
          </w:p>
        </w:tc>
      </w:tr>
      <w:tr w:rsidR="0095317B" w:rsidRPr="0095317B" w:rsidTr="0095317B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7B" w:rsidRPr="0095317B" w:rsidRDefault="0095317B" w:rsidP="0095317B">
            <w:pPr>
              <w:rPr>
                <w:b/>
                <w:bCs/>
              </w:rPr>
            </w:pPr>
            <w:r w:rsidRPr="0095317B">
              <w:rPr>
                <w:b/>
                <w:bCs/>
              </w:rPr>
              <w:t>Капітальні інвестиції, усього, у тому числі: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/>
                <w:bCs/>
              </w:rPr>
            </w:pPr>
            <w:r w:rsidRPr="0095317B">
              <w:rPr>
                <w:b/>
                <w:bCs/>
              </w:rPr>
              <w:t>73 762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/>
                <w:bCs/>
              </w:rPr>
            </w:pPr>
            <w:r w:rsidRPr="0095317B">
              <w:rPr>
                <w:b/>
                <w:bCs/>
              </w:rPr>
              <w:t>62 005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/>
                <w:bCs/>
              </w:rPr>
            </w:pPr>
            <w:r w:rsidRPr="0095317B">
              <w:rPr>
                <w:b/>
                <w:bCs/>
              </w:rPr>
              <w:t>-11 757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/>
                <w:bCs/>
              </w:rPr>
            </w:pPr>
            <w:r w:rsidRPr="0095317B">
              <w:rPr>
                <w:b/>
                <w:bCs/>
              </w:rPr>
              <w:t>84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7B" w:rsidRPr="0095317B" w:rsidRDefault="0095317B" w:rsidP="0095317B">
            <w:pPr>
              <w:rPr>
                <w:b/>
                <w:bCs/>
              </w:rPr>
            </w:pPr>
            <w:r w:rsidRPr="0095317B">
              <w:rPr>
                <w:b/>
                <w:bCs/>
              </w:rPr>
              <w:t> </w:t>
            </w:r>
          </w:p>
        </w:tc>
      </w:tr>
      <w:tr w:rsidR="0095317B" w:rsidRPr="0095317B" w:rsidTr="0095317B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7B" w:rsidRPr="0095317B" w:rsidRDefault="0095317B" w:rsidP="0095317B">
            <w:pPr>
              <w:rPr>
                <w:bCs/>
              </w:rPr>
            </w:pPr>
            <w:r w:rsidRPr="0095317B">
              <w:rPr>
                <w:bCs/>
              </w:rPr>
              <w:lastRenderedPageBreak/>
              <w:t>1. Капітальне будівництво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-1 500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7B" w:rsidRPr="0095317B" w:rsidRDefault="0095317B" w:rsidP="0095317B">
            <w:pPr>
              <w:rPr>
                <w:bCs/>
              </w:rPr>
            </w:pPr>
            <w:r w:rsidRPr="0095317B">
              <w:rPr>
                <w:bCs/>
              </w:rPr>
              <w:t>Перенесення на наступний період відповідно до рішення техради</w:t>
            </w:r>
          </w:p>
        </w:tc>
      </w:tr>
      <w:tr w:rsidR="0095317B" w:rsidRPr="0095317B" w:rsidTr="0095317B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7B" w:rsidRPr="0095317B" w:rsidRDefault="0095317B" w:rsidP="0095317B">
            <w:pPr>
              <w:rPr>
                <w:bCs/>
              </w:rPr>
            </w:pPr>
            <w:r w:rsidRPr="0095317B">
              <w:rPr>
                <w:bCs/>
              </w:rPr>
              <w:t>2. Придбання ОЗ та нематеріальних активів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46 421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50 019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3 598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108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7B" w:rsidRPr="0095317B" w:rsidRDefault="0095317B" w:rsidP="0095317B">
            <w:pPr>
              <w:rPr>
                <w:bCs/>
              </w:rPr>
            </w:pPr>
            <w:r w:rsidRPr="0095317B">
              <w:rPr>
                <w:bCs/>
              </w:rPr>
              <w:t> </w:t>
            </w:r>
          </w:p>
        </w:tc>
      </w:tr>
      <w:tr w:rsidR="0095317B" w:rsidRPr="0095317B" w:rsidTr="0095317B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7B" w:rsidRPr="0095317B" w:rsidRDefault="0095317B" w:rsidP="0095317B">
            <w:pPr>
              <w:rPr>
                <w:bCs/>
              </w:rPr>
            </w:pPr>
            <w:r w:rsidRPr="0095317B">
              <w:rPr>
                <w:bCs/>
              </w:rPr>
              <w:t>2.1. Придбання (виготовлення) основних засобів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23 736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22 483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-1 253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95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7B" w:rsidRPr="0095317B" w:rsidRDefault="0095317B" w:rsidP="0095317B">
            <w:pPr>
              <w:rPr>
                <w:bCs/>
              </w:rPr>
            </w:pPr>
            <w:r w:rsidRPr="0095317B">
              <w:rPr>
                <w:bCs/>
              </w:rPr>
              <w:t xml:space="preserve">Зменшення обсягів придбання оргтехники та компьютерів </w:t>
            </w:r>
          </w:p>
        </w:tc>
      </w:tr>
      <w:tr w:rsidR="0095317B" w:rsidRPr="0095317B" w:rsidTr="0095317B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7B" w:rsidRPr="0095317B" w:rsidRDefault="0095317B" w:rsidP="0095317B">
            <w:pPr>
              <w:rPr>
                <w:bCs/>
              </w:rPr>
            </w:pPr>
            <w:r w:rsidRPr="0095317B">
              <w:rPr>
                <w:bCs/>
              </w:rPr>
              <w:t>2.2 Придбання (виготовлення) інших необоротних матеріальних активів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2 102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2 697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128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7B" w:rsidRPr="0095317B" w:rsidRDefault="0095317B" w:rsidP="0095317B">
            <w:pPr>
              <w:rPr>
                <w:bCs/>
              </w:rPr>
            </w:pPr>
            <w:r w:rsidRPr="0095317B">
              <w:rPr>
                <w:bCs/>
              </w:rPr>
              <w:t>Придбання спецодягу  та освітлювального обладнання</w:t>
            </w:r>
          </w:p>
        </w:tc>
      </w:tr>
      <w:tr w:rsidR="0095317B" w:rsidRPr="0095317B" w:rsidTr="0095317B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7B" w:rsidRPr="0095317B" w:rsidRDefault="0095317B" w:rsidP="0095317B">
            <w:pPr>
              <w:rPr>
                <w:bCs/>
              </w:rPr>
            </w:pPr>
            <w:r w:rsidRPr="0095317B">
              <w:rPr>
                <w:bCs/>
              </w:rPr>
              <w:t>2.3 Придбання (створення) нематеріальних активів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20 583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24 839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4 256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121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7B" w:rsidRPr="0095317B" w:rsidRDefault="0095317B" w:rsidP="0095317B">
            <w:pPr>
              <w:rPr>
                <w:bCs/>
              </w:rPr>
            </w:pPr>
            <w:r w:rsidRPr="0095317B">
              <w:rPr>
                <w:bCs/>
              </w:rPr>
              <w:t xml:space="preserve">Придбання програмного забезпечення з метою відмови від ПО, розробленого у Російскої Федерації </w:t>
            </w:r>
          </w:p>
        </w:tc>
      </w:tr>
      <w:tr w:rsidR="0095317B" w:rsidRPr="0095317B" w:rsidTr="0095317B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7B" w:rsidRPr="0095317B" w:rsidRDefault="0095317B" w:rsidP="0095317B">
            <w:pPr>
              <w:rPr>
                <w:bCs/>
              </w:rPr>
            </w:pPr>
            <w:r w:rsidRPr="0095317B">
              <w:rPr>
                <w:bCs/>
              </w:rPr>
              <w:t>3. Модернізація, модифікація (добудова, дообладнання, реконструкція) основних засобів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25 841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11 986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-13 855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7B" w:rsidRPr="0095317B" w:rsidRDefault="0095317B" w:rsidP="0095317B">
            <w:pPr>
              <w:jc w:val="right"/>
              <w:rPr>
                <w:bCs/>
              </w:rPr>
            </w:pPr>
            <w:r w:rsidRPr="0095317B">
              <w:rPr>
                <w:bCs/>
              </w:rPr>
              <w:t>46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7B" w:rsidRPr="0095317B" w:rsidRDefault="0095317B" w:rsidP="0095317B">
            <w:pPr>
              <w:rPr>
                <w:bCs/>
              </w:rPr>
            </w:pPr>
            <w:r w:rsidRPr="0095317B">
              <w:rPr>
                <w:bCs/>
              </w:rPr>
              <w:t>Недоцільність впровадження опалення пелетними котлами, (економія 4,8 млн.грн.), зміна об'єкту реконструкції автобази (зменшення на 7,7 млн.грн.), зменшення обсягів по інших об'єктах.</w:t>
            </w:r>
          </w:p>
        </w:tc>
      </w:tr>
    </w:tbl>
    <w:p w:rsidR="00F73675" w:rsidRPr="0095317B" w:rsidRDefault="00F73675" w:rsidP="0071717D">
      <w:pPr>
        <w:ind w:firstLine="709"/>
        <w:jc w:val="both"/>
        <w:rPr>
          <w:bCs/>
          <w:iCs/>
          <w:sz w:val="24"/>
          <w:szCs w:val="24"/>
          <w:highlight w:val="green"/>
        </w:rPr>
      </w:pPr>
    </w:p>
    <w:p w:rsidR="0071717D" w:rsidRPr="0071717D" w:rsidRDefault="0071717D" w:rsidP="0071717D">
      <w:pPr>
        <w:jc w:val="both"/>
        <w:rPr>
          <w:sz w:val="24"/>
          <w:szCs w:val="24"/>
          <w:lang w:val="uk-UA"/>
        </w:rPr>
      </w:pPr>
    </w:p>
    <w:p w:rsidR="00822B82" w:rsidRPr="002D186F" w:rsidRDefault="00822B82" w:rsidP="00822B82">
      <w:pPr>
        <w:pStyle w:val="30"/>
        <w:ind w:left="728"/>
        <w:rPr>
          <w:bCs/>
          <w:iCs/>
          <w:sz w:val="24"/>
          <w:szCs w:val="24"/>
        </w:rPr>
      </w:pPr>
    </w:p>
    <w:p w:rsidR="00C32E75" w:rsidRPr="002D186F" w:rsidRDefault="004F18AD">
      <w:pPr>
        <w:jc w:val="center"/>
        <w:rPr>
          <w:b/>
          <w:sz w:val="24"/>
          <w:szCs w:val="24"/>
          <w:u w:val="single"/>
          <w:lang w:val="uk-UA"/>
        </w:rPr>
      </w:pPr>
      <w:r w:rsidRPr="002D186F">
        <w:rPr>
          <w:b/>
          <w:sz w:val="24"/>
          <w:szCs w:val="24"/>
          <w:u w:val="single"/>
          <w:lang w:val="uk-UA"/>
        </w:rPr>
        <w:t>Стан простроче</w:t>
      </w:r>
      <w:r w:rsidR="009D4900" w:rsidRPr="002D186F">
        <w:rPr>
          <w:b/>
          <w:sz w:val="24"/>
          <w:szCs w:val="24"/>
          <w:u w:val="single"/>
          <w:lang w:val="uk-UA"/>
        </w:rPr>
        <w:t>ної дебіторської заборгованості</w:t>
      </w:r>
    </w:p>
    <w:p w:rsidR="00D369F3" w:rsidRPr="002D186F" w:rsidRDefault="00D369F3">
      <w:pPr>
        <w:jc w:val="center"/>
        <w:rPr>
          <w:b/>
          <w:sz w:val="24"/>
          <w:szCs w:val="24"/>
          <w:u w:val="single"/>
          <w:lang w:val="uk-UA"/>
        </w:rPr>
      </w:pPr>
    </w:p>
    <w:p w:rsidR="007E7A9C" w:rsidRPr="002D186F" w:rsidRDefault="007E7A9C" w:rsidP="007E7A9C">
      <w:pPr>
        <w:ind w:firstLine="709"/>
        <w:jc w:val="both"/>
        <w:rPr>
          <w:sz w:val="24"/>
          <w:szCs w:val="24"/>
          <w:lang w:val="uk-UA"/>
        </w:rPr>
      </w:pPr>
      <w:r w:rsidRPr="002D186F">
        <w:rPr>
          <w:sz w:val="24"/>
          <w:szCs w:val="24"/>
          <w:lang w:val="uk-UA"/>
        </w:rPr>
        <w:t>С</w:t>
      </w:r>
      <w:r w:rsidR="003A5805">
        <w:rPr>
          <w:sz w:val="24"/>
          <w:szCs w:val="24"/>
          <w:lang w:val="uk-UA"/>
        </w:rPr>
        <w:t>таном на 01.01.2019</w:t>
      </w:r>
      <w:r w:rsidRPr="002D186F">
        <w:rPr>
          <w:sz w:val="24"/>
          <w:szCs w:val="24"/>
          <w:lang w:val="uk-UA"/>
        </w:rPr>
        <w:t xml:space="preserve"> прострочена дебіторська заборгованість склала </w:t>
      </w:r>
      <w:r w:rsidR="00A24491">
        <w:rPr>
          <w:sz w:val="24"/>
          <w:szCs w:val="24"/>
          <w:lang w:val="uk-UA"/>
        </w:rPr>
        <w:br/>
        <w:t>34,9</w:t>
      </w:r>
      <w:r w:rsidRPr="002D186F">
        <w:rPr>
          <w:sz w:val="24"/>
          <w:szCs w:val="24"/>
          <w:lang w:val="uk-UA"/>
        </w:rPr>
        <w:t> </w:t>
      </w:r>
      <w:r w:rsidR="001A0856" w:rsidRPr="002D186F">
        <w:rPr>
          <w:sz w:val="24"/>
          <w:szCs w:val="24"/>
          <w:lang w:val="uk-UA"/>
        </w:rPr>
        <w:t>млн. грн. - зменшено</w:t>
      </w:r>
      <w:r w:rsidRPr="002D186F">
        <w:rPr>
          <w:sz w:val="24"/>
          <w:szCs w:val="24"/>
          <w:lang w:val="uk-UA"/>
        </w:rPr>
        <w:t xml:space="preserve"> на </w:t>
      </w:r>
      <w:r w:rsidR="00A24491">
        <w:rPr>
          <w:sz w:val="24"/>
          <w:szCs w:val="24"/>
          <w:lang w:val="uk-UA"/>
        </w:rPr>
        <w:t>2,6</w:t>
      </w:r>
      <w:r w:rsidRPr="002D186F">
        <w:rPr>
          <w:sz w:val="24"/>
          <w:szCs w:val="24"/>
          <w:lang w:val="uk-UA"/>
        </w:rPr>
        <w:t xml:space="preserve"> млн. грн</w:t>
      </w:r>
      <w:r w:rsidR="00841B6B" w:rsidRPr="002D186F">
        <w:rPr>
          <w:sz w:val="24"/>
          <w:szCs w:val="24"/>
          <w:lang w:val="uk-UA"/>
        </w:rPr>
        <w:t>.</w:t>
      </w:r>
      <w:r w:rsidR="003A5805">
        <w:rPr>
          <w:sz w:val="24"/>
          <w:szCs w:val="24"/>
          <w:lang w:val="uk-UA"/>
        </w:rPr>
        <w:t xml:space="preserve"> в порівнянні зі станом на 01.10</w:t>
      </w:r>
      <w:r w:rsidR="00CB7F81" w:rsidRPr="002D186F">
        <w:rPr>
          <w:sz w:val="24"/>
          <w:szCs w:val="24"/>
          <w:lang w:val="uk-UA"/>
        </w:rPr>
        <w:t>.2018</w:t>
      </w:r>
      <w:r w:rsidRPr="002D186F">
        <w:rPr>
          <w:sz w:val="24"/>
          <w:szCs w:val="24"/>
          <w:lang w:val="uk-UA"/>
        </w:rPr>
        <w:t>.</w:t>
      </w:r>
    </w:p>
    <w:p w:rsidR="007E7A9C" w:rsidRPr="002D186F" w:rsidRDefault="007E7A9C" w:rsidP="007E7A9C">
      <w:pPr>
        <w:ind w:firstLine="709"/>
        <w:jc w:val="both"/>
        <w:rPr>
          <w:sz w:val="24"/>
          <w:szCs w:val="24"/>
          <w:lang w:val="uk-UA"/>
        </w:rPr>
      </w:pPr>
      <w:r w:rsidRPr="002D186F">
        <w:rPr>
          <w:sz w:val="24"/>
          <w:szCs w:val="24"/>
          <w:lang w:val="uk-UA"/>
        </w:rPr>
        <w:t>ДП «Одеський порт» не має простроченої заборгованості з обов’язкових платежів до Держбюджету та державних цільових фондів, а також з виплати заробітної плати.</w:t>
      </w:r>
    </w:p>
    <w:p w:rsidR="008825D0" w:rsidRPr="002D186F" w:rsidRDefault="008825D0" w:rsidP="00FA66A0">
      <w:pPr>
        <w:ind w:firstLine="567"/>
        <w:jc w:val="both"/>
        <w:rPr>
          <w:sz w:val="24"/>
          <w:szCs w:val="24"/>
          <w:lang w:val="uk-UA"/>
        </w:rPr>
      </w:pPr>
    </w:p>
    <w:p w:rsidR="00E2086D" w:rsidRPr="002D186F" w:rsidRDefault="00E2086D" w:rsidP="00FA66A0">
      <w:pPr>
        <w:rPr>
          <w:b/>
          <w:sz w:val="24"/>
          <w:szCs w:val="24"/>
          <w:lang w:val="uk-UA"/>
        </w:rPr>
      </w:pPr>
    </w:p>
    <w:p w:rsidR="00C32E75" w:rsidRPr="002D186F" w:rsidRDefault="00785B71">
      <w:pPr>
        <w:rPr>
          <w:b/>
          <w:sz w:val="24"/>
          <w:szCs w:val="24"/>
          <w:lang w:val="uk-UA"/>
        </w:rPr>
      </w:pPr>
      <w:r w:rsidRPr="002D186F">
        <w:rPr>
          <w:b/>
          <w:sz w:val="24"/>
          <w:szCs w:val="24"/>
          <w:lang w:val="uk-UA"/>
        </w:rPr>
        <w:t>В.о</w:t>
      </w:r>
      <w:r w:rsidR="003A64E4" w:rsidRPr="002D186F">
        <w:rPr>
          <w:b/>
          <w:sz w:val="24"/>
          <w:szCs w:val="24"/>
          <w:lang w:val="uk-UA"/>
        </w:rPr>
        <w:t xml:space="preserve">. </w:t>
      </w:r>
      <w:r w:rsidRPr="002D186F">
        <w:rPr>
          <w:b/>
          <w:sz w:val="24"/>
          <w:szCs w:val="24"/>
          <w:lang w:val="uk-UA"/>
        </w:rPr>
        <w:t>д</w:t>
      </w:r>
      <w:r w:rsidR="00EB2C8C" w:rsidRPr="002D186F">
        <w:rPr>
          <w:b/>
          <w:sz w:val="24"/>
          <w:szCs w:val="24"/>
          <w:lang w:val="uk-UA"/>
        </w:rPr>
        <w:t>иректор</w:t>
      </w:r>
      <w:r w:rsidR="003A64E4" w:rsidRPr="002D186F">
        <w:rPr>
          <w:b/>
          <w:sz w:val="24"/>
          <w:szCs w:val="24"/>
          <w:lang w:val="uk-UA"/>
        </w:rPr>
        <w:t>а</w:t>
      </w:r>
      <w:r w:rsidR="00EB2C8C" w:rsidRPr="002D186F">
        <w:rPr>
          <w:b/>
          <w:sz w:val="24"/>
          <w:szCs w:val="24"/>
          <w:lang w:val="uk-UA"/>
        </w:rPr>
        <w:t xml:space="preserve"> </w:t>
      </w:r>
    </w:p>
    <w:p w:rsidR="00AE7165" w:rsidRPr="002D186F" w:rsidRDefault="00C32E75">
      <w:pPr>
        <w:tabs>
          <w:tab w:val="left" w:pos="7797"/>
        </w:tabs>
        <w:jc w:val="both"/>
        <w:rPr>
          <w:b/>
          <w:sz w:val="24"/>
          <w:szCs w:val="24"/>
          <w:lang w:val="uk-UA"/>
        </w:rPr>
      </w:pPr>
      <w:r w:rsidRPr="002D186F">
        <w:rPr>
          <w:b/>
          <w:sz w:val="24"/>
          <w:szCs w:val="24"/>
          <w:lang w:val="uk-UA"/>
        </w:rPr>
        <w:t>ДП «Одеський порт</w:t>
      </w:r>
      <w:r w:rsidR="00AE7165" w:rsidRPr="002D186F">
        <w:rPr>
          <w:b/>
          <w:sz w:val="24"/>
          <w:szCs w:val="24"/>
          <w:lang w:val="uk-UA"/>
        </w:rPr>
        <w:t>»</w:t>
      </w:r>
      <w:r w:rsidR="0012592A" w:rsidRPr="002D186F">
        <w:rPr>
          <w:b/>
          <w:sz w:val="24"/>
          <w:szCs w:val="24"/>
          <w:lang w:val="uk-UA"/>
        </w:rPr>
        <w:tab/>
      </w:r>
      <w:r w:rsidR="008A4061">
        <w:rPr>
          <w:b/>
          <w:sz w:val="24"/>
          <w:szCs w:val="24"/>
          <w:lang w:val="uk-UA"/>
        </w:rPr>
        <w:t xml:space="preserve">         </w:t>
      </w:r>
      <w:r w:rsidR="00163C3D">
        <w:rPr>
          <w:b/>
          <w:sz w:val="24"/>
          <w:szCs w:val="24"/>
          <w:lang w:val="uk-UA"/>
        </w:rPr>
        <w:t xml:space="preserve"> </w:t>
      </w:r>
      <w:r w:rsidR="008A4061">
        <w:rPr>
          <w:b/>
          <w:sz w:val="24"/>
          <w:szCs w:val="24"/>
          <w:lang w:val="uk-UA"/>
        </w:rPr>
        <w:t>І.М. Сіренко</w:t>
      </w:r>
    </w:p>
    <w:sectPr w:rsidR="00AE7165" w:rsidRPr="002D186F" w:rsidSect="006B6830">
      <w:pgSz w:w="11906" w:h="16838"/>
      <w:pgMar w:top="709" w:right="849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4E" w:rsidRDefault="0008394E" w:rsidP="00584B91">
      <w:r>
        <w:separator/>
      </w:r>
    </w:p>
  </w:endnote>
  <w:endnote w:type="continuationSeparator" w:id="0">
    <w:p w:rsidR="0008394E" w:rsidRDefault="0008394E" w:rsidP="0058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4E" w:rsidRDefault="0008394E" w:rsidP="00584B91">
      <w:r>
        <w:separator/>
      </w:r>
    </w:p>
  </w:footnote>
  <w:footnote w:type="continuationSeparator" w:id="0">
    <w:p w:rsidR="0008394E" w:rsidRDefault="0008394E" w:rsidP="0058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6A8"/>
    <w:multiLevelType w:val="hybridMultilevel"/>
    <w:tmpl w:val="C316A4E8"/>
    <w:lvl w:ilvl="0" w:tplc="A3B499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4974CE1"/>
    <w:multiLevelType w:val="hybridMultilevel"/>
    <w:tmpl w:val="2ED290B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51E7246"/>
    <w:multiLevelType w:val="singleLevel"/>
    <w:tmpl w:val="538EDC94"/>
    <w:lvl w:ilvl="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3" w15:restartNumberingAfterBreak="0">
    <w:nsid w:val="095D731C"/>
    <w:multiLevelType w:val="hybridMultilevel"/>
    <w:tmpl w:val="C164D1F4"/>
    <w:lvl w:ilvl="0" w:tplc="A3B4994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A3B4994C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4680618"/>
    <w:multiLevelType w:val="singleLevel"/>
    <w:tmpl w:val="FE34A6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4D31E0E"/>
    <w:multiLevelType w:val="singleLevel"/>
    <w:tmpl w:val="46E64BA6"/>
    <w:lvl w:ilvl="0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6" w15:restartNumberingAfterBreak="0">
    <w:nsid w:val="14F94CC0"/>
    <w:multiLevelType w:val="hybridMultilevel"/>
    <w:tmpl w:val="464C279A"/>
    <w:lvl w:ilvl="0" w:tplc="0C9AE78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8307E3"/>
    <w:multiLevelType w:val="singleLevel"/>
    <w:tmpl w:val="D89A2F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8" w15:restartNumberingAfterBreak="0">
    <w:nsid w:val="1BFE0FF9"/>
    <w:multiLevelType w:val="hybridMultilevel"/>
    <w:tmpl w:val="D29EB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20A5"/>
    <w:multiLevelType w:val="hybridMultilevel"/>
    <w:tmpl w:val="000622DC"/>
    <w:lvl w:ilvl="0" w:tplc="A3B49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3B4994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93337A"/>
    <w:multiLevelType w:val="singleLevel"/>
    <w:tmpl w:val="1E40D78A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1" w15:restartNumberingAfterBreak="0">
    <w:nsid w:val="1F71644E"/>
    <w:multiLevelType w:val="hybridMultilevel"/>
    <w:tmpl w:val="97983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A00FA4"/>
    <w:multiLevelType w:val="hybridMultilevel"/>
    <w:tmpl w:val="D396C3AA"/>
    <w:lvl w:ilvl="0" w:tplc="67441E96">
      <w:numFmt w:val="bullet"/>
      <w:lvlText w:val="-"/>
      <w:lvlJc w:val="left"/>
      <w:pPr>
        <w:tabs>
          <w:tab w:val="num" w:pos="1669"/>
        </w:tabs>
        <w:ind w:left="1669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3" w15:restartNumberingAfterBreak="0">
    <w:nsid w:val="23472251"/>
    <w:multiLevelType w:val="hybridMultilevel"/>
    <w:tmpl w:val="64DC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42D4D"/>
    <w:multiLevelType w:val="singleLevel"/>
    <w:tmpl w:val="F1F28D18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5" w15:restartNumberingAfterBreak="0">
    <w:nsid w:val="28520026"/>
    <w:multiLevelType w:val="singleLevel"/>
    <w:tmpl w:val="E3969936"/>
    <w:lvl w:ilvl="0">
      <w:numFmt w:val="bullet"/>
      <w:lvlText w:val="-"/>
      <w:lvlJc w:val="left"/>
      <w:pPr>
        <w:tabs>
          <w:tab w:val="num" w:pos="952"/>
        </w:tabs>
        <w:ind w:left="952" w:hanging="360"/>
      </w:pPr>
      <w:rPr>
        <w:rFonts w:hint="default"/>
      </w:rPr>
    </w:lvl>
  </w:abstractNum>
  <w:abstractNum w:abstractNumId="16" w15:restartNumberingAfterBreak="0">
    <w:nsid w:val="34403F10"/>
    <w:multiLevelType w:val="hybridMultilevel"/>
    <w:tmpl w:val="1FCC4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FB70F6"/>
    <w:multiLevelType w:val="singleLevel"/>
    <w:tmpl w:val="D89A2F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18" w15:restartNumberingAfterBreak="0">
    <w:nsid w:val="378B070E"/>
    <w:multiLevelType w:val="singleLevel"/>
    <w:tmpl w:val="889A10E6"/>
    <w:lvl w:ilvl="0">
      <w:numFmt w:val="bullet"/>
      <w:lvlText w:val="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</w:abstractNum>
  <w:abstractNum w:abstractNumId="19" w15:restartNumberingAfterBreak="0">
    <w:nsid w:val="3B3636B8"/>
    <w:multiLevelType w:val="singleLevel"/>
    <w:tmpl w:val="E51608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3E7B02"/>
    <w:multiLevelType w:val="singleLevel"/>
    <w:tmpl w:val="1E40D78A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1" w15:restartNumberingAfterBreak="0">
    <w:nsid w:val="413C6E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2921484"/>
    <w:multiLevelType w:val="hybridMultilevel"/>
    <w:tmpl w:val="84E6E2E6"/>
    <w:lvl w:ilvl="0" w:tplc="A3B4994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 w15:restartNumberingAfterBreak="0">
    <w:nsid w:val="47AE1369"/>
    <w:multiLevelType w:val="hybridMultilevel"/>
    <w:tmpl w:val="48D0C896"/>
    <w:lvl w:ilvl="0" w:tplc="5ACE09D4">
      <w:numFmt w:val="bullet"/>
      <w:lvlText w:val="-"/>
      <w:lvlJc w:val="left"/>
      <w:pPr>
        <w:ind w:left="1549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A281824"/>
    <w:multiLevelType w:val="hybridMultilevel"/>
    <w:tmpl w:val="A1548E7C"/>
    <w:lvl w:ilvl="0" w:tplc="A3B4994C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 w15:restartNumberingAfterBreak="0">
    <w:nsid w:val="4C3846F0"/>
    <w:multiLevelType w:val="hybridMultilevel"/>
    <w:tmpl w:val="80329164"/>
    <w:lvl w:ilvl="0" w:tplc="6DEC5A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07B3CED"/>
    <w:multiLevelType w:val="hybridMultilevel"/>
    <w:tmpl w:val="51769E5E"/>
    <w:lvl w:ilvl="0" w:tplc="05CA82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1741471"/>
    <w:multiLevelType w:val="singleLevel"/>
    <w:tmpl w:val="538EDC94"/>
    <w:lvl w:ilvl="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28" w15:restartNumberingAfterBreak="0">
    <w:nsid w:val="58C261B2"/>
    <w:multiLevelType w:val="singleLevel"/>
    <w:tmpl w:val="46EC42F0"/>
    <w:lvl w:ilvl="0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hint="default"/>
        <w:i/>
        <w:sz w:val="28"/>
      </w:rPr>
    </w:lvl>
  </w:abstractNum>
  <w:abstractNum w:abstractNumId="29" w15:restartNumberingAfterBreak="0">
    <w:nsid w:val="5CEA3991"/>
    <w:multiLevelType w:val="hybridMultilevel"/>
    <w:tmpl w:val="9F5C2EB8"/>
    <w:lvl w:ilvl="0" w:tplc="512ED59C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738EAD8C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66C4DA3A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84E0F0A0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E43A3D60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674D094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42FC3DC6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3B6A9D28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70945A92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0" w15:restartNumberingAfterBreak="0">
    <w:nsid w:val="5DD32101"/>
    <w:multiLevelType w:val="hybridMultilevel"/>
    <w:tmpl w:val="6EDC5776"/>
    <w:lvl w:ilvl="0" w:tplc="917E34D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A5A41F58"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EFB08B3"/>
    <w:multiLevelType w:val="singleLevel"/>
    <w:tmpl w:val="F1F28D18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2" w15:restartNumberingAfterBreak="0">
    <w:nsid w:val="6053185F"/>
    <w:multiLevelType w:val="singleLevel"/>
    <w:tmpl w:val="538EDC94"/>
    <w:lvl w:ilvl="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33" w15:restartNumberingAfterBreak="0">
    <w:nsid w:val="60DF0591"/>
    <w:multiLevelType w:val="singleLevel"/>
    <w:tmpl w:val="8EA84EF6"/>
    <w:lvl w:ilvl="0">
      <w:start w:val="2006"/>
      <w:numFmt w:val="bullet"/>
      <w:lvlText w:val="-"/>
      <w:lvlJc w:val="left"/>
      <w:pPr>
        <w:tabs>
          <w:tab w:val="num" w:pos="705"/>
        </w:tabs>
        <w:ind w:left="705" w:hanging="630"/>
      </w:pPr>
      <w:rPr>
        <w:rFonts w:hint="default"/>
      </w:rPr>
    </w:lvl>
  </w:abstractNum>
  <w:abstractNum w:abstractNumId="34" w15:restartNumberingAfterBreak="0">
    <w:nsid w:val="64887932"/>
    <w:multiLevelType w:val="multilevel"/>
    <w:tmpl w:val="75861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8B4B83"/>
    <w:multiLevelType w:val="singleLevel"/>
    <w:tmpl w:val="D89A2F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36" w15:restartNumberingAfterBreak="0">
    <w:nsid w:val="68A12649"/>
    <w:multiLevelType w:val="singleLevel"/>
    <w:tmpl w:val="041CEAB2"/>
    <w:lvl w:ilvl="0">
      <w:numFmt w:val="bullet"/>
      <w:lvlText w:val="-"/>
      <w:lvlJc w:val="left"/>
      <w:pPr>
        <w:tabs>
          <w:tab w:val="num" w:pos="532"/>
        </w:tabs>
        <w:ind w:left="532" w:hanging="360"/>
      </w:pPr>
      <w:rPr>
        <w:rFonts w:hint="default"/>
      </w:rPr>
    </w:lvl>
  </w:abstractNum>
  <w:abstractNum w:abstractNumId="37" w15:restartNumberingAfterBreak="0">
    <w:nsid w:val="6B306B8B"/>
    <w:multiLevelType w:val="hybridMultilevel"/>
    <w:tmpl w:val="FAB0D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B5C70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B934465"/>
    <w:multiLevelType w:val="hybridMultilevel"/>
    <w:tmpl w:val="820226E2"/>
    <w:lvl w:ilvl="0" w:tplc="B64623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02247A"/>
    <w:multiLevelType w:val="singleLevel"/>
    <w:tmpl w:val="0F2A420A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1" w15:restartNumberingAfterBreak="0">
    <w:nsid w:val="724A5CC6"/>
    <w:multiLevelType w:val="hybridMultilevel"/>
    <w:tmpl w:val="B7803A10"/>
    <w:lvl w:ilvl="0" w:tplc="4784E7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2F7322C"/>
    <w:multiLevelType w:val="hybridMultilevel"/>
    <w:tmpl w:val="FDC07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91C7293"/>
    <w:multiLevelType w:val="singleLevel"/>
    <w:tmpl w:val="8F88C03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14"/>
  </w:num>
  <w:num w:numId="4">
    <w:abstractNumId w:val="10"/>
  </w:num>
  <w:num w:numId="5">
    <w:abstractNumId w:val="20"/>
  </w:num>
  <w:num w:numId="6">
    <w:abstractNumId w:val="40"/>
  </w:num>
  <w:num w:numId="7">
    <w:abstractNumId w:val="33"/>
  </w:num>
  <w:num w:numId="8">
    <w:abstractNumId w:val="29"/>
  </w:num>
  <w:num w:numId="9">
    <w:abstractNumId w:val="36"/>
  </w:num>
  <w:num w:numId="10">
    <w:abstractNumId w:val="15"/>
  </w:num>
  <w:num w:numId="11">
    <w:abstractNumId w:val="17"/>
  </w:num>
  <w:num w:numId="12">
    <w:abstractNumId w:val="35"/>
  </w:num>
  <w:num w:numId="13">
    <w:abstractNumId w:val="7"/>
  </w:num>
  <w:num w:numId="14">
    <w:abstractNumId w:val="19"/>
  </w:num>
  <w:num w:numId="15">
    <w:abstractNumId w:val="4"/>
  </w:num>
  <w:num w:numId="16">
    <w:abstractNumId w:val="34"/>
  </w:num>
  <w:num w:numId="17">
    <w:abstractNumId w:val="2"/>
  </w:num>
  <w:num w:numId="18">
    <w:abstractNumId w:val="21"/>
  </w:num>
  <w:num w:numId="19">
    <w:abstractNumId w:val="38"/>
  </w:num>
  <w:num w:numId="20">
    <w:abstractNumId w:val="27"/>
  </w:num>
  <w:num w:numId="21">
    <w:abstractNumId w:val="32"/>
  </w:num>
  <w:num w:numId="22">
    <w:abstractNumId w:val="5"/>
  </w:num>
  <w:num w:numId="23">
    <w:abstractNumId w:val="28"/>
  </w:num>
  <w:num w:numId="24">
    <w:abstractNumId w:val="43"/>
  </w:num>
  <w:num w:numId="25">
    <w:abstractNumId w:val="12"/>
  </w:num>
  <w:num w:numId="26">
    <w:abstractNumId w:val="25"/>
  </w:num>
  <w:num w:numId="27">
    <w:abstractNumId w:val="16"/>
  </w:num>
  <w:num w:numId="28">
    <w:abstractNumId w:val="26"/>
  </w:num>
  <w:num w:numId="29">
    <w:abstractNumId w:val="11"/>
  </w:num>
  <w:num w:numId="30">
    <w:abstractNumId w:val="13"/>
  </w:num>
  <w:num w:numId="31">
    <w:abstractNumId w:val="37"/>
  </w:num>
  <w:num w:numId="32">
    <w:abstractNumId w:val="8"/>
  </w:num>
  <w:num w:numId="33">
    <w:abstractNumId w:val="42"/>
  </w:num>
  <w:num w:numId="34">
    <w:abstractNumId w:val="6"/>
  </w:num>
  <w:num w:numId="35">
    <w:abstractNumId w:val="41"/>
  </w:num>
  <w:num w:numId="36">
    <w:abstractNumId w:val="39"/>
  </w:num>
  <w:num w:numId="37">
    <w:abstractNumId w:val="0"/>
  </w:num>
  <w:num w:numId="38">
    <w:abstractNumId w:val="23"/>
  </w:num>
  <w:num w:numId="39">
    <w:abstractNumId w:val="1"/>
  </w:num>
  <w:num w:numId="40">
    <w:abstractNumId w:val="9"/>
  </w:num>
  <w:num w:numId="41">
    <w:abstractNumId w:val="22"/>
  </w:num>
  <w:num w:numId="42">
    <w:abstractNumId w:val="30"/>
  </w:num>
  <w:num w:numId="43">
    <w:abstractNumId w:val="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C7"/>
    <w:rsid w:val="00003851"/>
    <w:rsid w:val="00004988"/>
    <w:rsid w:val="000051C8"/>
    <w:rsid w:val="00005D2B"/>
    <w:rsid w:val="000068E5"/>
    <w:rsid w:val="00010F83"/>
    <w:rsid w:val="00012CD8"/>
    <w:rsid w:val="0001319B"/>
    <w:rsid w:val="00013203"/>
    <w:rsid w:val="000136C1"/>
    <w:rsid w:val="000148C3"/>
    <w:rsid w:val="00017951"/>
    <w:rsid w:val="00020EE9"/>
    <w:rsid w:val="000215C8"/>
    <w:rsid w:val="00023716"/>
    <w:rsid w:val="000240D4"/>
    <w:rsid w:val="00025676"/>
    <w:rsid w:val="00025A4B"/>
    <w:rsid w:val="00025FC3"/>
    <w:rsid w:val="0003055D"/>
    <w:rsid w:val="00031A93"/>
    <w:rsid w:val="00031BAD"/>
    <w:rsid w:val="00031C15"/>
    <w:rsid w:val="0004091B"/>
    <w:rsid w:val="00040A4E"/>
    <w:rsid w:val="000435EB"/>
    <w:rsid w:val="000437D2"/>
    <w:rsid w:val="00043CC4"/>
    <w:rsid w:val="00044A37"/>
    <w:rsid w:val="00045FD2"/>
    <w:rsid w:val="00046F43"/>
    <w:rsid w:val="00047DC8"/>
    <w:rsid w:val="00047EFB"/>
    <w:rsid w:val="0005027A"/>
    <w:rsid w:val="00050E01"/>
    <w:rsid w:val="00050FF1"/>
    <w:rsid w:val="0005155B"/>
    <w:rsid w:val="000528ED"/>
    <w:rsid w:val="000570A9"/>
    <w:rsid w:val="00057BF6"/>
    <w:rsid w:val="00061889"/>
    <w:rsid w:val="00062542"/>
    <w:rsid w:val="00065768"/>
    <w:rsid w:val="00071146"/>
    <w:rsid w:val="00074776"/>
    <w:rsid w:val="00076BE6"/>
    <w:rsid w:val="00081140"/>
    <w:rsid w:val="000818DA"/>
    <w:rsid w:val="0008219D"/>
    <w:rsid w:val="00082477"/>
    <w:rsid w:val="0008394E"/>
    <w:rsid w:val="00084A28"/>
    <w:rsid w:val="00084BBD"/>
    <w:rsid w:val="00091A06"/>
    <w:rsid w:val="00097596"/>
    <w:rsid w:val="000A2B45"/>
    <w:rsid w:val="000A48B9"/>
    <w:rsid w:val="000A58D4"/>
    <w:rsid w:val="000A6507"/>
    <w:rsid w:val="000A7E9E"/>
    <w:rsid w:val="000B1137"/>
    <w:rsid w:val="000B3091"/>
    <w:rsid w:val="000B423F"/>
    <w:rsid w:val="000B6606"/>
    <w:rsid w:val="000B6C04"/>
    <w:rsid w:val="000C27B7"/>
    <w:rsid w:val="000C2826"/>
    <w:rsid w:val="000C3C2A"/>
    <w:rsid w:val="000C41FE"/>
    <w:rsid w:val="000C60EC"/>
    <w:rsid w:val="000C696B"/>
    <w:rsid w:val="000D01FE"/>
    <w:rsid w:val="000D2190"/>
    <w:rsid w:val="000D39D4"/>
    <w:rsid w:val="000D4541"/>
    <w:rsid w:val="000D5CB4"/>
    <w:rsid w:val="000D74E3"/>
    <w:rsid w:val="000E0553"/>
    <w:rsid w:val="000E0F1E"/>
    <w:rsid w:val="000E10DE"/>
    <w:rsid w:val="000E2E4C"/>
    <w:rsid w:val="000E3573"/>
    <w:rsid w:val="000E5201"/>
    <w:rsid w:val="000F190D"/>
    <w:rsid w:val="000F1B65"/>
    <w:rsid w:val="000F2B3F"/>
    <w:rsid w:val="000F5C4D"/>
    <w:rsid w:val="000F7B0E"/>
    <w:rsid w:val="0010066E"/>
    <w:rsid w:val="001014D2"/>
    <w:rsid w:val="001017A0"/>
    <w:rsid w:val="001040C6"/>
    <w:rsid w:val="00105CB8"/>
    <w:rsid w:val="00107DDF"/>
    <w:rsid w:val="0011621B"/>
    <w:rsid w:val="001167DF"/>
    <w:rsid w:val="00121B81"/>
    <w:rsid w:val="00121F8B"/>
    <w:rsid w:val="0012220E"/>
    <w:rsid w:val="00124829"/>
    <w:rsid w:val="0012592A"/>
    <w:rsid w:val="00127E55"/>
    <w:rsid w:val="00127F80"/>
    <w:rsid w:val="001367A4"/>
    <w:rsid w:val="00142E1B"/>
    <w:rsid w:val="00143979"/>
    <w:rsid w:val="00143F49"/>
    <w:rsid w:val="001479F8"/>
    <w:rsid w:val="00150B75"/>
    <w:rsid w:val="00152D2B"/>
    <w:rsid w:val="00155BFC"/>
    <w:rsid w:val="0015622D"/>
    <w:rsid w:val="00156656"/>
    <w:rsid w:val="00162FA7"/>
    <w:rsid w:val="00163C3D"/>
    <w:rsid w:val="00164A01"/>
    <w:rsid w:val="00171D98"/>
    <w:rsid w:val="00173637"/>
    <w:rsid w:val="00185F66"/>
    <w:rsid w:val="00190A36"/>
    <w:rsid w:val="00190E88"/>
    <w:rsid w:val="0019236B"/>
    <w:rsid w:val="00192C19"/>
    <w:rsid w:val="001A0856"/>
    <w:rsid w:val="001A6738"/>
    <w:rsid w:val="001A76F5"/>
    <w:rsid w:val="001B1DFF"/>
    <w:rsid w:val="001B26D9"/>
    <w:rsid w:val="001B3DA2"/>
    <w:rsid w:val="001B4D82"/>
    <w:rsid w:val="001B50E2"/>
    <w:rsid w:val="001B6E23"/>
    <w:rsid w:val="001C0973"/>
    <w:rsid w:val="001C1002"/>
    <w:rsid w:val="001C32D2"/>
    <w:rsid w:val="001C3F0E"/>
    <w:rsid w:val="001C4E5A"/>
    <w:rsid w:val="001C4FE7"/>
    <w:rsid w:val="001D01C9"/>
    <w:rsid w:val="001D0ABA"/>
    <w:rsid w:val="001D38C8"/>
    <w:rsid w:val="001D4E1A"/>
    <w:rsid w:val="001D6166"/>
    <w:rsid w:val="001D6E5E"/>
    <w:rsid w:val="001E2731"/>
    <w:rsid w:val="001E4601"/>
    <w:rsid w:val="001E7566"/>
    <w:rsid w:val="001E7718"/>
    <w:rsid w:val="001F31C8"/>
    <w:rsid w:val="001F72C9"/>
    <w:rsid w:val="001F73D5"/>
    <w:rsid w:val="001F7C72"/>
    <w:rsid w:val="00200CCF"/>
    <w:rsid w:val="0020137D"/>
    <w:rsid w:val="002015B2"/>
    <w:rsid w:val="0020390B"/>
    <w:rsid w:val="00204504"/>
    <w:rsid w:val="002053F5"/>
    <w:rsid w:val="00205498"/>
    <w:rsid w:val="002065B4"/>
    <w:rsid w:val="00206FF3"/>
    <w:rsid w:val="002104A2"/>
    <w:rsid w:val="00213D5F"/>
    <w:rsid w:val="00214352"/>
    <w:rsid w:val="002166EB"/>
    <w:rsid w:val="00216AF5"/>
    <w:rsid w:val="0022069B"/>
    <w:rsid w:val="002212D8"/>
    <w:rsid w:val="002238A7"/>
    <w:rsid w:val="002257ED"/>
    <w:rsid w:val="00226277"/>
    <w:rsid w:val="00226973"/>
    <w:rsid w:val="00230627"/>
    <w:rsid w:val="0023138C"/>
    <w:rsid w:val="00232654"/>
    <w:rsid w:val="00232F03"/>
    <w:rsid w:val="00235A84"/>
    <w:rsid w:val="00237910"/>
    <w:rsid w:val="00247401"/>
    <w:rsid w:val="002517B2"/>
    <w:rsid w:val="00254A4D"/>
    <w:rsid w:val="00255A1D"/>
    <w:rsid w:val="00255F54"/>
    <w:rsid w:val="00256066"/>
    <w:rsid w:val="00256926"/>
    <w:rsid w:val="002619A7"/>
    <w:rsid w:val="00265AE8"/>
    <w:rsid w:val="0026754A"/>
    <w:rsid w:val="00267D72"/>
    <w:rsid w:val="00270D6F"/>
    <w:rsid w:val="002712A4"/>
    <w:rsid w:val="00271C94"/>
    <w:rsid w:val="00274434"/>
    <w:rsid w:val="00274753"/>
    <w:rsid w:val="00276BD3"/>
    <w:rsid w:val="00276EC0"/>
    <w:rsid w:val="002770F2"/>
    <w:rsid w:val="002778C1"/>
    <w:rsid w:val="00280463"/>
    <w:rsid w:val="00282048"/>
    <w:rsid w:val="002833D4"/>
    <w:rsid w:val="00285B1E"/>
    <w:rsid w:val="00285DFD"/>
    <w:rsid w:val="00285FDA"/>
    <w:rsid w:val="00291723"/>
    <w:rsid w:val="002933D5"/>
    <w:rsid w:val="002939BE"/>
    <w:rsid w:val="002954F5"/>
    <w:rsid w:val="00297F09"/>
    <w:rsid w:val="002A40B8"/>
    <w:rsid w:val="002A50B3"/>
    <w:rsid w:val="002A7DF9"/>
    <w:rsid w:val="002B20D7"/>
    <w:rsid w:val="002B25A4"/>
    <w:rsid w:val="002B2BB8"/>
    <w:rsid w:val="002C1CDB"/>
    <w:rsid w:val="002C3157"/>
    <w:rsid w:val="002C3FEC"/>
    <w:rsid w:val="002C64BA"/>
    <w:rsid w:val="002C6AE6"/>
    <w:rsid w:val="002C6E53"/>
    <w:rsid w:val="002C7CCE"/>
    <w:rsid w:val="002D186F"/>
    <w:rsid w:val="002D1DFA"/>
    <w:rsid w:val="002D2B1C"/>
    <w:rsid w:val="002D3A77"/>
    <w:rsid w:val="002D6060"/>
    <w:rsid w:val="002D7673"/>
    <w:rsid w:val="002D7E57"/>
    <w:rsid w:val="002E452F"/>
    <w:rsid w:val="002E614F"/>
    <w:rsid w:val="002E676A"/>
    <w:rsid w:val="002E7946"/>
    <w:rsid w:val="002F06A1"/>
    <w:rsid w:val="002F0B2F"/>
    <w:rsid w:val="002F0B92"/>
    <w:rsid w:val="002F1591"/>
    <w:rsid w:val="002F1909"/>
    <w:rsid w:val="002F3A79"/>
    <w:rsid w:val="002F696A"/>
    <w:rsid w:val="002F7932"/>
    <w:rsid w:val="00300004"/>
    <w:rsid w:val="00300AF1"/>
    <w:rsid w:val="00300D64"/>
    <w:rsid w:val="00301887"/>
    <w:rsid w:val="003020F0"/>
    <w:rsid w:val="0030322D"/>
    <w:rsid w:val="00305F37"/>
    <w:rsid w:val="00311056"/>
    <w:rsid w:val="00312D20"/>
    <w:rsid w:val="0031598E"/>
    <w:rsid w:val="0031666C"/>
    <w:rsid w:val="00323364"/>
    <w:rsid w:val="00324EE1"/>
    <w:rsid w:val="00325F58"/>
    <w:rsid w:val="003262DC"/>
    <w:rsid w:val="003272D3"/>
    <w:rsid w:val="0033088C"/>
    <w:rsid w:val="00331AC6"/>
    <w:rsid w:val="00331DBA"/>
    <w:rsid w:val="00332768"/>
    <w:rsid w:val="003335DF"/>
    <w:rsid w:val="003348E7"/>
    <w:rsid w:val="00343163"/>
    <w:rsid w:val="0034337E"/>
    <w:rsid w:val="00345F1F"/>
    <w:rsid w:val="0034656D"/>
    <w:rsid w:val="00352231"/>
    <w:rsid w:val="00353E2B"/>
    <w:rsid w:val="00355728"/>
    <w:rsid w:val="00364461"/>
    <w:rsid w:val="00364C1B"/>
    <w:rsid w:val="00365539"/>
    <w:rsid w:val="00366EC6"/>
    <w:rsid w:val="003708B4"/>
    <w:rsid w:val="00374056"/>
    <w:rsid w:val="00374BD7"/>
    <w:rsid w:val="00375DB9"/>
    <w:rsid w:val="00376765"/>
    <w:rsid w:val="00377B6A"/>
    <w:rsid w:val="003835AD"/>
    <w:rsid w:val="003847A4"/>
    <w:rsid w:val="00385D9D"/>
    <w:rsid w:val="00386087"/>
    <w:rsid w:val="003862E8"/>
    <w:rsid w:val="003864EE"/>
    <w:rsid w:val="00387C5C"/>
    <w:rsid w:val="003902A0"/>
    <w:rsid w:val="00390953"/>
    <w:rsid w:val="00390EE1"/>
    <w:rsid w:val="0039195F"/>
    <w:rsid w:val="0039367D"/>
    <w:rsid w:val="00393B7B"/>
    <w:rsid w:val="00397992"/>
    <w:rsid w:val="003A04F2"/>
    <w:rsid w:val="003A1C51"/>
    <w:rsid w:val="003A2F04"/>
    <w:rsid w:val="003A5805"/>
    <w:rsid w:val="003A64E4"/>
    <w:rsid w:val="003A6A53"/>
    <w:rsid w:val="003A6C9C"/>
    <w:rsid w:val="003A7D41"/>
    <w:rsid w:val="003A7F59"/>
    <w:rsid w:val="003B129B"/>
    <w:rsid w:val="003B30C4"/>
    <w:rsid w:val="003B47D3"/>
    <w:rsid w:val="003B54FC"/>
    <w:rsid w:val="003B5EA5"/>
    <w:rsid w:val="003B7154"/>
    <w:rsid w:val="003B74B1"/>
    <w:rsid w:val="003C44F2"/>
    <w:rsid w:val="003D186D"/>
    <w:rsid w:val="003D1F40"/>
    <w:rsid w:val="003D3774"/>
    <w:rsid w:val="003D7E1D"/>
    <w:rsid w:val="003E076E"/>
    <w:rsid w:val="003E3607"/>
    <w:rsid w:val="003E3622"/>
    <w:rsid w:val="003E5D47"/>
    <w:rsid w:val="003F20FC"/>
    <w:rsid w:val="003F243D"/>
    <w:rsid w:val="003F2952"/>
    <w:rsid w:val="003F35BC"/>
    <w:rsid w:val="003F35C2"/>
    <w:rsid w:val="003F379A"/>
    <w:rsid w:val="003F437B"/>
    <w:rsid w:val="003F4BDE"/>
    <w:rsid w:val="003F77CB"/>
    <w:rsid w:val="00400B9C"/>
    <w:rsid w:val="004012BD"/>
    <w:rsid w:val="00401ADF"/>
    <w:rsid w:val="00403752"/>
    <w:rsid w:val="00404264"/>
    <w:rsid w:val="00404829"/>
    <w:rsid w:val="00405F64"/>
    <w:rsid w:val="00406DDB"/>
    <w:rsid w:val="004074E6"/>
    <w:rsid w:val="004128DE"/>
    <w:rsid w:val="0041341A"/>
    <w:rsid w:val="00413918"/>
    <w:rsid w:val="00413928"/>
    <w:rsid w:val="00413C1B"/>
    <w:rsid w:val="00422609"/>
    <w:rsid w:val="00425ED3"/>
    <w:rsid w:val="00426303"/>
    <w:rsid w:val="00427244"/>
    <w:rsid w:val="00431118"/>
    <w:rsid w:val="00432B1E"/>
    <w:rsid w:val="00435010"/>
    <w:rsid w:val="004372E8"/>
    <w:rsid w:val="00440AF2"/>
    <w:rsid w:val="00441350"/>
    <w:rsid w:val="004427B6"/>
    <w:rsid w:val="00442A92"/>
    <w:rsid w:val="004438D0"/>
    <w:rsid w:val="0045535E"/>
    <w:rsid w:val="00455FFD"/>
    <w:rsid w:val="00456E19"/>
    <w:rsid w:val="00460921"/>
    <w:rsid w:val="00461FBE"/>
    <w:rsid w:val="00462CF0"/>
    <w:rsid w:val="004637EC"/>
    <w:rsid w:val="0046391A"/>
    <w:rsid w:val="00463D9F"/>
    <w:rsid w:val="00465370"/>
    <w:rsid w:val="0046650B"/>
    <w:rsid w:val="00466A4D"/>
    <w:rsid w:val="004723C1"/>
    <w:rsid w:val="004762AF"/>
    <w:rsid w:val="00482346"/>
    <w:rsid w:val="004833AE"/>
    <w:rsid w:val="004839F4"/>
    <w:rsid w:val="004867F0"/>
    <w:rsid w:val="0048778B"/>
    <w:rsid w:val="00492CCA"/>
    <w:rsid w:val="00493132"/>
    <w:rsid w:val="004A096F"/>
    <w:rsid w:val="004A12CE"/>
    <w:rsid w:val="004A2404"/>
    <w:rsid w:val="004A2BAD"/>
    <w:rsid w:val="004A49BE"/>
    <w:rsid w:val="004A5A75"/>
    <w:rsid w:val="004A5E09"/>
    <w:rsid w:val="004A6602"/>
    <w:rsid w:val="004A6952"/>
    <w:rsid w:val="004A6F44"/>
    <w:rsid w:val="004B0515"/>
    <w:rsid w:val="004B0A27"/>
    <w:rsid w:val="004B303B"/>
    <w:rsid w:val="004B3C58"/>
    <w:rsid w:val="004B52FF"/>
    <w:rsid w:val="004B60A9"/>
    <w:rsid w:val="004B6D64"/>
    <w:rsid w:val="004C06C9"/>
    <w:rsid w:val="004C1960"/>
    <w:rsid w:val="004C1AB2"/>
    <w:rsid w:val="004C3944"/>
    <w:rsid w:val="004D085D"/>
    <w:rsid w:val="004D0AC5"/>
    <w:rsid w:val="004D3712"/>
    <w:rsid w:val="004D3A2B"/>
    <w:rsid w:val="004D42B2"/>
    <w:rsid w:val="004D5EB9"/>
    <w:rsid w:val="004E11A5"/>
    <w:rsid w:val="004E1855"/>
    <w:rsid w:val="004E3252"/>
    <w:rsid w:val="004E49C6"/>
    <w:rsid w:val="004E7D8D"/>
    <w:rsid w:val="004F18AD"/>
    <w:rsid w:val="004F3851"/>
    <w:rsid w:val="004F5727"/>
    <w:rsid w:val="004F6F30"/>
    <w:rsid w:val="004F7ABB"/>
    <w:rsid w:val="004F7CC7"/>
    <w:rsid w:val="00500C4E"/>
    <w:rsid w:val="00503FCC"/>
    <w:rsid w:val="005048E8"/>
    <w:rsid w:val="00506470"/>
    <w:rsid w:val="00506A53"/>
    <w:rsid w:val="005075BB"/>
    <w:rsid w:val="00510E11"/>
    <w:rsid w:val="005111D8"/>
    <w:rsid w:val="00511802"/>
    <w:rsid w:val="00512C10"/>
    <w:rsid w:val="0051546E"/>
    <w:rsid w:val="00521088"/>
    <w:rsid w:val="00521400"/>
    <w:rsid w:val="005229D8"/>
    <w:rsid w:val="00525216"/>
    <w:rsid w:val="00526FF5"/>
    <w:rsid w:val="00527BD2"/>
    <w:rsid w:val="005329A6"/>
    <w:rsid w:val="00533D13"/>
    <w:rsid w:val="00534880"/>
    <w:rsid w:val="0053566E"/>
    <w:rsid w:val="005400E3"/>
    <w:rsid w:val="00540132"/>
    <w:rsid w:val="005406D8"/>
    <w:rsid w:val="00540836"/>
    <w:rsid w:val="00540E66"/>
    <w:rsid w:val="00541452"/>
    <w:rsid w:val="005422B4"/>
    <w:rsid w:val="00544C3A"/>
    <w:rsid w:val="00545F51"/>
    <w:rsid w:val="00547DA6"/>
    <w:rsid w:val="00551596"/>
    <w:rsid w:val="00551C15"/>
    <w:rsid w:val="005544B7"/>
    <w:rsid w:val="00555044"/>
    <w:rsid w:val="00562A28"/>
    <w:rsid w:val="00562C0D"/>
    <w:rsid w:val="00563B47"/>
    <w:rsid w:val="00564B6D"/>
    <w:rsid w:val="0056630C"/>
    <w:rsid w:val="005664D0"/>
    <w:rsid w:val="005712D4"/>
    <w:rsid w:val="005725DD"/>
    <w:rsid w:val="0057656C"/>
    <w:rsid w:val="005769BB"/>
    <w:rsid w:val="00576EE1"/>
    <w:rsid w:val="00577B91"/>
    <w:rsid w:val="0058244C"/>
    <w:rsid w:val="00584B91"/>
    <w:rsid w:val="00587EE9"/>
    <w:rsid w:val="0059080D"/>
    <w:rsid w:val="00590994"/>
    <w:rsid w:val="00591C93"/>
    <w:rsid w:val="005926B0"/>
    <w:rsid w:val="00592786"/>
    <w:rsid w:val="00592E2B"/>
    <w:rsid w:val="005A0680"/>
    <w:rsid w:val="005A1086"/>
    <w:rsid w:val="005A1230"/>
    <w:rsid w:val="005C3EA3"/>
    <w:rsid w:val="005C63F6"/>
    <w:rsid w:val="005C72E2"/>
    <w:rsid w:val="005C7845"/>
    <w:rsid w:val="005D0C48"/>
    <w:rsid w:val="005D1BB4"/>
    <w:rsid w:val="005D30EE"/>
    <w:rsid w:val="005D317F"/>
    <w:rsid w:val="005D4219"/>
    <w:rsid w:val="005D6C25"/>
    <w:rsid w:val="005E0718"/>
    <w:rsid w:val="005E0DFA"/>
    <w:rsid w:val="005E24B8"/>
    <w:rsid w:val="005E4D8C"/>
    <w:rsid w:val="005E5E81"/>
    <w:rsid w:val="005E6E9E"/>
    <w:rsid w:val="005F0508"/>
    <w:rsid w:val="005F17C0"/>
    <w:rsid w:val="005F5DD6"/>
    <w:rsid w:val="0060133A"/>
    <w:rsid w:val="00603416"/>
    <w:rsid w:val="00604A18"/>
    <w:rsid w:val="00605373"/>
    <w:rsid w:val="006060CE"/>
    <w:rsid w:val="00606130"/>
    <w:rsid w:val="00607144"/>
    <w:rsid w:val="00612844"/>
    <w:rsid w:val="0061616E"/>
    <w:rsid w:val="00616719"/>
    <w:rsid w:val="00617985"/>
    <w:rsid w:val="00624534"/>
    <w:rsid w:val="006259EA"/>
    <w:rsid w:val="0064042F"/>
    <w:rsid w:val="00642421"/>
    <w:rsid w:val="006534A2"/>
    <w:rsid w:val="0065524A"/>
    <w:rsid w:val="00656623"/>
    <w:rsid w:val="00661C71"/>
    <w:rsid w:val="00662F9C"/>
    <w:rsid w:val="0066382F"/>
    <w:rsid w:val="00663D12"/>
    <w:rsid w:val="0066444D"/>
    <w:rsid w:val="00672BFB"/>
    <w:rsid w:val="006757E5"/>
    <w:rsid w:val="00676B50"/>
    <w:rsid w:val="006774AE"/>
    <w:rsid w:val="006812A6"/>
    <w:rsid w:val="00681651"/>
    <w:rsid w:val="00681C07"/>
    <w:rsid w:val="00685C50"/>
    <w:rsid w:val="00685F2A"/>
    <w:rsid w:val="0069289C"/>
    <w:rsid w:val="006A72EC"/>
    <w:rsid w:val="006B3031"/>
    <w:rsid w:val="006B3B71"/>
    <w:rsid w:val="006B5E8F"/>
    <w:rsid w:val="006B6830"/>
    <w:rsid w:val="006B720B"/>
    <w:rsid w:val="006C3403"/>
    <w:rsid w:val="006C690E"/>
    <w:rsid w:val="006C6FF3"/>
    <w:rsid w:val="006D3D93"/>
    <w:rsid w:val="006D459D"/>
    <w:rsid w:val="006D53BE"/>
    <w:rsid w:val="006D753C"/>
    <w:rsid w:val="006D7746"/>
    <w:rsid w:val="006E209D"/>
    <w:rsid w:val="006E2A40"/>
    <w:rsid w:val="006E51E4"/>
    <w:rsid w:val="006E5B4F"/>
    <w:rsid w:val="006E6257"/>
    <w:rsid w:val="006E66AF"/>
    <w:rsid w:val="006E6965"/>
    <w:rsid w:val="006E696D"/>
    <w:rsid w:val="006F2B89"/>
    <w:rsid w:val="006F3D9C"/>
    <w:rsid w:val="006F4014"/>
    <w:rsid w:val="006F4041"/>
    <w:rsid w:val="006F433D"/>
    <w:rsid w:val="006F51B7"/>
    <w:rsid w:val="006F5A79"/>
    <w:rsid w:val="006F5F79"/>
    <w:rsid w:val="006F6121"/>
    <w:rsid w:val="006F69AE"/>
    <w:rsid w:val="00700DC3"/>
    <w:rsid w:val="007021E6"/>
    <w:rsid w:val="0070312F"/>
    <w:rsid w:val="007056EC"/>
    <w:rsid w:val="0070737B"/>
    <w:rsid w:val="007074D7"/>
    <w:rsid w:val="00711C83"/>
    <w:rsid w:val="0071352E"/>
    <w:rsid w:val="00714CE7"/>
    <w:rsid w:val="0071717D"/>
    <w:rsid w:val="007177F6"/>
    <w:rsid w:val="0072101C"/>
    <w:rsid w:val="0072696A"/>
    <w:rsid w:val="00726B59"/>
    <w:rsid w:val="00727772"/>
    <w:rsid w:val="00730DE0"/>
    <w:rsid w:val="00732514"/>
    <w:rsid w:val="007341B7"/>
    <w:rsid w:val="00737805"/>
    <w:rsid w:val="00737D75"/>
    <w:rsid w:val="007424AF"/>
    <w:rsid w:val="007428B8"/>
    <w:rsid w:val="0074363E"/>
    <w:rsid w:val="00744056"/>
    <w:rsid w:val="00745BC5"/>
    <w:rsid w:val="00746436"/>
    <w:rsid w:val="00747056"/>
    <w:rsid w:val="0075015D"/>
    <w:rsid w:val="00751D0A"/>
    <w:rsid w:val="00753DC8"/>
    <w:rsid w:val="00754D0D"/>
    <w:rsid w:val="00757550"/>
    <w:rsid w:val="007616FB"/>
    <w:rsid w:val="007617ED"/>
    <w:rsid w:val="00762DD7"/>
    <w:rsid w:val="007651AE"/>
    <w:rsid w:val="00765872"/>
    <w:rsid w:val="00767881"/>
    <w:rsid w:val="00767EB8"/>
    <w:rsid w:val="00767FD8"/>
    <w:rsid w:val="00770047"/>
    <w:rsid w:val="00771CD7"/>
    <w:rsid w:val="007757E9"/>
    <w:rsid w:val="0077729F"/>
    <w:rsid w:val="00777C15"/>
    <w:rsid w:val="007804C1"/>
    <w:rsid w:val="0078053D"/>
    <w:rsid w:val="00780EF0"/>
    <w:rsid w:val="0078391F"/>
    <w:rsid w:val="007851E1"/>
    <w:rsid w:val="00785B71"/>
    <w:rsid w:val="00787339"/>
    <w:rsid w:val="00790EB1"/>
    <w:rsid w:val="007941FA"/>
    <w:rsid w:val="007947C0"/>
    <w:rsid w:val="00795D34"/>
    <w:rsid w:val="007A3A53"/>
    <w:rsid w:val="007A428A"/>
    <w:rsid w:val="007A532F"/>
    <w:rsid w:val="007A5536"/>
    <w:rsid w:val="007A59B4"/>
    <w:rsid w:val="007B013D"/>
    <w:rsid w:val="007B0729"/>
    <w:rsid w:val="007B1A3F"/>
    <w:rsid w:val="007B3B05"/>
    <w:rsid w:val="007B5BA9"/>
    <w:rsid w:val="007B6EC8"/>
    <w:rsid w:val="007C054D"/>
    <w:rsid w:val="007C1897"/>
    <w:rsid w:val="007C3997"/>
    <w:rsid w:val="007D0A3C"/>
    <w:rsid w:val="007D0D05"/>
    <w:rsid w:val="007D14A8"/>
    <w:rsid w:val="007D224E"/>
    <w:rsid w:val="007D3DA1"/>
    <w:rsid w:val="007D5E58"/>
    <w:rsid w:val="007D5EA5"/>
    <w:rsid w:val="007D7DE9"/>
    <w:rsid w:val="007E761B"/>
    <w:rsid w:val="007E7843"/>
    <w:rsid w:val="007E7A65"/>
    <w:rsid w:val="007E7A9C"/>
    <w:rsid w:val="007F1AD6"/>
    <w:rsid w:val="007F1C4D"/>
    <w:rsid w:val="007F32F2"/>
    <w:rsid w:val="007F4322"/>
    <w:rsid w:val="007F58EC"/>
    <w:rsid w:val="007F5AF1"/>
    <w:rsid w:val="007F5EB9"/>
    <w:rsid w:val="007F6E6F"/>
    <w:rsid w:val="008013FA"/>
    <w:rsid w:val="00801E4D"/>
    <w:rsid w:val="00802D6F"/>
    <w:rsid w:val="008113BF"/>
    <w:rsid w:val="008142FF"/>
    <w:rsid w:val="00815BCB"/>
    <w:rsid w:val="00816459"/>
    <w:rsid w:val="0082135C"/>
    <w:rsid w:val="00822B82"/>
    <w:rsid w:val="00822D63"/>
    <w:rsid w:val="00824333"/>
    <w:rsid w:val="0082752B"/>
    <w:rsid w:val="008302D2"/>
    <w:rsid w:val="00834015"/>
    <w:rsid w:val="0083449A"/>
    <w:rsid w:val="008344E0"/>
    <w:rsid w:val="00835CDF"/>
    <w:rsid w:val="00837858"/>
    <w:rsid w:val="00840796"/>
    <w:rsid w:val="00841B6B"/>
    <w:rsid w:val="008440E4"/>
    <w:rsid w:val="00845055"/>
    <w:rsid w:val="00845C39"/>
    <w:rsid w:val="00846749"/>
    <w:rsid w:val="0085365F"/>
    <w:rsid w:val="008536FF"/>
    <w:rsid w:val="00853D1E"/>
    <w:rsid w:val="00856C9F"/>
    <w:rsid w:val="008603E5"/>
    <w:rsid w:val="00860708"/>
    <w:rsid w:val="008611B6"/>
    <w:rsid w:val="00862CE4"/>
    <w:rsid w:val="0086379B"/>
    <w:rsid w:val="00863913"/>
    <w:rsid w:val="00864B3B"/>
    <w:rsid w:val="00865411"/>
    <w:rsid w:val="00867AE2"/>
    <w:rsid w:val="00867EA0"/>
    <w:rsid w:val="00870ECB"/>
    <w:rsid w:val="0087347D"/>
    <w:rsid w:val="0087490E"/>
    <w:rsid w:val="008752B8"/>
    <w:rsid w:val="00877553"/>
    <w:rsid w:val="00877B5B"/>
    <w:rsid w:val="00881EDC"/>
    <w:rsid w:val="008825D0"/>
    <w:rsid w:val="008828EA"/>
    <w:rsid w:val="00886C32"/>
    <w:rsid w:val="00892248"/>
    <w:rsid w:val="0089229B"/>
    <w:rsid w:val="00896DF8"/>
    <w:rsid w:val="008A3EF9"/>
    <w:rsid w:val="008A4061"/>
    <w:rsid w:val="008B6121"/>
    <w:rsid w:val="008B62C0"/>
    <w:rsid w:val="008B70CD"/>
    <w:rsid w:val="008B73E4"/>
    <w:rsid w:val="008C057B"/>
    <w:rsid w:val="008C3951"/>
    <w:rsid w:val="008C5DF5"/>
    <w:rsid w:val="008C5F10"/>
    <w:rsid w:val="008D0D97"/>
    <w:rsid w:val="008D25AC"/>
    <w:rsid w:val="008E47EB"/>
    <w:rsid w:val="008E487D"/>
    <w:rsid w:val="008E54AF"/>
    <w:rsid w:val="008E54DD"/>
    <w:rsid w:val="008F0D7C"/>
    <w:rsid w:val="008F0E2C"/>
    <w:rsid w:val="008F5A69"/>
    <w:rsid w:val="008F72CD"/>
    <w:rsid w:val="009003A7"/>
    <w:rsid w:val="00904BC2"/>
    <w:rsid w:val="00904C05"/>
    <w:rsid w:val="0090519C"/>
    <w:rsid w:val="00907C2B"/>
    <w:rsid w:val="00910428"/>
    <w:rsid w:val="0091467E"/>
    <w:rsid w:val="00916418"/>
    <w:rsid w:val="00920185"/>
    <w:rsid w:val="009234AE"/>
    <w:rsid w:val="009264CB"/>
    <w:rsid w:val="009305C6"/>
    <w:rsid w:val="009326C1"/>
    <w:rsid w:val="009405A0"/>
    <w:rsid w:val="00943A0E"/>
    <w:rsid w:val="00944812"/>
    <w:rsid w:val="00944BCC"/>
    <w:rsid w:val="00946CC7"/>
    <w:rsid w:val="00947B1F"/>
    <w:rsid w:val="00947F0A"/>
    <w:rsid w:val="0095209B"/>
    <w:rsid w:val="0095317B"/>
    <w:rsid w:val="0095547D"/>
    <w:rsid w:val="00955B75"/>
    <w:rsid w:val="00956A06"/>
    <w:rsid w:val="00956D39"/>
    <w:rsid w:val="00960706"/>
    <w:rsid w:val="0096219C"/>
    <w:rsid w:val="0096297B"/>
    <w:rsid w:val="00963AB9"/>
    <w:rsid w:val="0096549C"/>
    <w:rsid w:val="009715D1"/>
    <w:rsid w:val="00974103"/>
    <w:rsid w:val="00974D50"/>
    <w:rsid w:val="0097799D"/>
    <w:rsid w:val="00982D58"/>
    <w:rsid w:val="00984AB9"/>
    <w:rsid w:val="00986BF6"/>
    <w:rsid w:val="009911A4"/>
    <w:rsid w:val="00991A7D"/>
    <w:rsid w:val="0099537B"/>
    <w:rsid w:val="0099660D"/>
    <w:rsid w:val="00996C97"/>
    <w:rsid w:val="00997371"/>
    <w:rsid w:val="009A0B14"/>
    <w:rsid w:val="009A2014"/>
    <w:rsid w:val="009A5B20"/>
    <w:rsid w:val="009A5BAA"/>
    <w:rsid w:val="009B0324"/>
    <w:rsid w:val="009B1971"/>
    <w:rsid w:val="009B1AB8"/>
    <w:rsid w:val="009B237E"/>
    <w:rsid w:val="009C3299"/>
    <w:rsid w:val="009C3476"/>
    <w:rsid w:val="009C52FE"/>
    <w:rsid w:val="009D326F"/>
    <w:rsid w:val="009D4314"/>
    <w:rsid w:val="009D4900"/>
    <w:rsid w:val="009D7E9C"/>
    <w:rsid w:val="009D7FE1"/>
    <w:rsid w:val="009E33AC"/>
    <w:rsid w:val="009E402C"/>
    <w:rsid w:val="009E54E9"/>
    <w:rsid w:val="009E78CB"/>
    <w:rsid w:val="009F08D9"/>
    <w:rsid w:val="009F09B8"/>
    <w:rsid w:val="009F25C3"/>
    <w:rsid w:val="009F37AE"/>
    <w:rsid w:val="009F7944"/>
    <w:rsid w:val="009F7CAC"/>
    <w:rsid w:val="00A01F80"/>
    <w:rsid w:val="00A02D9E"/>
    <w:rsid w:val="00A03861"/>
    <w:rsid w:val="00A03B5F"/>
    <w:rsid w:val="00A0562E"/>
    <w:rsid w:val="00A0574C"/>
    <w:rsid w:val="00A06942"/>
    <w:rsid w:val="00A06C63"/>
    <w:rsid w:val="00A071B3"/>
    <w:rsid w:val="00A079BB"/>
    <w:rsid w:val="00A1360C"/>
    <w:rsid w:val="00A1562C"/>
    <w:rsid w:val="00A1588B"/>
    <w:rsid w:val="00A17678"/>
    <w:rsid w:val="00A24491"/>
    <w:rsid w:val="00A24EEB"/>
    <w:rsid w:val="00A26939"/>
    <w:rsid w:val="00A333A1"/>
    <w:rsid w:val="00A34346"/>
    <w:rsid w:val="00A34A80"/>
    <w:rsid w:val="00A42ECB"/>
    <w:rsid w:val="00A448B5"/>
    <w:rsid w:val="00A449F1"/>
    <w:rsid w:val="00A46F3D"/>
    <w:rsid w:val="00A50917"/>
    <w:rsid w:val="00A50AA0"/>
    <w:rsid w:val="00A52EEC"/>
    <w:rsid w:val="00A53188"/>
    <w:rsid w:val="00A65CC7"/>
    <w:rsid w:val="00A701FB"/>
    <w:rsid w:val="00A74B49"/>
    <w:rsid w:val="00A7556B"/>
    <w:rsid w:val="00A83A0E"/>
    <w:rsid w:val="00A84EED"/>
    <w:rsid w:val="00A850A8"/>
    <w:rsid w:val="00A85752"/>
    <w:rsid w:val="00A8654A"/>
    <w:rsid w:val="00A8710A"/>
    <w:rsid w:val="00A9265C"/>
    <w:rsid w:val="00A9437A"/>
    <w:rsid w:val="00A95EA4"/>
    <w:rsid w:val="00A973C1"/>
    <w:rsid w:val="00AA0719"/>
    <w:rsid w:val="00AA24D3"/>
    <w:rsid w:val="00AA38CF"/>
    <w:rsid w:val="00AA3992"/>
    <w:rsid w:val="00AA6BC6"/>
    <w:rsid w:val="00AB086B"/>
    <w:rsid w:val="00AB1CB4"/>
    <w:rsid w:val="00AB4F9E"/>
    <w:rsid w:val="00AB63F3"/>
    <w:rsid w:val="00AB6D49"/>
    <w:rsid w:val="00AB7786"/>
    <w:rsid w:val="00AB79CB"/>
    <w:rsid w:val="00AB7CBD"/>
    <w:rsid w:val="00AC0044"/>
    <w:rsid w:val="00AC00B0"/>
    <w:rsid w:val="00AC028A"/>
    <w:rsid w:val="00AC0D76"/>
    <w:rsid w:val="00AC1710"/>
    <w:rsid w:val="00AC2CDB"/>
    <w:rsid w:val="00AC3BA1"/>
    <w:rsid w:val="00AC44A1"/>
    <w:rsid w:val="00AC4FA0"/>
    <w:rsid w:val="00AC5439"/>
    <w:rsid w:val="00AC6AD4"/>
    <w:rsid w:val="00AC7027"/>
    <w:rsid w:val="00AC744A"/>
    <w:rsid w:val="00AD2318"/>
    <w:rsid w:val="00AD4293"/>
    <w:rsid w:val="00AD4C31"/>
    <w:rsid w:val="00AD60CE"/>
    <w:rsid w:val="00AD61F8"/>
    <w:rsid w:val="00AD700F"/>
    <w:rsid w:val="00AE1137"/>
    <w:rsid w:val="00AE18BF"/>
    <w:rsid w:val="00AE5A5B"/>
    <w:rsid w:val="00AE7165"/>
    <w:rsid w:val="00AF3C8A"/>
    <w:rsid w:val="00AF5DBC"/>
    <w:rsid w:val="00AF61DD"/>
    <w:rsid w:val="00AF65CF"/>
    <w:rsid w:val="00AF66E8"/>
    <w:rsid w:val="00B01131"/>
    <w:rsid w:val="00B01504"/>
    <w:rsid w:val="00B0213F"/>
    <w:rsid w:val="00B02FC9"/>
    <w:rsid w:val="00B11854"/>
    <w:rsid w:val="00B153CF"/>
    <w:rsid w:val="00B161B2"/>
    <w:rsid w:val="00B17C4B"/>
    <w:rsid w:val="00B20A01"/>
    <w:rsid w:val="00B22525"/>
    <w:rsid w:val="00B25B17"/>
    <w:rsid w:val="00B2785B"/>
    <w:rsid w:val="00B30F89"/>
    <w:rsid w:val="00B323CA"/>
    <w:rsid w:val="00B32883"/>
    <w:rsid w:val="00B350A7"/>
    <w:rsid w:val="00B35E41"/>
    <w:rsid w:val="00B37706"/>
    <w:rsid w:val="00B4149F"/>
    <w:rsid w:val="00B5285C"/>
    <w:rsid w:val="00B5431C"/>
    <w:rsid w:val="00B543B0"/>
    <w:rsid w:val="00B54417"/>
    <w:rsid w:val="00B55BC5"/>
    <w:rsid w:val="00B60AB9"/>
    <w:rsid w:val="00B6454C"/>
    <w:rsid w:val="00B64AE0"/>
    <w:rsid w:val="00B675B9"/>
    <w:rsid w:val="00B677E8"/>
    <w:rsid w:val="00B7079D"/>
    <w:rsid w:val="00B72718"/>
    <w:rsid w:val="00B74486"/>
    <w:rsid w:val="00B75F0D"/>
    <w:rsid w:val="00B7684F"/>
    <w:rsid w:val="00B7690A"/>
    <w:rsid w:val="00B76CE8"/>
    <w:rsid w:val="00B7732A"/>
    <w:rsid w:val="00B778B3"/>
    <w:rsid w:val="00B77AAB"/>
    <w:rsid w:val="00B812AE"/>
    <w:rsid w:val="00B82F29"/>
    <w:rsid w:val="00B8489C"/>
    <w:rsid w:val="00B84ABB"/>
    <w:rsid w:val="00B85349"/>
    <w:rsid w:val="00B856E0"/>
    <w:rsid w:val="00B93D21"/>
    <w:rsid w:val="00B96763"/>
    <w:rsid w:val="00B96A0F"/>
    <w:rsid w:val="00B96B7F"/>
    <w:rsid w:val="00B96DB8"/>
    <w:rsid w:val="00B9760D"/>
    <w:rsid w:val="00BA0595"/>
    <w:rsid w:val="00BA1EA7"/>
    <w:rsid w:val="00BA391E"/>
    <w:rsid w:val="00BA3C47"/>
    <w:rsid w:val="00BA6C7F"/>
    <w:rsid w:val="00BA70FC"/>
    <w:rsid w:val="00BA761B"/>
    <w:rsid w:val="00BA7EAB"/>
    <w:rsid w:val="00BB0C17"/>
    <w:rsid w:val="00BB1116"/>
    <w:rsid w:val="00BB41D3"/>
    <w:rsid w:val="00BB6D33"/>
    <w:rsid w:val="00BC333A"/>
    <w:rsid w:val="00BC5168"/>
    <w:rsid w:val="00BC7D38"/>
    <w:rsid w:val="00BD089F"/>
    <w:rsid w:val="00BD1870"/>
    <w:rsid w:val="00BD47C0"/>
    <w:rsid w:val="00BD6343"/>
    <w:rsid w:val="00BD6809"/>
    <w:rsid w:val="00BE04DE"/>
    <w:rsid w:val="00BE0C5D"/>
    <w:rsid w:val="00BE0F34"/>
    <w:rsid w:val="00BE384A"/>
    <w:rsid w:val="00BE56AF"/>
    <w:rsid w:val="00BE68C5"/>
    <w:rsid w:val="00BF0531"/>
    <w:rsid w:val="00BF06D8"/>
    <w:rsid w:val="00BF0C75"/>
    <w:rsid w:val="00BF1CCE"/>
    <w:rsid w:val="00BF2C55"/>
    <w:rsid w:val="00BF3EB9"/>
    <w:rsid w:val="00BF7EA9"/>
    <w:rsid w:val="00C009B1"/>
    <w:rsid w:val="00C0575F"/>
    <w:rsid w:val="00C05945"/>
    <w:rsid w:val="00C05D1B"/>
    <w:rsid w:val="00C06565"/>
    <w:rsid w:val="00C06AB5"/>
    <w:rsid w:val="00C06BFF"/>
    <w:rsid w:val="00C07970"/>
    <w:rsid w:val="00C11F5C"/>
    <w:rsid w:val="00C152BF"/>
    <w:rsid w:val="00C165CC"/>
    <w:rsid w:val="00C16BBD"/>
    <w:rsid w:val="00C16F75"/>
    <w:rsid w:val="00C2149E"/>
    <w:rsid w:val="00C22205"/>
    <w:rsid w:val="00C24EDC"/>
    <w:rsid w:val="00C3002B"/>
    <w:rsid w:val="00C312C5"/>
    <w:rsid w:val="00C3289D"/>
    <w:rsid w:val="00C32E75"/>
    <w:rsid w:val="00C33DCD"/>
    <w:rsid w:val="00C33E06"/>
    <w:rsid w:val="00C33EFB"/>
    <w:rsid w:val="00C36797"/>
    <w:rsid w:val="00C36EBA"/>
    <w:rsid w:val="00C376DA"/>
    <w:rsid w:val="00C40D85"/>
    <w:rsid w:val="00C42156"/>
    <w:rsid w:val="00C430F9"/>
    <w:rsid w:val="00C46651"/>
    <w:rsid w:val="00C470A5"/>
    <w:rsid w:val="00C503B5"/>
    <w:rsid w:val="00C574B1"/>
    <w:rsid w:val="00C60A6A"/>
    <w:rsid w:val="00C635EB"/>
    <w:rsid w:val="00C64A68"/>
    <w:rsid w:val="00C67389"/>
    <w:rsid w:val="00C67EAF"/>
    <w:rsid w:val="00C734FC"/>
    <w:rsid w:val="00C73BAB"/>
    <w:rsid w:val="00C747C5"/>
    <w:rsid w:val="00C76982"/>
    <w:rsid w:val="00C76BE6"/>
    <w:rsid w:val="00C82DF7"/>
    <w:rsid w:val="00C840A7"/>
    <w:rsid w:val="00C84215"/>
    <w:rsid w:val="00C853AC"/>
    <w:rsid w:val="00C86DAD"/>
    <w:rsid w:val="00C90CB6"/>
    <w:rsid w:val="00C93585"/>
    <w:rsid w:val="00C952E3"/>
    <w:rsid w:val="00C95F09"/>
    <w:rsid w:val="00C96FA9"/>
    <w:rsid w:val="00C974E6"/>
    <w:rsid w:val="00CA00D9"/>
    <w:rsid w:val="00CA0B29"/>
    <w:rsid w:val="00CA2419"/>
    <w:rsid w:val="00CA38C7"/>
    <w:rsid w:val="00CA6A2B"/>
    <w:rsid w:val="00CA771D"/>
    <w:rsid w:val="00CA7E74"/>
    <w:rsid w:val="00CB00A8"/>
    <w:rsid w:val="00CB0F82"/>
    <w:rsid w:val="00CB157E"/>
    <w:rsid w:val="00CB1CCB"/>
    <w:rsid w:val="00CB1EB4"/>
    <w:rsid w:val="00CB2659"/>
    <w:rsid w:val="00CB3310"/>
    <w:rsid w:val="00CB53DC"/>
    <w:rsid w:val="00CB7F81"/>
    <w:rsid w:val="00CC0F14"/>
    <w:rsid w:val="00CC1133"/>
    <w:rsid w:val="00CC1215"/>
    <w:rsid w:val="00CC1337"/>
    <w:rsid w:val="00CC24F5"/>
    <w:rsid w:val="00CC3CCA"/>
    <w:rsid w:val="00CC42B3"/>
    <w:rsid w:val="00CC59D7"/>
    <w:rsid w:val="00CD10BE"/>
    <w:rsid w:val="00CD177E"/>
    <w:rsid w:val="00CD3851"/>
    <w:rsid w:val="00CD3AE6"/>
    <w:rsid w:val="00CD3D86"/>
    <w:rsid w:val="00CD53DA"/>
    <w:rsid w:val="00CD68C6"/>
    <w:rsid w:val="00CE027C"/>
    <w:rsid w:val="00CE2BF4"/>
    <w:rsid w:val="00CE5B83"/>
    <w:rsid w:val="00CF06D0"/>
    <w:rsid w:val="00CF2748"/>
    <w:rsid w:val="00CF5A26"/>
    <w:rsid w:val="00CF5E5B"/>
    <w:rsid w:val="00CF6594"/>
    <w:rsid w:val="00D00247"/>
    <w:rsid w:val="00D02099"/>
    <w:rsid w:val="00D03EEB"/>
    <w:rsid w:val="00D06244"/>
    <w:rsid w:val="00D06CAD"/>
    <w:rsid w:val="00D07BD5"/>
    <w:rsid w:val="00D07F83"/>
    <w:rsid w:val="00D103A8"/>
    <w:rsid w:val="00D15AC1"/>
    <w:rsid w:val="00D227BC"/>
    <w:rsid w:val="00D23A6A"/>
    <w:rsid w:val="00D26654"/>
    <w:rsid w:val="00D268BA"/>
    <w:rsid w:val="00D27A94"/>
    <w:rsid w:val="00D27B0B"/>
    <w:rsid w:val="00D30385"/>
    <w:rsid w:val="00D310F7"/>
    <w:rsid w:val="00D31CE8"/>
    <w:rsid w:val="00D323E8"/>
    <w:rsid w:val="00D332EB"/>
    <w:rsid w:val="00D34C9F"/>
    <w:rsid w:val="00D369F3"/>
    <w:rsid w:val="00D36A39"/>
    <w:rsid w:val="00D374C5"/>
    <w:rsid w:val="00D4139B"/>
    <w:rsid w:val="00D42114"/>
    <w:rsid w:val="00D43198"/>
    <w:rsid w:val="00D455D7"/>
    <w:rsid w:val="00D464CD"/>
    <w:rsid w:val="00D50022"/>
    <w:rsid w:val="00D517B5"/>
    <w:rsid w:val="00D52158"/>
    <w:rsid w:val="00D52F00"/>
    <w:rsid w:val="00D5308E"/>
    <w:rsid w:val="00D538DB"/>
    <w:rsid w:val="00D544D4"/>
    <w:rsid w:val="00D55144"/>
    <w:rsid w:val="00D55E0A"/>
    <w:rsid w:val="00D577BE"/>
    <w:rsid w:val="00D63B55"/>
    <w:rsid w:val="00D665CC"/>
    <w:rsid w:val="00D667BE"/>
    <w:rsid w:val="00D67FAF"/>
    <w:rsid w:val="00D70255"/>
    <w:rsid w:val="00D71C12"/>
    <w:rsid w:val="00D728C6"/>
    <w:rsid w:val="00D73952"/>
    <w:rsid w:val="00D748D1"/>
    <w:rsid w:val="00D7547A"/>
    <w:rsid w:val="00D760A0"/>
    <w:rsid w:val="00D82899"/>
    <w:rsid w:val="00D8327D"/>
    <w:rsid w:val="00D83364"/>
    <w:rsid w:val="00D8337A"/>
    <w:rsid w:val="00D8347B"/>
    <w:rsid w:val="00D85BD2"/>
    <w:rsid w:val="00D8657A"/>
    <w:rsid w:val="00D9198B"/>
    <w:rsid w:val="00D93748"/>
    <w:rsid w:val="00D95F1B"/>
    <w:rsid w:val="00D96549"/>
    <w:rsid w:val="00DA10F6"/>
    <w:rsid w:val="00DA1439"/>
    <w:rsid w:val="00DA1AC9"/>
    <w:rsid w:val="00DA29A1"/>
    <w:rsid w:val="00DA44F8"/>
    <w:rsid w:val="00DA5C76"/>
    <w:rsid w:val="00DB2107"/>
    <w:rsid w:val="00DB244F"/>
    <w:rsid w:val="00DB31F9"/>
    <w:rsid w:val="00DB7526"/>
    <w:rsid w:val="00DC3E5A"/>
    <w:rsid w:val="00DC4DBB"/>
    <w:rsid w:val="00DC55AA"/>
    <w:rsid w:val="00DC5C72"/>
    <w:rsid w:val="00DC6E4E"/>
    <w:rsid w:val="00DC6E6E"/>
    <w:rsid w:val="00DC7B95"/>
    <w:rsid w:val="00DD0DEB"/>
    <w:rsid w:val="00DD17BA"/>
    <w:rsid w:val="00DD5257"/>
    <w:rsid w:val="00DD5283"/>
    <w:rsid w:val="00DD584B"/>
    <w:rsid w:val="00DD5EEB"/>
    <w:rsid w:val="00DD7657"/>
    <w:rsid w:val="00DE3D55"/>
    <w:rsid w:val="00DE5665"/>
    <w:rsid w:val="00DE6776"/>
    <w:rsid w:val="00DF12BA"/>
    <w:rsid w:val="00DF1BC7"/>
    <w:rsid w:val="00DF6D55"/>
    <w:rsid w:val="00E01731"/>
    <w:rsid w:val="00E01EE8"/>
    <w:rsid w:val="00E0216C"/>
    <w:rsid w:val="00E024CB"/>
    <w:rsid w:val="00E04723"/>
    <w:rsid w:val="00E116D8"/>
    <w:rsid w:val="00E11BBE"/>
    <w:rsid w:val="00E1347A"/>
    <w:rsid w:val="00E14161"/>
    <w:rsid w:val="00E1578C"/>
    <w:rsid w:val="00E161EF"/>
    <w:rsid w:val="00E166FC"/>
    <w:rsid w:val="00E201C1"/>
    <w:rsid w:val="00E20452"/>
    <w:rsid w:val="00E2086D"/>
    <w:rsid w:val="00E21107"/>
    <w:rsid w:val="00E276D0"/>
    <w:rsid w:val="00E27828"/>
    <w:rsid w:val="00E27AC9"/>
    <w:rsid w:val="00E30221"/>
    <w:rsid w:val="00E3425D"/>
    <w:rsid w:val="00E35D36"/>
    <w:rsid w:val="00E3688A"/>
    <w:rsid w:val="00E3698E"/>
    <w:rsid w:val="00E372AF"/>
    <w:rsid w:val="00E41FD2"/>
    <w:rsid w:val="00E4319F"/>
    <w:rsid w:val="00E43285"/>
    <w:rsid w:val="00E43754"/>
    <w:rsid w:val="00E43CF8"/>
    <w:rsid w:val="00E43F77"/>
    <w:rsid w:val="00E440B2"/>
    <w:rsid w:val="00E450D6"/>
    <w:rsid w:val="00E470CF"/>
    <w:rsid w:val="00E52AC4"/>
    <w:rsid w:val="00E54545"/>
    <w:rsid w:val="00E55919"/>
    <w:rsid w:val="00E5770A"/>
    <w:rsid w:val="00E609BF"/>
    <w:rsid w:val="00E618BB"/>
    <w:rsid w:val="00E62276"/>
    <w:rsid w:val="00E627CE"/>
    <w:rsid w:val="00E63DB3"/>
    <w:rsid w:val="00E65F97"/>
    <w:rsid w:val="00E6702E"/>
    <w:rsid w:val="00E670CD"/>
    <w:rsid w:val="00E7236B"/>
    <w:rsid w:val="00E73E6B"/>
    <w:rsid w:val="00E7401B"/>
    <w:rsid w:val="00E7452D"/>
    <w:rsid w:val="00E76E6E"/>
    <w:rsid w:val="00E82639"/>
    <w:rsid w:val="00E8380E"/>
    <w:rsid w:val="00E83C49"/>
    <w:rsid w:val="00E83D5D"/>
    <w:rsid w:val="00E84A32"/>
    <w:rsid w:val="00E9387F"/>
    <w:rsid w:val="00EA22A6"/>
    <w:rsid w:val="00EA28C0"/>
    <w:rsid w:val="00EA2D16"/>
    <w:rsid w:val="00EA30ED"/>
    <w:rsid w:val="00EA6859"/>
    <w:rsid w:val="00EB252B"/>
    <w:rsid w:val="00EB2C8C"/>
    <w:rsid w:val="00EB3A66"/>
    <w:rsid w:val="00EB4771"/>
    <w:rsid w:val="00EB488F"/>
    <w:rsid w:val="00EB757B"/>
    <w:rsid w:val="00EB7B6B"/>
    <w:rsid w:val="00EB7DD7"/>
    <w:rsid w:val="00EC23E7"/>
    <w:rsid w:val="00EC2CF7"/>
    <w:rsid w:val="00EC3160"/>
    <w:rsid w:val="00ED12AC"/>
    <w:rsid w:val="00ED248E"/>
    <w:rsid w:val="00ED42E5"/>
    <w:rsid w:val="00ED455E"/>
    <w:rsid w:val="00ED47D9"/>
    <w:rsid w:val="00EE030B"/>
    <w:rsid w:val="00EE160A"/>
    <w:rsid w:val="00EE37C9"/>
    <w:rsid w:val="00EE60DE"/>
    <w:rsid w:val="00EE62EE"/>
    <w:rsid w:val="00EF0AEB"/>
    <w:rsid w:val="00EF1185"/>
    <w:rsid w:val="00EF1733"/>
    <w:rsid w:val="00EF3443"/>
    <w:rsid w:val="00EF3921"/>
    <w:rsid w:val="00F02D94"/>
    <w:rsid w:val="00F05E74"/>
    <w:rsid w:val="00F0651B"/>
    <w:rsid w:val="00F10F29"/>
    <w:rsid w:val="00F11204"/>
    <w:rsid w:val="00F1268E"/>
    <w:rsid w:val="00F14213"/>
    <w:rsid w:val="00F152E1"/>
    <w:rsid w:val="00F213A0"/>
    <w:rsid w:val="00F214C8"/>
    <w:rsid w:val="00F242C4"/>
    <w:rsid w:val="00F25A36"/>
    <w:rsid w:val="00F2630C"/>
    <w:rsid w:val="00F266F4"/>
    <w:rsid w:val="00F303FD"/>
    <w:rsid w:val="00F31614"/>
    <w:rsid w:val="00F3304B"/>
    <w:rsid w:val="00F3769A"/>
    <w:rsid w:val="00F37C8E"/>
    <w:rsid w:val="00F37F7E"/>
    <w:rsid w:val="00F42D19"/>
    <w:rsid w:val="00F47DE7"/>
    <w:rsid w:val="00F51C6E"/>
    <w:rsid w:val="00F51D10"/>
    <w:rsid w:val="00F52D97"/>
    <w:rsid w:val="00F5336F"/>
    <w:rsid w:val="00F56545"/>
    <w:rsid w:val="00F575DF"/>
    <w:rsid w:val="00F57976"/>
    <w:rsid w:val="00F6187A"/>
    <w:rsid w:val="00F6468C"/>
    <w:rsid w:val="00F65EC6"/>
    <w:rsid w:val="00F66598"/>
    <w:rsid w:val="00F667C0"/>
    <w:rsid w:val="00F66C0F"/>
    <w:rsid w:val="00F6759F"/>
    <w:rsid w:val="00F67D57"/>
    <w:rsid w:val="00F67FE8"/>
    <w:rsid w:val="00F73169"/>
    <w:rsid w:val="00F73675"/>
    <w:rsid w:val="00F73790"/>
    <w:rsid w:val="00F75FC8"/>
    <w:rsid w:val="00F7644D"/>
    <w:rsid w:val="00F76BB8"/>
    <w:rsid w:val="00F77EF9"/>
    <w:rsid w:val="00F80366"/>
    <w:rsid w:val="00F80E3D"/>
    <w:rsid w:val="00F8249C"/>
    <w:rsid w:val="00F83AB4"/>
    <w:rsid w:val="00F85976"/>
    <w:rsid w:val="00F90E7A"/>
    <w:rsid w:val="00F92452"/>
    <w:rsid w:val="00F92DDC"/>
    <w:rsid w:val="00F940D4"/>
    <w:rsid w:val="00F948F7"/>
    <w:rsid w:val="00F95545"/>
    <w:rsid w:val="00F96754"/>
    <w:rsid w:val="00FA0EC8"/>
    <w:rsid w:val="00FA3230"/>
    <w:rsid w:val="00FA4DB7"/>
    <w:rsid w:val="00FA66A0"/>
    <w:rsid w:val="00FA796C"/>
    <w:rsid w:val="00FB0DCF"/>
    <w:rsid w:val="00FB5D9B"/>
    <w:rsid w:val="00FC1A90"/>
    <w:rsid w:val="00FC35CC"/>
    <w:rsid w:val="00FC4DBA"/>
    <w:rsid w:val="00FC5086"/>
    <w:rsid w:val="00FC5EC0"/>
    <w:rsid w:val="00FC65F0"/>
    <w:rsid w:val="00FC755D"/>
    <w:rsid w:val="00FC77E3"/>
    <w:rsid w:val="00FD0666"/>
    <w:rsid w:val="00FD0FF8"/>
    <w:rsid w:val="00FD1DF9"/>
    <w:rsid w:val="00FD1DFA"/>
    <w:rsid w:val="00FD2C32"/>
    <w:rsid w:val="00FD4411"/>
    <w:rsid w:val="00FD4820"/>
    <w:rsid w:val="00FD49F0"/>
    <w:rsid w:val="00FD501F"/>
    <w:rsid w:val="00FD663E"/>
    <w:rsid w:val="00FE10F7"/>
    <w:rsid w:val="00FE2B38"/>
    <w:rsid w:val="00FE502A"/>
    <w:rsid w:val="00FE7140"/>
    <w:rsid w:val="00FF1DC1"/>
    <w:rsid w:val="00FF2016"/>
    <w:rsid w:val="00FF422F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F37EA"/>
  <w15:docId w15:val="{22CEF843-976A-4C00-8542-7EDB02A9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C7"/>
    <w:rPr>
      <w:lang w:val="ru-RU" w:eastAsia="ru-RU"/>
    </w:rPr>
  </w:style>
  <w:style w:type="paragraph" w:styleId="1">
    <w:name w:val="heading 1"/>
    <w:basedOn w:val="a"/>
    <w:next w:val="a"/>
    <w:qFormat/>
    <w:rsid w:val="00127E55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127E55"/>
    <w:pPr>
      <w:keepNext/>
      <w:ind w:left="150"/>
      <w:jc w:val="both"/>
      <w:outlineLvl w:val="1"/>
    </w:pPr>
    <w:rPr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841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7E55"/>
    <w:pPr>
      <w:jc w:val="both"/>
    </w:pPr>
    <w:rPr>
      <w:b/>
      <w:sz w:val="28"/>
      <w:lang w:val="uk-UA"/>
    </w:rPr>
  </w:style>
  <w:style w:type="paragraph" w:styleId="a4">
    <w:name w:val="Body Text Indent"/>
    <w:basedOn w:val="a"/>
    <w:rsid w:val="00127E55"/>
    <w:pPr>
      <w:ind w:left="930"/>
      <w:jc w:val="both"/>
    </w:pPr>
    <w:rPr>
      <w:sz w:val="28"/>
      <w:lang w:val="uk-UA"/>
    </w:rPr>
  </w:style>
  <w:style w:type="paragraph" w:styleId="20">
    <w:name w:val="Body Text 2"/>
    <w:basedOn w:val="a"/>
    <w:rsid w:val="00127E55"/>
    <w:pPr>
      <w:jc w:val="both"/>
    </w:pPr>
    <w:rPr>
      <w:sz w:val="28"/>
      <w:lang w:val="uk-UA"/>
    </w:rPr>
  </w:style>
  <w:style w:type="paragraph" w:styleId="21">
    <w:name w:val="Body Text Indent 2"/>
    <w:basedOn w:val="a"/>
    <w:rsid w:val="00127E55"/>
    <w:pPr>
      <w:ind w:left="567" w:hanging="417"/>
      <w:jc w:val="both"/>
    </w:pPr>
    <w:rPr>
      <w:sz w:val="28"/>
      <w:lang w:val="uk-UA"/>
    </w:rPr>
  </w:style>
  <w:style w:type="paragraph" w:styleId="3">
    <w:name w:val="Body Text 3"/>
    <w:basedOn w:val="a"/>
    <w:rsid w:val="00127E55"/>
    <w:pPr>
      <w:jc w:val="both"/>
    </w:pPr>
    <w:rPr>
      <w:i/>
      <w:sz w:val="27"/>
      <w:lang w:val="uk-UA"/>
    </w:rPr>
  </w:style>
  <w:style w:type="paragraph" w:styleId="30">
    <w:name w:val="Body Text Indent 3"/>
    <w:basedOn w:val="a"/>
    <w:rsid w:val="00127E55"/>
    <w:pPr>
      <w:ind w:left="75"/>
      <w:jc w:val="both"/>
    </w:pPr>
    <w:rPr>
      <w:sz w:val="28"/>
      <w:lang w:val="uk-UA"/>
    </w:rPr>
  </w:style>
  <w:style w:type="table" w:styleId="a5">
    <w:name w:val="Table Grid"/>
    <w:basedOn w:val="a1"/>
    <w:rsid w:val="0076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D39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D39D4"/>
    <w:rPr>
      <w:rFonts w:ascii="Tahoma" w:hAnsi="Tahoma" w:cs="Tahoma"/>
      <w:sz w:val="16"/>
      <w:szCs w:val="16"/>
      <w:lang w:val="ru-RU" w:eastAsia="ru-RU"/>
    </w:rPr>
  </w:style>
  <w:style w:type="paragraph" w:styleId="a8">
    <w:name w:val="Title"/>
    <w:basedOn w:val="a"/>
    <w:next w:val="a"/>
    <w:link w:val="a9"/>
    <w:qFormat/>
    <w:rsid w:val="000A58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rsid w:val="000A5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a">
    <w:name w:val="List Paragraph"/>
    <w:basedOn w:val="a"/>
    <w:uiPriority w:val="34"/>
    <w:qFormat/>
    <w:rsid w:val="0066382F"/>
    <w:pPr>
      <w:ind w:left="720"/>
      <w:contextualSpacing/>
    </w:pPr>
  </w:style>
  <w:style w:type="paragraph" w:styleId="ab">
    <w:name w:val="header"/>
    <w:basedOn w:val="a"/>
    <w:link w:val="ac"/>
    <w:rsid w:val="00584B9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rsid w:val="00584B91"/>
    <w:rPr>
      <w:lang w:val="ru-RU" w:eastAsia="ru-RU"/>
    </w:rPr>
  </w:style>
  <w:style w:type="paragraph" w:styleId="ad">
    <w:name w:val="footer"/>
    <w:basedOn w:val="a"/>
    <w:link w:val="ae"/>
    <w:rsid w:val="00584B9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584B91"/>
    <w:rPr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841B6B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898C1-0F09-42B4-A9BB-80EFE3AA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2670</Words>
  <Characters>13409</Characters>
  <Application>Microsoft Office Word</Application>
  <DocSecurity>0</DocSecurity>
  <Lines>111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 записка</vt:lpstr>
    </vt:vector>
  </TitlesOfParts>
  <Company>Port of Odessa</Company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</dc:title>
  <dc:creator>gerbich</dc:creator>
  <cp:lastModifiedBy>Нефедова Наталія Володимирівна</cp:lastModifiedBy>
  <cp:revision>11</cp:revision>
  <cp:lastPrinted>2018-08-01T08:57:00Z</cp:lastPrinted>
  <dcterms:created xsi:type="dcterms:W3CDTF">2019-02-28T13:04:00Z</dcterms:created>
  <dcterms:modified xsi:type="dcterms:W3CDTF">2019-03-04T13:14:00Z</dcterms:modified>
</cp:coreProperties>
</file>