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70B8" w14:textId="77777777" w:rsidR="00461B21" w:rsidRPr="007C1B61" w:rsidRDefault="00461B21" w:rsidP="00461B21">
      <w:pPr>
        <w:tabs>
          <w:tab w:val="left" w:pos="-3686"/>
        </w:tabs>
        <w:ind w:left="4956" w:right="45"/>
        <w:jc w:val="center"/>
        <w:rPr>
          <w:color w:val="000000"/>
          <w:shd w:val="clear" w:color="auto" w:fill="FFFFFF"/>
        </w:rPr>
      </w:pPr>
      <w:bookmarkStart w:id="0" w:name="_GoBack"/>
      <w:bookmarkEnd w:id="0"/>
      <w:r w:rsidRPr="000B61B5">
        <w:rPr>
          <w:color w:val="000000"/>
          <w:shd w:val="clear" w:color="auto" w:fill="FFFFFF"/>
        </w:rPr>
        <w:t>Додаток 2 </w:t>
      </w:r>
      <w:r w:rsidRPr="000B61B5">
        <w:rPr>
          <w:color w:val="000000"/>
        </w:rPr>
        <w:br/>
      </w:r>
      <w:r w:rsidRPr="000B61B5">
        <w:rPr>
          <w:color w:val="000000"/>
          <w:shd w:val="clear" w:color="auto" w:fill="FFFFFF"/>
        </w:rPr>
        <w:t>до Методики проведення аналізу впливу </w:t>
      </w:r>
      <w:r w:rsidRPr="000B61B5">
        <w:rPr>
          <w:color w:val="000000"/>
        </w:rPr>
        <w:br/>
      </w:r>
      <w:r>
        <w:rPr>
          <w:color w:val="000000"/>
          <w:shd w:val="clear" w:color="auto" w:fill="FFFFFF"/>
        </w:rPr>
        <w:t>регуляторного акта</w:t>
      </w:r>
    </w:p>
    <w:p w14:paraId="0F2828F9" w14:textId="77777777" w:rsidR="00461B21" w:rsidRPr="00025582" w:rsidRDefault="00461B21" w:rsidP="00461B21">
      <w:pPr>
        <w:ind w:left="5103"/>
        <w:rPr>
          <w:b/>
        </w:rPr>
      </w:pPr>
    </w:p>
    <w:p w14:paraId="12B8A21D" w14:textId="77777777" w:rsidR="00461B21" w:rsidRPr="007C1B61" w:rsidRDefault="00461B21" w:rsidP="00461B21">
      <w:pPr>
        <w:jc w:val="center"/>
        <w:rPr>
          <w:rStyle w:val="rvts15"/>
          <w:sz w:val="28"/>
          <w:szCs w:val="28"/>
        </w:rPr>
      </w:pPr>
      <w:r w:rsidRPr="000B61B5">
        <w:rPr>
          <w:rStyle w:val="rvts15"/>
          <w:b/>
          <w:bCs/>
          <w:sz w:val="28"/>
          <w:szCs w:val="28"/>
          <w:shd w:val="clear" w:color="auto" w:fill="FFFFFF"/>
        </w:rPr>
        <w:t>Витрати </w:t>
      </w:r>
      <w:r w:rsidRPr="000B61B5">
        <w:rPr>
          <w:sz w:val="28"/>
          <w:szCs w:val="28"/>
        </w:rPr>
        <w:t xml:space="preserve"> </w:t>
      </w:r>
      <w:r w:rsidRPr="000B61B5">
        <w:rPr>
          <w:rStyle w:val="rvts15"/>
          <w:b/>
          <w:bCs/>
          <w:sz w:val="28"/>
          <w:szCs w:val="28"/>
          <w:shd w:val="clear" w:color="auto" w:fill="FFFFFF"/>
        </w:rPr>
        <w:t xml:space="preserve">на одного суб’єкта господарювання великого і середнього підприємництва, які виникають </w:t>
      </w:r>
      <w:r>
        <w:rPr>
          <w:rStyle w:val="rvts15"/>
          <w:b/>
          <w:bCs/>
          <w:sz w:val="28"/>
          <w:szCs w:val="28"/>
          <w:shd w:val="clear" w:color="auto" w:fill="FFFFFF"/>
        </w:rPr>
        <w:t>внаслідок дії регуляторного акту</w:t>
      </w:r>
    </w:p>
    <w:p w14:paraId="502FFB37" w14:textId="77777777" w:rsidR="00461B21" w:rsidRPr="00025582" w:rsidRDefault="00461B21" w:rsidP="00461B21">
      <w:pPr>
        <w:pStyle w:val="Style21"/>
        <w:widowControl/>
        <w:tabs>
          <w:tab w:val="left" w:pos="1406"/>
        </w:tabs>
        <w:spacing w:line="240" w:lineRule="auto"/>
        <w:ind w:firstLine="567"/>
        <w:jc w:val="center"/>
        <w:rPr>
          <w:rStyle w:val="rvts15"/>
          <w:b/>
          <w:bCs/>
          <w:shd w:val="clear" w:color="auto" w:fill="FFFFFF"/>
        </w:rPr>
      </w:pPr>
    </w:p>
    <w:p w14:paraId="5BC54E29" w14:textId="77777777" w:rsidR="00461B21" w:rsidRPr="000B61B5" w:rsidRDefault="00461B21" w:rsidP="00461B21">
      <w:pPr>
        <w:pStyle w:val="Style21"/>
        <w:widowControl/>
        <w:tabs>
          <w:tab w:val="left" w:pos="1406"/>
        </w:tabs>
        <w:spacing w:line="240" w:lineRule="auto"/>
        <w:ind w:firstLine="545"/>
        <w:jc w:val="both"/>
        <w:rPr>
          <w:rStyle w:val="rvts15"/>
          <w:bCs/>
          <w:sz w:val="28"/>
          <w:szCs w:val="28"/>
          <w:shd w:val="clear" w:color="auto" w:fill="FFFFFF"/>
        </w:rPr>
      </w:pPr>
      <w:r w:rsidRPr="000B61B5">
        <w:rPr>
          <w:rStyle w:val="rvts15"/>
          <w:bCs/>
          <w:sz w:val="28"/>
          <w:szCs w:val="28"/>
          <w:shd w:val="clear" w:color="auto" w:fill="FFFFFF"/>
        </w:rPr>
        <w:t>До розрахунку витрат на одного суб’єкта господарювання великого і сере</w:t>
      </w:r>
      <w:r>
        <w:rPr>
          <w:rStyle w:val="rvts15"/>
          <w:bCs/>
          <w:sz w:val="28"/>
          <w:szCs w:val="28"/>
          <w:shd w:val="clear" w:color="auto" w:fill="FFFFFF"/>
        </w:rPr>
        <w:t>днього підприємництва були взято</w:t>
      </w:r>
      <w:r w:rsidRPr="000B61B5">
        <w:rPr>
          <w:rStyle w:val="rvts15"/>
          <w:bCs/>
          <w:sz w:val="28"/>
          <w:szCs w:val="28"/>
          <w:shd w:val="clear" w:color="auto" w:fill="FFFFFF"/>
        </w:rPr>
        <w:t xml:space="preserve"> до уваги:</w:t>
      </w:r>
    </w:p>
    <w:p w14:paraId="3B546B4A" w14:textId="6BF472A1" w:rsidR="00461B21" w:rsidRPr="000B61B5" w:rsidRDefault="00461B21" w:rsidP="00461B21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rvts15"/>
          <w:bCs/>
          <w:sz w:val="28"/>
          <w:szCs w:val="28"/>
          <w:shd w:val="clear" w:color="auto" w:fill="FFFFFF"/>
        </w:rPr>
      </w:pPr>
      <w:r>
        <w:rPr>
          <w:rStyle w:val="rvts15"/>
          <w:bCs/>
          <w:sz w:val="28"/>
          <w:szCs w:val="28"/>
          <w:shd w:val="clear" w:color="auto" w:fill="FFFFFF"/>
        </w:rPr>
        <w:t>к</w:t>
      </w:r>
      <w:r w:rsidRPr="000B61B5">
        <w:rPr>
          <w:rStyle w:val="rvts15"/>
          <w:bCs/>
          <w:sz w:val="28"/>
          <w:szCs w:val="28"/>
          <w:shd w:val="clear" w:color="auto" w:fill="FFFFFF"/>
        </w:rPr>
        <w:t xml:space="preserve">ількість суб’єктів господарювання великого і середнього підприємництва на </w:t>
      </w:r>
      <w:r>
        <w:rPr>
          <w:rStyle w:val="rvts15"/>
          <w:bCs/>
          <w:sz w:val="28"/>
          <w:szCs w:val="28"/>
          <w:shd w:val="clear" w:color="auto" w:fill="FFFFFF"/>
        </w:rPr>
        <w:t xml:space="preserve">морському та </w:t>
      </w:r>
      <w:r w:rsidR="00993F80" w:rsidRPr="00993F80">
        <w:rPr>
          <w:rStyle w:val="rvts15"/>
          <w:bCs/>
          <w:sz w:val="28"/>
          <w:szCs w:val="28"/>
          <w:shd w:val="clear" w:color="auto" w:fill="FFFFFF"/>
        </w:rPr>
        <w:t>внутрішньому водному</w:t>
      </w:r>
      <w:r>
        <w:rPr>
          <w:rStyle w:val="rvts15"/>
          <w:bCs/>
          <w:sz w:val="28"/>
          <w:szCs w:val="28"/>
          <w:shd w:val="clear" w:color="auto" w:fill="FFFFFF"/>
        </w:rPr>
        <w:t xml:space="preserve"> транспорті </w:t>
      </w:r>
      <w:r w:rsidRPr="000B61B5">
        <w:rPr>
          <w:rStyle w:val="rvts15"/>
          <w:bCs/>
          <w:sz w:val="28"/>
          <w:szCs w:val="28"/>
          <w:shd w:val="clear" w:color="auto" w:fill="FFFFFF"/>
        </w:rPr>
        <w:t xml:space="preserve">України </w:t>
      </w:r>
      <w:r>
        <w:rPr>
          <w:rStyle w:val="rvts15"/>
          <w:bCs/>
          <w:sz w:val="28"/>
          <w:szCs w:val="28"/>
          <w:shd w:val="clear" w:color="auto" w:fill="FFFFFF"/>
        </w:rPr>
        <w:t xml:space="preserve">відповідно до </w:t>
      </w:r>
      <w:r w:rsidRPr="000B61B5">
        <w:rPr>
          <w:rStyle w:val="rvts15"/>
          <w:bCs/>
          <w:sz w:val="28"/>
          <w:szCs w:val="28"/>
          <w:shd w:val="clear" w:color="auto" w:fill="FFFFFF"/>
        </w:rPr>
        <w:t>даних</w:t>
      </w:r>
      <w:r>
        <w:rPr>
          <w:rStyle w:val="rvts15"/>
          <w:bCs/>
          <w:sz w:val="28"/>
          <w:szCs w:val="28"/>
          <w:shd w:val="clear" w:color="auto" w:fill="FFFFFF"/>
        </w:rPr>
        <w:t xml:space="preserve">, взятих із Державного суднового реєстру України, </w:t>
      </w:r>
      <w:r w:rsidRPr="00461B21">
        <w:rPr>
          <w:rStyle w:val="rvts15"/>
          <w:bCs/>
          <w:sz w:val="28"/>
          <w:szCs w:val="28"/>
          <w:shd w:val="clear" w:color="auto" w:fill="FFFFFF"/>
        </w:rPr>
        <w:t>ведення якого покладається на Державну службу морського та рі</w:t>
      </w:r>
      <w:r w:rsidR="00993F80" w:rsidRPr="00993F80">
        <w:rPr>
          <w:rStyle w:val="rvts15"/>
          <w:bCs/>
          <w:sz w:val="28"/>
          <w:szCs w:val="28"/>
          <w:shd w:val="clear" w:color="auto" w:fill="FFFFFF"/>
        </w:rPr>
        <w:t>ч</w:t>
      </w:r>
      <w:r w:rsidRPr="00461B21">
        <w:rPr>
          <w:rStyle w:val="rvts15"/>
          <w:bCs/>
          <w:sz w:val="28"/>
          <w:szCs w:val="28"/>
          <w:shd w:val="clear" w:color="auto" w:fill="FFFFFF"/>
        </w:rPr>
        <w:t xml:space="preserve">кового транспорту України відповідно до постанови Кабінету Міністрів України від 26.09.1997 №1069 </w:t>
      </w:r>
      <w:r w:rsidR="00993F80" w:rsidRPr="00993F80">
        <w:rPr>
          <w:rStyle w:val="rvts15"/>
          <w:bCs/>
          <w:sz w:val="28"/>
          <w:szCs w:val="28"/>
          <w:shd w:val="clear" w:color="auto" w:fill="FFFFFF"/>
        </w:rPr>
        <w:t>«</w:t>
      </w:r>
      <w:r w:rsidRPr="00461B21">
        <w:rPr>
          <w:rStyle w:val="rvts15"/>
          <w:bCs/>
          <w:sz w:val="28"/>
          <w:szCs w:val="28"/>
          <w:shd w:val="clear" w:color="auto" w:fill="FFFFFF"/>
        </w:rPr>
        <w:t>Про затвердження Порядку ведення Державного суднового реєстру України і Суднової книги України</w:t>
      </w:r>
      <w:r w:rsidR="00993F80" w:rsidRPr="00993F80">
        <w:rPr>
          <w:rStyle w:val="rvts15"/>
          <w:bCs/>
          <w:sz w:val="28"/>
          <w:szCs w:val="28"/>
          <w:shd w:val="clear" w:color="auto" w:fill="FFFFFF"/>
        </w:rPr>
        <w:t>»</w:t>
      </w:r>
      <w:r w:rsidRPr="000B61B5">
        <w:rPr>
          <w:rStyle w:val="rvts15"/>
          <w:bCs/>
          <w:sz w:val="28"/>
          <w:szCs w:val="28"/>
          <w:shd w:val="clear" w:color="auto" w:fill="FFFFFF"/>
        </w:rPr>
        <w:t xml:space="preserve"> </w:t>
      </w:r>
      <w:r>
        <w:rPr>
          <w:rStyle w:val="rvts15"/>
          <w:bCs/>
          <w:sz w:val="28"/>
          <w:szCs w:val="28"/>
          <w:shd w:val="clear" w:color="auto" w:fill="FFFFFF"/>
        </w:rPr>
        <w:t>- 790 суб’єкт</w:t>
      </w:r>
      <w:r w:rsidR="00993F80" w:rsidRPr="00993F80">
        <w:rPr>
          <w:rStyle w:val="rvts15"/>
          <w:bCs/>
          <w:sz w:val="28"/>
          <w:szCs w:val="28"/>
          <w:shd w:val="clear" w:color="auto" w:fill="FFFFFF"/>
        </w:rPr>
        <w:t>ів</w:t>
      </w:r>
      <w:r>
        <w:rPr>
          <w:rStyle w:val="rvts15"/>
          <w:bCs/>
          <w:sz w:val="28"/>
          <w:szCs w:val="28"/>
          <w:shd w:val="clear" w:color="auto" w:fill="FFFFFF"/>
        </w:rPr>
        <w:t>;</w:t>
      </w:r>
    </w:p>
    <w:p w14:paraId="30A4BB0B" w14:textId="79F9A2A0" w:rsidR="00461B21" w:rsidRDefault="00461B21" w:rsidP="00461B21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rvts15"/>
          <w:bCs/>
          <w:sz w:val="28"/>
          <w:szCs w:val="28"/>
          <w:shd w:val="clear" w:color="auto" w:fill="FFFFFF"/>
        </w:rPr>
      </w:pPr>
      <w:r>
        <w:rPr>
          <w:rStyle w:val="rvts15"/>
          <w:bCs/>
          <w:sz w:val="28"/>
          <w:szCs w:val="28"/>
          <w:shd w:val="clear" w:color="auto" w:fill="FFFFFF"/>
        </w:rPr>
        <w:t>кількість суден у 1-го суб’єкта великого підприємництва – 2 судна. Всього 90 суб’єктів;</w:t>
      </w:r>
    </w:p>
    <w:p w14:paraId="3AA86193" w14:textId="4BD97296" w:rsidR="00461B21" w:rsidRPr="00914A43" w:rsidRDefault="00461B21" w:rsidP="00461B21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rvts15"/>
          <w:bCs/>
          <w:sz w:val="28"/>
          <w:szCs w:val="28"/>
          <w:shd w:val="clear" w:color="auto" w:fill="FFFFFF"/>
        </w:rPr>
      </w:pPr>
      <w:r w:rsidRPr="00914A43">
        <w:rPr>
          <w:rStyle w:val="rvts15"/>
          <w:bCs/>
          <w:sz w:val="28"/>
          <w:szCs w:val="28"/>
          <w:shd w:val="clear" w:color="auto" w:fill="FFFFFF"/>
        </w:rPr>
        <w:t>кількість суден у 1-го суб’єкта середнього підприємництва – 1 судно. Всього 700 суб’єктів</w:t>
      </w:r>
      <w:r w:rsidR="007A2BAB" w:rsidRPr="00914A43">
        <w:rPr>
          <w:rStyle w:val="rvts15"/>
          <w:bCs/>
          <w:sz w:val="28"/>
          <w:szCs w:val="28"/>
          <w:shd w:val="clear" w:color="auto" w:fill="FFFFFF"/>
        </w:rPr>
        <w:t>.</w:t>
      </w:r>
    </w:p>
    <w:p w14:paraId="589F5ED2" w14:textId="44EB9054" w:rsidR="00914A43" w:rsidRPr="00185194" w:rsidRDefault="00914A43" w:rsidP="00914A43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rvts15"/>
          <w:bCs/>
          <w:sz w:val="28"/>
          <w:szCs w:val="28"/>
          <w:shd w:val="clear" w:color="auto" w:fill="FFFFFF"/>
        </w:rPr>
      </w:pPr>
      <w:r w:rsidRPr="00914A43">
        <w:rPr>
          <w:rStyle w:val="rvts15"/>
          <w:bCs/>
          <w:sz w:val="28"/>
          <w:szCs w:val="28"/>
          <w:shd w:val="clear" w:color="auto" w:fill="FFFFFF"/>
        </w:rPr>
        <w:t>До розрахунку включені суб’єкти господарювання – судновласники суден під прапором України, оскільки отримання відповідної інформації щодо судновласників суден під іноземним прапором не є можливим. При цьому кількість суднозаходів суден до морських портів України за 2019</w:t>
      </w:r>
      <w:r>
        <w:rPr>
          <w:rStyle w:val="rvts15"/>
          <w:bCs/>
          <w:sz w:val="28"/>
          <w:szCs w:val="28"/>
          <w:shd w:val="clear" w:color="auto" w:fill="FFFFFF"/>
        </w:rPr>
        <w:t xml:space="preserve"> рік склала 11 850 </w:t>
      </w:r>
      <w:r w:rsidRPr="00185194">
        <w:rPr>
          <w:rStyle w:val="rvts15"/>
          <w:bCs/>
          <w:sz w:val="28"/>
          <w:szCs w:val="28"/>
          <w:shd w:val="clear" w:color="auto" w:fill="FFFFFF"/>
        </w:rPr>
        <w:t>суднозаходів, за 2020 рік – 10 851 суднозаходів. Сумарно за 2 роки до українських морських портів судна заходили 22 701 раз.</w:t>
      </w:r>
    </w:p>
    <w:p w14:paraId="1108EA31" w14:textId="77777777" w:rsidR="00185194" w:rsidRPr="00185194" w:rsidRDefault="00185194" w:rsidP="00185194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rvts15"/>
          <w:bCs/>
          <w:sz w:val="28"/>
          <w:szCs w:val="28"/>
          <w:shd w:val="clear" w:color="auto" w:fill="FFFFFF"/>
        </w:rPr>
      </w:pPr>
      <w:r w:rsidRPr="00185194">
        <w:rPr>
          <w:rStyle w:val="rvts15"/>
          <w:bCs/>
          <w:sz w:val="28"/>
          <w:szCs w:val="28"/>
          <w:shd w:val="clear" w:color="auto" w:fill="FFFFFF"/>
        </w:rPr>
        <w:t>Судна під прапором України в українських морських портах за 2019-2020 роки перевірялись 1285 разів.</w:t>
      </w:r>
    </w:p>
    <w:p w14:paraId="67554CB2" w14:textId="6E7CDB7D" w:rsidR="00185194" w:rsidRPr="00185194" w:rsidRDefault="00185194" w:rsidP="00185194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rvts15"/>
          <w:bCs/>
          <w:sz w:val="28"/>
          <w:szCs w:val="28"/>
          <w:shd w:val="clear" w:color="auto" w:fill="FFFFFF"/>
        </w:rPr>
      </w:pPr>
      <w:r w:rsidRPr="00185194">
        <w:rPr>
          <w:rStyle w:val="rvts15"/>
          <w:bCs/>
          <w:sz w:val="28"/>
          <w:szCs w:val="28"/>
          <w:shd w:val="clear" w:color="auto" w:fill="FFFFFF"/>
        </w:rPr>
        <w:t>У розрахунку формулу економії суден під прапором України застосовано до усіх суден, які перевірялись в українських морських портах.</w:t>
      </w:r>
    </w:p>
    <w:p w14:paraId="2DF4AEFC" w14:textId="5169EA7B" w:rsidR="00185194" w:rsidRPr="00185194" w:rsidRDefault="00185194" w:rsidP="00185194">
      <w:pPr>
        <w:pStyle w:val="Style21"/>
        <w:widowControl/>
        <w:tabs>
          <w:tab w:val="left" w:pos="1406"/>
        </w:tabs>
        <w:spacing w:line="240" w:lineRule="auto"/>
        <w:jc w:val="both"/>
        <w:rPr>
          <w:sz w:val="28"/>
          <w:szCs w:val="28"/>
        </w:rPr>
      </w:pPr>
      <w:r w:rsidRPr="00185194">
        <w:rPr>
          <w:rStyle w:val="rvts15"/>
          <w:bCs/>
          <w:sz w:val="28"/>
          <w:szCs w:val="28"/>
          <w:shd w:val="clear" w:color="auto" w:fill="FFFFFF"/>
        </w:rPr>
        <w:t>За 2019-2020 роки в морських портах України здійснено 6714 перевірок суден. При цьому відповідно</w:t>
      </w:r>
      <w:r w:rsidRPr="00185194">
        <w:rPr>
          <w:sz w:val="28"/>
          <w:szCs w:val="28"/>
        </w:rPr>
        <w:t xml:space="preserve"> до існуючої процедури проведено 1420 повторних та 1592 детальні перевірки.</w:t>
      </w:r>
    </w:p>
    <w:p w14:paraId="2105770A" w14:textId="69B48C74" w:rsidR="00997CF8" w:rsidRDefault="00997CF8" w:rsidP="00461B21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rvts15"/>
          <w:bCs/>
          <w:sz w:val="28"/>
          <w:szCs w:val="28"/>
          <w:shd w:val="clear" w:color="auto" w:fill="FFFFFF"/>
          <w:lang w:val="ru-RU"/>
        </w:rPr>
      </w:pPr>
    </w:p>
    <w:p w14:paraId="662CDE58" w14:textId="77777777" w:rsidR="00997CF8" w:rsidRPr="00C15F01" w:rsidRDefault="00997CF8" w:rsidP="00997CF8">
      <w:pPr>
        <w:pStyle w:val="Style21"/>
        <w:widowControl/>
        <w:tabs>
          <w:tab w:val="left" w:pos="1406"/>
        </w:tabs>
        <w:spacing w:line="240" w:lineRule="auto"/>
        <w:ind w:firstLine="567"/>
        <w:jc w:val="center"/>
        <w:rPr>
          <w:rStyle w:val="FontStyle41"/>
          <w:bCs/>
          <w:sz w:val="28"/>
          <w:szCs w:val="28"/>
        </w:rPr>
      </w:pPr>
      <w:r w:rsidRPr="00C15F01">
        <w:rPr>
          <w:rStyle w:val="FontStyle41"/>
          <w:bCs/>
          <w:sz w:val="28"/>
          <w:szCs w:val="28"/>
        </w:rPr>
        <w:t>Витрати у разі не впровадженням дії регуляторного акта</w:t>
      </w:r>
    </w:p>
    <w:p w14:paraId="625AB98C" w14:textId="77777777" w:rsidR="00997CF8" w:rsidRDefault="00997CF8" w:rsidP="00997CF8">
      <w:pPr>
        <w:pStyle w:val="Style21"/>
        <w:widowControl/>
        <w:tabs>
          <w:tab w:val="left" w:pos="1406"/>
        </w:tabs>
        <w:spacing w:line="240" w:lineRule="auto"/>
        <w:ind w:firstLine="567"/>
        <w:jc w:val="center"/>
        <w:rPr>
          <w:rStyle w:val="FontStyle41"/>
          <w:b w:val="0"/>
          <w:sz w:val="28"/>
          <w:szCs w:val="28"/>
        </w:rPr>
      </w:pPr>
    </w:p>
    <w:p w14:paraId="394E405F" w14:textId="0D949723" w:rsidR="00914A43" w:rsidRDefault="00997CF8" w:rsidP="008A7652">
      <w:pPr>
        <w:pStyle w:val="Style2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14A43">
        <w:rPr>
          <w:rStyle w:val="FontStyle41"/>
          <w:b w:val="0"/>
          <w:bCs/>
          <w:sz w:val="28"/>
          <w:szCs w:val="28"/>
        </w:rPr>
        <w:t xml:space="preserve">Витрати у зв’язку із простоєм судна через </w:t>
      </w:r>
      <w:r w:rsidR="00914A43" w:rsidRPr="00914A43">
        <w:rPr>
          <w:rStyle w:val="FontStyle41"/>
          <w:b w:val="0"/>
          <w:bCs/>
          <w:sz w:val="28"/>
          <w:szCs w:val="28"/>
        </w:rPr>
        <w:t>проведення контрольно наглядових процедур,</w:t>
      </w:r>
      <w:r w:rsidR="00914A43" w:rsidRPr="00914A43">
        <w:rPr>
          <w:rStyle w:val="FontStyle41"/>
          <w:sz w:val="28"/>
          <w:szCs w:val="28"/>
        </w:rPr>
        <w:t xml:space="preserve"> </w:t>
      </w:r>
      <w:r w:rsidR="00914A43" w:rsidRPr="00914A43">
        <w:rPr>
          <w:sz w:val="28"/>
          <w:szCs w:val="28"/>
        </w:rPr>
        <w:t>оформлення формальностей в порту в середньому можуть скласти біля двох годин.</w:t>
      </w:r>
    </w:p>
    <w:p w14:paraId="1876C6C0" w14:textId="59D02EFA" w:rsidR="00914A43" w:rsidRPr="00F4118B" w:rsidRDefault="00914A43" w:rsidP="008A7652">
      <w:pPr>
        <w:pStyle w:val="Style2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41"/>
          <w:b w:val="0"/>
          <w:sz w:val="28"/>
        </w:rPr>
      </w:pPr>
      <w:r w:rsidRPr="00914A43">
        <w:rPr>
          <w:rStyle w:val="FontStyle41"/>
          <w:b w:val="0"/>
          <w:sz w:val="28"/>
          <w:szCs w:val="28"/>
        </w:rPr>
        <w:t>Середня статистична добова вартість простою судна взята із діапазону 280 000-500 000 грн. (в середньому 530 000) на добу, тобто завдяки скороченню процедури перевірки та оформлення судна на 2 година середньостатистичні витрати складуть 530000 грн./24 години*2 = 44167 грн за дві години простою</w:t>
      </w:r>
      <w:r>
        <w:rPr>
          <w:rStyle w:val="FontStyle41"/>
          <w:b w:val="0"/>
          <w:sz w:val="28"/>
          <w:szCs w:val="28"/>
        </w:rPr>
        <w:t>.</w:t>
      </w:r>
    </w:p>
    <w:p w14:paraId="22A71A4B" w14:textId="4E11A283" w:rsidR="00F4118B" w:rsidRPr="00F4118B" w:rsidRDefault="00F4118B" w:rsidP="008A7652">
      <w:pPr>
        <w:pStyle w:val="Style2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41"/>
          <w:b w:val="0"/>
          <w:sz w:val="28"/>
        </w:rPr>
      </w:pPr>
      <w:proofErr w:type="spellStart"/>
      <w:r>
        <w:rPr>
          <w:rStyle w:val="FontStyle41"/>
          <w:b w:val="0"/>
          <w:sz w:val="28"/>
          <w:szCs w:val="28"/>
          <w:lang w:val="ru-RU"/>
        </w:rPr>
        <w:t>Кількість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перевірок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суден </w:t>
      </w:r>
      <w:proofErr w:type="spellStart"/>
      <w:proofErr w:type="gramStart"/>
      <w:r>
        <w:rPr>
          <w:rStyle w:val="FontStyle41"/>
          <w:b w:val="0"/>
          <w:sz w:val="28"/>
          <w:szCs w:val="28"/>
          <w:lang w:val="ru-RU"/>
        </w:rPr>
        <w:t>п</w:t>
      </w:r>
      <w:proofErr w:type="gramEnd"/>
      <w:r>
        <w:rPr>
          <w:rStyle w:val="FontStyle41"/>
          <w:b w:val="0"/>
          <w:sz w:val="28"/>
          <w:szCs w:val="28"/>
          <w:lang w:val="ru-RU"/>
        </w:rPr>
        <w:t>ід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прапором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України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,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які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заходили у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морські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порти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України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протягом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2019 – 2020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років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склала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r w:rsidR="00993F80">
        <w:rPr>
          <w:rStyle w:val="FontStyle41"/>
          <w:b w:val="0"/>
          <w:sz w:val="28"/>
          <w:szCs w:val="28"/>
          <w:lang w:val="ru-RU"/>
        </w:rPr>
        <w:t>1285</w:t>
      </w:r>
      <w:r>
        <w:rPr>
          <w:rStyle w:val="FontStyle41"/>
          <w:b w:val="0"/>
          <w:sz w:val="28"/>
          <w:szCs w:val="28"/>
          <w:lang w:val="ru-RU"/>
        </w:rPr>
        <w:t xml:space="preserve">.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Беручі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за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lastRenderedPageBreak/>
        <w:t>розрахунок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можливість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економії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двох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годин при кожному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заходженні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судна до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морських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портів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України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.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Економія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від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прийняття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проєкту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акта за 2 роки могла б </w:t>
      </w:r>
      <w:proofErr w:type="spellStart"/>
      <w:r>
        <w:rPr>
          <w:rStyle w:val="FontStyle41"/>
          <w:b w:val="0"/>
          <w:sz w:val="28"/>
          <w:szCs w:val="28"/>
          <w:lang w:val="ru-RU"/>
        </w:rPr>
        <w:t>скласти</w:t>
      </w:r>
      <w:proofErr w:type="spellEnd"/>
      <w:r>
        <w:rPr>
          <w:rStyle w:val="FontStyle41"/>
          <w:b w:val="0"/>
          <w:sz w:val="28"/>
          <w:szCs w:val="28"/>
          <w:lang w:val="ru-RU"/>
        </w:rPr>
        <w:t xml:space="preserve"> </w:t>
      </w:r>
      <w:r w:rsidR="00993F80">
        <w:rPr>
          <w:rStyle w:val="FontStyle41"/>
          <w:b w:val="0"/>
          <w:sz w:val="28"/>
          <w:szCs w:val="28"/>
          <w:lang w:val="ru-RU"/>
        </w:rPr>
        <w:t>5</w:t>
      </w:r>
      <w:r w:rsidR="00E46FA8">
        <w:rPr>
          <w:rStyle w:val="FontStyle41"/>
          <w:b w:val="0"/>
          <w:sz w:val="28"/>
          <w:szCs w:val="28"/>
          <w:lang w:val="ru-RU"/>
        </w:rPr>
        <w:t>6</w:t>
      </w:r>
      <w:r w:rsidR="00993F80">
        <w:rPr>
          <w:rStyle w:val="FontStyle41"/>
          <w:b w:val="0"/>
          <w:sz w:val="28"/>
          <w:szCs w:val="28"/>
          <w:lang w:val="ru-RU"/>
        </w:rPr>
        <w:t> 754 595 грн</w:t>
      </w:r>
      <w:r>
        <w:rPr>
          <w:rStyle w:val="FontStyle41"/>
          <w:b w:val="0"/>
          <w:sz w:val="28"/>
          <w:szCs w:val="28"/>
          <w:lang w:val="ru-RU"/>
        </w:rPr>
        <w:t xml:space="preserve">. </w:t>
      </w:r>
    </w:p>
    <w:p w14:paraId="560CB57A" w14:textId="3C7395B7" w:rsidR="00997CF8" w:rsidRPr="00185194" w:rsidRDefault="00F4118B" w:rsidP="000B68DD">
      <w:pPr>
        <w:pStyle w:val="Style21"/>
        <w:widowControl/>
        <w:numPr>
          <w:ilvl w:val="0"/>
          <w:numId w:val="2"/>
        </w:numPr>
        <w:tabs>
          <w:tab w:val="left" w:pos="1134"/>
          <w:tab w:val="left" w:pos="1406"/>
        </w:tabs>
        <w:spacing w:line="240" w:lineRule="auto"/>
        <w:ind w:left="0" w:firstLine="567"/>
        <w:jc w:val="both"/>
        <w:rPr>
          <w:rStyle w:val="FontStyle41"/>
          <w:b w:val="0"/>
          <w:sz w:val="28"/>
        </w:rPr>
      </w:pP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Якщо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застосувати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до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іноземних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суден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вихідні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дані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взяті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за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розрахунок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для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українських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судновласників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то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економія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на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додатковому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простої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суден за два роки могла б </w:t>
      </w:r>
      <w:proofErr w:type="spellStart"/>
      <w:r w:rsidRPr="00F4118B">
        <w:rPr>
          <w:rStyle w:val="FontStyle41"/>
          <w:b w:val="0"/>
          <w:sz w:val="28"/>
          <w:szCs w:val="28"/>
          <w:lang w:val="ru-RU"/>
        </w:rPr>
        <w:t>скласти</w:t>
      </w:r>
      <w:proofErr w:type="spellEnd"/>
      <w:r w:rsidRPr="00F4118B">
        <w:rPr>
          <w:rStyle w:val="FontStyle41"/>
          <w:b w:val="0"/>
          <w:sz w:val="28"/>
          <w:szCs w:val="28"/>
          <w:lang w:val="ru-RU"/>
        </w:rPr>
        <w:t xml:space="preserve"> </w:t>
      </w:r>
      <w:r w:rsidR="00993F80">
        <w:rPr>
          <w:rStyle w:val="FontStyle41"/>
          <w:b w:val="0"/>
          <w:sz w:val="28"/>
          <w:szCs w:val="28"/>
          <w:lang w:val="ru-RU"/>
        </w:rPr>
        <w:t>296 537 238 грн</w:t>
      </w:r>
      <w:r w:rsidRPr="00F4118B">
        <w:rPr>
          <w:rStyle w:val="FontStyle41"/>
          <w:b w:val="0"/>
          <w:sz w:val="28"/>
          <w:szCs w:val="28"/>
          <w:lang w:val="ru-RU"/>
        </w:rPr>
        <w:t>.</w:t>
      </w:r>
    </w:p>
    <w:p w14:paraId="32DC4C9F" w14:textId="77777777" w:rsidR="00F4118B" w:rsidRPr="00F4118B" w:rsidRDefault="00F4118B" w:rsidP="00F4118B">
      <w:pPr>
        <w:pStyle w:val="Style21"/>
        <w:widowControl/>
        <w:tabs>
          <w:tab w:val="left" w:pos="1134"/>
          <w:tab w:val="left" w:pos="1406"/>
        </w:tabs>
        <w:spacing w:line="240" w:lineRule="auto"/>
        <w:ind w:left="567" w:firstLine="0"/>
        <w:jc w:val="both"/>
        <w:rPr>
          <w:rStyle w:val="FontStyle41"/>
          <w:b w:val="0"/>
          <w:sz w:val="28"/>
        </w:rPr>
      </w:pPr>
    </w:p>
    <w:p w14:paraId="09300963" w14:textId="148564D9" w:rsidR="00997CF8" w:rsidRPr="00C15F01" w:rsidRDefault="00997CF8" w:rsidP="00C15F01">
      <w:pPr>
        <w:tabs>
          <w:tab w:val="left" w:pos="993"/>
        </w:tabs>
        <w:ind w:firstLine="567"/>
        <w:jc w:val="center"/>
        <w:rPr>
          <w:rStyle w:val="FontStyle41"/>
          <w:bCs/>
          <w:sz w:val="28"/>
          <w:szCs w:val="28"/>
        </w:rPr>
      </w:pPr>
      <w:r w:rsidRPr="00C15F01">
        <w:rPr>
          <w:rStyle w:val="FontStyle41"/>
          <w:bCs/>
          <w:sz w:val="28"/>
          <w:szCs w:val="28"/>
        </w:rPr>
        <w:t>Витрати у разі не впровадження регуляторного акта</w:t>
      </w:r>
    </w:p>
    <w:p w14:paraId="12E4DA0F" w14:textId="77777777" w:rsidR="00997CF8" w:rsidRDefault="00997CF8" w:rsidP="00997CF8">
      <w:pPr>
        <w:tabs>
          <w:tab w:val="left" w:pos="993"/>
        </w:tabs>
        <w:ind w:firstLine="567"/>
        <w:jc w:val="both"/>
        <w:rPr>
          <w:rStyle w:val="FontStyle41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901"/>
        <w:gridCol w:w="2002"/>
        <w:gridCol w:w="2047"/>
      </w:tblGrid>
      <w:tr w:rsidR="00997CF8" w:rsidRPr="008A7652" w14:paraId="3A82921E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22AD" w14:textId="77777777" w:rsidR="00997CF8" w:rsidRPr="008A7652" w:rsidRDefault="00997CF8">
            <w:pPr>
              <w:pStyle w:val="Style21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Порядковий</w:t>
            </w:r>
            <w:proofErr w:type="spellEnd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номер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2DA7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Витрати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B3C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рік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B626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п’ять</w:t>
            </w:r>
            <w:proofErr w:type="spellEnd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років</w:t>
            </w:r>
            <w:proofErr w:type="spellEnd"/>
          </w:p>
        </w:tc>
      </w:tr>
      <w:tr w:rsidR="00997CF8" w:rsidRPr="008A7652" w14:paraId="33B0F8DC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939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EC2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на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придбання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основних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фондів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обладнання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приладів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сервісне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обслуговування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навчання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/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підвищення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кваліфікації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персоналу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тощо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</w:p>
          <w:p w14:paraId="12A81428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078A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E22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8A7652" w14:paraId="197946E1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917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0AE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Податки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збори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зміна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розміру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податків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/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зборів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виникнення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необхідності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сплаті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податків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/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зборів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),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.</w:t>
            </w:r>
          </w:p>
          <w:p w14:paraId="1BE354F7" w14:textId="5FF7E7E0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0993" w14:textId="09FD6C71" w:rsidR="00997CF8" w:rsidRPr="008A7652" w:rsidRDefault="00914A4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4AA3" w14:textId="61A93B90" w:rsidR="00997CF8" w:rsidRPr="008A7652" w:rsidRDefault="00914A4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8A7652" w14:paraId="77CE1B18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DC5C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9F39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пов’язані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із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веденням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обліку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підготовкою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поданням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звітності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державним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органам,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378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9A30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8A7652" w14:paraId="533AC012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B12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550D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пов’язані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з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адмініструванням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заходів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державного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нагляду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(контролю) </w:t>
            </w:r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(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перевірок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штрафних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санкцій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виконання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рішень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/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приписів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тощо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),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гривень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A073" w14:textId="708202F4" w:rsidR="00997CF8" w:rsidRPr="008A7652" w:rsidRDefault="00993F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359F" w14:textId="46B85123" w:rsidR="00997CF8" w:rsidRPr="008A7652" w:rsidRDefault="00993F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8A7652" w14:paraId="7F9D52D2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4BEF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A6B0" w14:textId="3E7D00B7" w:rsidR="00997CF8" w:rsidRPr="008A7652" w:rsidRDefault="00997CF8" w:rsidP="00914A4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Витрати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на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отримання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адміністративних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послуг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дозволів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ліцензій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сертифікатів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атестатів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погоджень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висновків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проведення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незалежних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/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обов’язкових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експертиз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сертифікації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lastRenderedPageBreak/>
              <w:t>атестації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тощо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)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та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інших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послуг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проведення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наукових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інших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експертиз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страхування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тощо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),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гривень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A4AD" w14:textId="3AB52088" w:rsidR="00997CF8" w:rsidRPr="008A7652" w:rsidRDefault="00914A4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lastRenderedPageBreak/>
              <w:t>Відсутні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CCCB" w14:textId="16E8E43E" w:rsidR="00997CF8" w:rsidRPr="008A7652" w:rsidRDefault="00914A4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8A7652" w14:paraId="4C484881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42A4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D44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на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оборотні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активи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матеріали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канцелярські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товари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тощо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),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B75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025C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8A7652" w14:paraId="30BB1AF3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8D7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A9C4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пов’язані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із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наймом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додаткового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персоналу,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DBE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E2F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8A7652" w14:paraId="1D3A4124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A915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513" w14:textId="58470E0E" w:rsidR="00997CF8" w:rsidRPr="00C15F01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val="ru-RU" w:eastAsia="en-US"/>
              </w:rPr>
            </w:pPr>
            <w:proofErr w:type="spellStart"/>
            <w:r w:rsidRPr="00C15F01">
              <w:rPr>
                <w:sz w:val="28"/>
                <w:szCs w:val="28"/>
                <w:shd w:val="clear" w:color="auto" w:fill="FFFFFF"/>
                <w:lang w:val="ru-RU" w:eastAsia="en-US"/>
              </w:rPr>
              <w:t>Інше</w:t>
            </w:r>
            <w:proofErr w:type="spellEnd"/>
            <w:r w:rsidRPr="00C15F01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C15F01">
              <w:rPr>
                <w:sz w:val="28"/>
                <w:szCs w:val="28"/>
                <w:shd w:val="clear" w:color="auto" w:fill="FFFFFF"/>
                <w:lang w:val="ru-RU" w:eastAsia="en-US"/>
              </w:rPr>
              <w:t>уточнити</w:t>
            </w:r>
            <w:proofErr w:type="spellEnd"/>
            <w:r w:rsidRPr="00C15F01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), </w:t>
            </w:r>
            <w:proofErr w:type="spellStart"/>
            <w:r w:rsidRPr="00C15F01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  <w:p w14:paraId="114AB775" w14:textId="28683D75" w:rsidR="00997CF8" w:rsidRPr="00AC5B74" w:rsidRDefault="00AC5B74" w:rsidP="00AC5B7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Витрати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збільшенні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затримки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судна у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звязку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проведенням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процедур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нагляду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та контролю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FC" w14:textId="076E5D1D" w:rsidR="00997CF8" w:rsidRPr="00AC5B74" w:rsidRDefault="005926B7" w:rsidP="00AC5B7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r w:rsidRPr="005926B7">
              <w:rPr>
                <w:sz w:val="28"/>
                <w:szCs w:val="28"/>
                <w:lang w:eastAsia="ru-RU"/>
              </w:rPr>
              <w:t>2</w:t>
            </w:r>
            <w:r w:rsidRPr="005926B7">
              <w:rPr>
                <w:sz w:val="28"/>
                <w:szCs w:val="28"/>
                <w:lang w:val="ru-RU"/>
              </w:rPr>
              <w:t>8</w:t>
            </w:r>
            <w:r w:rsidRPr="005926B7">
              <w:rPr>
                <w:sz w:val="28"/>
                <w:szCs w:val="28"/>
                <w:lang w:eastAsia="ru-RU"/>
              </w:rPr>
              <w:t> </w:t>
            </w:r>
            <w:r w:rsidRPr="005926B7">
              <w:rPr>
                <w:sz w:val="28"/>
                <w:szCs w:val="28"/>
                <w:lang w:val="ru-RU"/>
              </w:rPr>
              <w:t>3</w:t>
            </w:r>
            <w:r w:rsidRPr="005926B7">
              <w:rPr>
                <w:sz w:val="28"/>
                <w:szCs w:val="28"/>
                <w:lang w:eastAsia="ru-RU"/>
              </w:rPr>
              <w:t>77 297,5</w:t>
            </w:r>
            <w:r w:rsidRPr="005926B7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грн</w:t>
            </w:r>
            <w:proofErr w:type="spellEnd"/>
            <w:r w:rsidRPr="00484578"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62C" w14:textId="3CF22DD0" w:rsidR="00997CF8" w:rsidRPr="00AC5B74" w:rsidRDefault="00E46FA8" w:rsidP="00AC5B7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141 886 487,5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грн</w:t>
            </w:r>
            <w:proofErr w:type="spellEnd"/>
            <w:r w:rsidR="005926B7" w:rsidRPr="00484578">
              <w:t>*</w:t>
            </w:r>
          </w:p>
        </w:tc>
      </w:tr>
      <w:tr w:rsidR="00997CF8" w:rsidRPr="008A7652" w14:paraId="7ADA71C8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BCAC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EDFA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Разом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сума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рядків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: 1 + 2 + 3 + 4 + 5 + 6 + 7 + 8),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en-US" w:eastAsia="en-US"/>
              </w:rPr>
              <w:t>гривень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7AA4" w14:textId="43A4724B" w:rsidR="00997CF8" w:rsidRPr="008A7652" w:rsidRDefault="005926B7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5926B7">
              <w:rPr>
                <w:sz w:val="28"/>
                <w:szCs w:val="28"/>
                <w:lang w:eastAsia="ru-RU"/>
              </w:rPr>
              <w:t>2</w:t>
            </w:r>
            <w:r w:rsidRPr="005926B7">
              <w:rPr>
                <w:sz w:val="28"/>
                <w:szCs w:val="28"/>
                <w:lang w:val="ru-RU"/>
              </w:rPr>
              <w:t>8</w:t>
            </w:r>
            <w:r w:rsidRPr="005926B7">
              <w:rPr>
                <w:sz w:val="28"/>
                <w:szCs w:val="28"/>
                <w:lang w:eastAsia="ru-RU"/>
              </w:rPr>
              <w:t> </w:t>
            </w:r>
            <w:r w:rsidRPr="005926B7">
              <w:rPr>
                <w:sz w:val="28"/>
                <w:szCs w:val="28"/>
                <w:lang w:val="ru-RU"/>
              </w:rPr>
              <w:t>3</w:t>
            </w:r>
            <w:r w:rsidRPr="005926B7">
              <w:rPr>
                <w:sz w:val="28"/>
                <w:szCs w:val="28"/>
                <w:lang w:eastAsia="ru-RU"/>
              </w:rPr>
              <w:t>77 297,5</w:t>
            </w:r>
            <w:r w:rsidRPr="005926B7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грн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594" w14:textId="40800576" w:rsidR="00997CF8" w:rsidRPr="008A7652" w:rsidRDefault="00E46FA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141 886 487,5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грн</w:t>
            </w:r>
            <w:proofErr w:type="spellEnd"/>
          </w:p>
        </w:tc>
      </w:tr>
      <w:tr w:rsidR="00997CF8" w:rsidRPr="008A7652" w14:paraId="0C257676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0FC0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0998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Кількість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суб’єктів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господарювання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великого та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середнього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підприємництва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на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яких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буде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поширено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регулювання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одиниць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838" w14:textId="50A3FDBA" w:rsidR="00997CF8" w:rsidRPr="00AC5B74" w:rsidRDefault="00AC5B74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624,5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перівірок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суден</w:t>
            </w:r>
            <w:r w:rsidR="005926B7" w:rsidRPr="00484578">
              <w:t>*</w:t>
            </w:r>
            <w:r w:rsidR="00E46FA8" w:rsidRPr="00484578"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B207" w14:textId="4C522AB6" w:rsidR="00997CF8" w:rsidRPr="008A7652" w:rsidRDefault="00AC5B74" w:rsidP="00993F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3 212,5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перевірок</w:t>
            </w:r>
            <w:proofErr w:type="spellEnd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 суден</w:t>
            </w:r>
          </w:p>
        </w:tc>
      </w:tr>
      <w:tr w:rsidR="00997CF8" w:rsidRPr="008A7652" w14:paraId="42D3A809" w14:textId="77777777" w:rsidTr="005926B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3E06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25A7" w14:textId="77777777" w:rsidR="00997CF8" w:rsidRPr="008A7652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Сумарні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суб’єктів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господарювання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великого та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середнього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підприємництва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на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виконання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регулювання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вартість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регулювання</w:t>
            </w:r>
            <w:proofErr w:type="spellEnd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) (рядок 9 х рядок 10), </w:t>
            </w:r>
            <w:proofErr w:type="spellStart"/>
            <w:r w:rsidRPr="008A7652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C60" w14:textId="32C84938" w:rsidR="00997CF8" w:rsidRPr="008A7652" w:rsidRDefault="005926B7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5926B7">
              <w:rPr>
                <w:sz w:val="28"/>
                <w:szCs w:val="28"/>
                <w:lang w:eastAsia="ru-RU"/>
              </w:rPr>
              <w:t>2</w:t>
            </w:r>
            <w:r w:rsidRPr="005926B7">
              <w:rPr>
                <w:sz w:val="28"/>
                <w:szCs w:val="28"/>
                <w:lang w:val="ru-RU"/>
              </w:rPr>
              <w:t>8</w:t>
            </w:r>
            <w:r w:rsidRPr="005926B7">
              <w:rPr>
                <w:sz w:val="28"/>
                <w:szCs w:val="28"/>
                <w:lang w:eastAsia="ru-RU"/>
              </w:rPr>
              <w:t> </w:t>
            </w:r>
            <w:r w:rsidRPr="005926B7">
              <w:rPr>
                <w:sz w:val="28"/>
                <w:szCs w:val="28"/>
                <w:lang w:val="ru-RU"/>
              </w:rPr>
              <w:t>3</w:t>
            </w:r>
            <w:r w:rsidRPr="005926B7">
              <w:rPr>
                <w:sz w:val="28"/>
                <w:szCs w:val="28"/>
                <w:lang w:eastAsia="ru-RU"/>
              </w:rPr>
              <w:t>77 297,5</w:t>
            </w:r>
            <w:r w:rsidRPr="005926B7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C5B74">
              <w:rPr>
                <w:rStyle w:val="FontStyle41"/>
                <w:b w:val="0"/>
                <w:sz w:val="28"/>
                <w:szCs w:val="28"/>
                <w:lang w:val="ru-RU" w:eastAsia="en-US"/>
              </w:rPr>
              <w:t>грн</w:t>
            </w:r>
            <w:proofErr w:type="spellEnd"/>
            <w:r w:rsidR="00AC5B74" w:rsidRPr="008A7652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AC02" w14:textId="5CCF4EE2" w:rsidR="00997CF8" w:rsidRPr="008A7652" w:rsidRDefault="00AC5B7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1</w:t>
            </w:r>
            <w:r w:rsidR="00E46FA8">
              <w:rPr>
                <w:rStyle w:val="FontStyle41"/>
                <w:b w:val="0"/>
                <w:sz w:val="28"/>
                <w:szCs w:val="28"/>
                <w:lang w:val="ru-RU" w:eastAsia="en-US"/>
              </w:rPr>
              <w:t>41 886 487</w:t>
            </w:r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 xml:space="preserve">,5 </w:t>
            </w:r>
            <w:proofErr w:type="spellStart"/>
            <w:r>
              <w:rPr>
                <w:rStyle w:val="FontStyle41"/>
                <w:b w:val="0"/>
                <w:sz w:val="28"/>
                <w:szCs w:val="28"/>
                <w:lang w:val="ru-RU" w:eastAsia="en-US"/>
              </w:rPr>
              <w:t>грн</w:t>
            </w:r>
            <w:proofErr w:type="spellEnd"/>
          </w:p>
        </w:tc>
      </w:tr>
    </w:tbl>
    <w:p w14:paraId="457519AF" w14:textId="2EA52E46" w:rsidR="005926B7" w:rsidRPr="00C15F01" w:rsidRDefault="005926B7" w:rsidP="005926B7">
      <w:pPr>
        <w:ind w:firstLine="567"/>
        <w:jc w:val="both"/>
        <w:rPr>
          <w:i/>
        </w:rPr>
      </w:pPr>
      <w:r w:rsidRPr="00C15F01">
        <w:rPr>
          <w:i/>
        </w:rPr>
        <w:t>* У разі отримання вигоди у розмірі 44 167 грн завдяки економії у результаті скорочення часу перевірки кожного судна на 2 години у 2019-2020 роках з проведених 1285 перевірок суден під прапором України в українських морських портах суб’єкти господарювання разом могли б заощадити 5</w:t>
      </w:r>
      <w:r w:rsidR="00E46FA8" w:rsidRPr="00C15F01">
        <w:rPr>
          <w:i/>
          <w:lang w:val="ru-RU"/>
        </w:rPr>
        <w:t>6</w:t>
      </w:r>
      <w:r w:rsidRPr="00C15F01">
        <w:rPr>
          <w:i/>
        </w:rPr>
        <w:t>754595 грн/2=2</w:t>
      </w:r>
      <w:r w:rsidRPr="00C15F01">
        <w:rPr>
          <w:i/>
          <w:lang w:val="ru-RU"/>
        </w:rPr>
        <w:t>8</w:t>
      </w:r>
      <w:r w:rsidRPr="00C15F01">
        <w:rPr>
          <w:i/>
        </w:rPr>
        <w:t> </w:t>
      </w:r>
      <w:r w:rsidRPr="00C15F01">
        <w:rPr>
          <w:i/>
          <w:lang w:val="ru-RU"/>
        </w:rPr>
        <w:t>3</w:t>
      </w:r>
      <w:r w:rsidRPr="00C15F01">
        <w:rPr>
          <w:i/>
        </w:rPr>
        <w:t>77 297,5 грн на рік.</w:t>
      </w:r>
    </w:p>
    <w:p w14:paraId="3F38B64B" w14:textId="7B1E4672" w:rsidR="005926B7" w:rsidRPr="00C15F01" w:rsidRDefault="005926B7" w:rsidP="00997CF8">
      <w:pPr>
        <w:tabs>
          <w:tab w:val="left" w:pos="993"/>
        </w:tabs>
        <w:ind w:firstLine="567"/>
        <w:jc w:val="both"/>
        <w:rPr>
          <w:rStyle w:val="FontStyle41"/>
          <w:b w:val="0"/>
          <w:i/>
          <w:sz w:val="28"/>
          <w:szCs w:val="28"/>
          <w:lang w:val="ru-RU"/>
        </w:rPr>
      </w:pPr>
      <w:r w:rsidRPr="00C15F01">
        <w:rPr>
          <w:i/>
        </w:rPr>
        <w:t>**</w:t>
      </w:r>
      <w:r w:rsidRPr="00C15F01">
        <w:rPr>
          <w:i/>
          <w:lang w:val="ru-RU"/>
        </w:rPr>
        <w:t xml:space="preserve"> У </w:t>
      </w:r>
      <w:proofErr w:type="spellStart"/>
      <w:r w:rsidRPr="00C15F01">
        <w:rPr>
          <w:i/>
          <w:lang w:val="ru-RU"/>
        </w:rPr>
        <w:t>разі</w:t>
      </w:r>
      <w:proofErr w:type="spellEnd"/>
      <w:r w:rsidRPr="00C15F01">
        <w:rPr>
          <w:i/>
          <w:lang w:val="ru-RU"/>
        </w:rPr>
        <w:t xml:space="preserve"> </w:t>
      </w:r>
      <w:proofErr w:type="spellStart"/>
      <w:r w:rsidR="00E46FA8" w:rsidRPr="00C15F01">
        <w:rPr>
          <w:i/>
          <w:lang w:val="ru-RU"/>
        </w:rPr>
        <w:t>розрахунку</w:t>
      </w:r>
      <w:proofErr w:type="spellEnd"/>
      <w:r w:rsidR="00E46FA8" w:rsidRPr="00C15F01">
        <w:rPr>
          <w:i/>
          <w:lang w:val="ru-RU"/>
        </w:rPr>
        <w:t xml:space="preserve"> </w:t>
      </w:r>
      <w:proofErr w:type="spellStart"/>
      <w:r w:rsidR="00E46FA8" w:rsidRPr="00C15F01">
        <w:rPr>
          <w:i/>
          <w:lang w:val="ru-RU"/>
        </w:rPr>
        <w:t>кількості</w:t>
      </w:r>
      <w:proofErr w:type="spellEnd"/>
      <w:r w:rsidR="00E46FA8" w:rsidRPr="00C15F01">
        <w:rPr>
          <w:i/>
          <w:lang w:val="ru-RU"/>
        </w:rPr>
        <w:t xml:space="preserve"> </w:t>
      </w:r>
      <w:proofErr w:type="spellStart"/>
      <w:r w:rsidR="00E46FA8" w:rsidRPr="00C15F01">
        <w:rPr>
          <w:i/>
          <w:lang w:val="ru-RU"/>
        </w:rPr>
        <w:t>перевірок</w:t>
      </w:r>
      <w:proofErr w:type="spellEnd"/>
      <w:r w:rsidR="00E46FA8" w:rsidRPr="00C15F01">
        <w:rPr>
          <w:i/>
          <w:lang w:val="ru-RU"/>
        </w:rPr>
        <w:t xml:space="preserve"> суден </w:t>
      </w:r>
      <w:proofErr w:type="spellStart"/>
      <w:r w:rsidR="00E46FA8" w:rsidRPr="00C15F01">
        <w:rPr>
          <w:i/>
          <w:lang w:val="ru-RU"/>
        </w:rPr>
        <w:t>під</w:t>
      </w:r>
      <w:proofErr w:type="spellEnd"/>
      <w:r w:rsidR="00E46FA8" w:rsidRPr="00C15F01">
        <w:rPr>
          <w:i/>
          <w:lang w:val="ru-RU"/>
        </w:rPr>
        <w:t xml:space="preserve"> </w:t>
      </w:r>
      <w:proofErr w:type="spellStart"/>
      <w:r w:rsidR="00E46FA8" w:rsidRPr="00C15F01">
        <w:rPr>
          <w:i/>
          <w:lang w:val="ru-RU"/>
        </w:rPr>
        <w:t>Українським</w:t>
      </w:r>
      <w:proofErr w:type="spellEnd"/>
      <w:r w:rsidR="00E46FA8" w:rsidRPr="00C15F01">
        <w:rPr>
          <w:i/>
          <w:lang w:val="ru-RU"/>
        </w:rPr>
        <w:t xml:space="preserve"> прапором в </w:t>
      </w:r>
      <w:proofErr w:type="spellStart"/>
      <w:r w:rsidR="00E46FA8" w:rsidRPr="00C15F01">
        <w:rPr>
          <w:i/>
          <w:lang w:val="ru-RU"/>
        </w:rPr>
        <w:t>середньому</w:t>
      </w:r>
      <w:proofErr w:type="spellEnd"/>
      <w:r w:rsidR="00E46FA8" w:rsidRPr="00C15F01">
        <w:rPr>
          <w:i/>
          <w:lang w:val="ru-RU"/>
        </w:rPr>
        <w:t xml:space="preserve"> за </w:t>
      </w:r>
      <w:proofErr w:type="spellStart"/>
      <w:r w:rsidR="00E46FA8" w:rsidRPr="00C15F01">
        <w:rPr>
          <w:i/>
          <w:lang w:val="ru-RU"/>
        </w:rPr>
        <w:t>рік</w:t>
      </w:r>
      <w:proofErr w:type="spellEnd"/>
      <w:r w:rsidR="00E46FA8" w:rsidRPr="00C15F01">
        <w:rPr>
          <w:i/>
          <w:lang w:val="ru-RU"/>
        </w:rPr>
        <w:t xml:space="preserve">, </w:t>
      </w:r>
      <w:proofErr w:type="spellStart"/>
      <w:r w:rsidR="00E46FA8" w:rsidRPr="00C15F01">
        <w:rPr>
          <w:i/>
          <w:lang w:val="ru-RU"/>
        </w:rPr>
        <w:t>беручи</w:t>
      </w:r>
      <w:proofErr w:type="spellEnd"/>
      <w:r w:rsidR="00E46FA8" w:rsidRPr="00C15F01">
        <w:rPr>
          <w:i/>
          <w:lang w:val="ru-RU"/>
        </w:rPr>
        <w:t xml:space="preserve"> до </w:t>
      </w:r>
      <w:proofErr w:type="spellStart"/>
      <w:r w:rsidR="00E46FA8" w:rsidRPr="00C15F01">
        <w:rPr>
          <w:i/>
          <w:lang w:val="ru-RU"/>
        </w:rPr>
        <w:t>уваги</w:t>
      </w:r>
      <w:proofErr w:type="spellEnd"/>
      <w:r w:rsidR="00E46FA8" w:rsidRPr="00C15F01">
        <w:rPr>
          <w:i/>
          <w:lang w:val="ru-RU"/>
        </w:rPr>
        <w:t xml:space="preserve"> </w:t>
      </w:r>
      <w:proofErr w:type="spellStart"/>
      <w:r w:rsidR="00E46FA8" w:rsidRPr="00C15F01">
        <w:rPr>
          <w:i/>
          <w:lang w:val="ru-RU"/>
        </w:rPr>
        <w:t>показник</w:t>
      </w:r>
      <w:proofErr w:type="spellEnd"/>
      <w:r w:rsidR="00E46FA8" w:rsidRPr="00C15F01">
        <w:rPr>
          <w:i/>
          <w:lang w:val="ru-RU"/>
        </w:rPr>
        <w:t xml:space="preserve"> 2019-2020 </w:t>
      </w:r>
      <w:proofErr w:type="spellStart"/>
      <w:r w:rsidR="00E46FA8" w:rsidRPr="00C15F01">
        <w:rPr>
          <w:i/>
          <w:lang w:val="ru-RU"/>
        </w:rPr>
        <w:t>років</w:t>
      </w:r>
      <w:proofErr w:type="spellEnd"/>
      <w:r w:rsidR="00E46FA8" w:rsidRPr="00C15F01">
        <w:rPr>
          <w:i/>
          <w:lang w:val="ru-RU"/>
        </w:rPr>
        <w:t xml:space="preserve"> 1285/2=624,5 </w:t>
      </w:r>
      <w:proofErr w:type="spellStart"/>
      <w:r w:rsidR="00E46FA8" w:rsidRPr="00C15F01">
        <w:rPr>
          <w:i/>
          <w:lang w:val="ru-RU"/>
        </w:rPr>
        <w:t>перевірок</w:t>
      </w:r>
      <w:proofErr w:type="spellEnd"/>
      <w:r w:rsidR="00E46FA8" w:rsidRPr="00C15F01">
        <w:rPr>
          <w:i/>
          <w:lang w:val="ru-RU"/>
        </w:rPr>
        <w:t xml:space="preserve"> на </w:t>
      </w:r>
      <w:proofErr w:type="spellStart"/>
      <w:r w:rsidR="00E46FA8" w:rsidRPr="00C15F01">
        <w:rPr>
          <w:i/>
          <w:lang w:val="ru-RU"/>
        </w:rPr>
        <w:t>рік</w:t>
      </w:r>
      <w:proofErr w:type="spellEnd"/>
      <w:r w:rsidR="00E46FA8" w:rsidRPr="00C15F01">
        <w:rPr>
          <w:i/>
          <w:lang w:val="ru-RU"/>
        </w:rPr>
        <w:t>.</w:t>
      </w:r>
    </w:p>
    <w:p w14:paraId="541F07A5" w14:textId="77777777" w:rsidR="005926B7" w:rsidRDefault="005926B7" w:rsidP="00997CF8">
      <w:pPr>
        <w:tabs>
          <w:tab w:val="left" w:pos="993"/>
        </w:tabs>
        <w:ind w:firstLine="567"/>
        <w:jc w:val="both"/>
        <w:rPr>
          <w:rStyle w:val="FontStyle41"/>
          <w:b w:val="0"/>
          <w:sz w:val="28"/>
          <w:szCs w:val="28"/>
        </w:rPr>
      </w:pPr>
    </w:p>
    <w:p w14:paraId="1E476FBE" w14:textId="77777777" w:rsidR="00997CF8" w:rsidRPr="00F4118B" w:rsidRDefault="00997CF8" w:rsidP="00997CF8">
      <w:pPr>
        <w:tabs>
          <w:tab w:val="left" w:pos="993"/>
        </w:tabs>
        <w:ind w:firstLine="567"/>
        <w:jc w:val="both"/>
        <w:rPr>
          <w:rStyle w:val="FontStyle41"/>
          <w:b w:val="0"/>
          <w:bCs/>
          <w:sz w:val="28"/>
          <w:szCs w:val="28"/>
        </w:rPr>
      </w:pPr>
      <w:r w:rsidRPr="00F4118B">
        <w:rPr>
          <w:rStyle w:val="FontStyle41"/>
          <w:b w:val="0"/>
          <w:bCs/>
          <w:sz w:val="28"/>
          <w:szCs w:val="28"/>
        </w:rPr>
        <w:t>Витрати у зв’язку з впровадженням дії регуляторного акта</w:t>
      </w:r>
    </w:p>
    <w:p w14:paraId="35968F3C" w14:textId="77777777" w:rsidR="00997CF8" w:rsidRDefault="00997CF8" w:rsidP="00997CF8">
      <w:pPr>
        <w:pStyle w:val="Style21"/>
        <w:widowControl/>
        <w:tabs>
          <w:tab w:val="left" w:pos="1406"/>
        </w:tabs>
        <w:spacing w:line="240" w:lineRule="auto"/>
        <w:ind w:firstLine="0"/>
        <w:rPr>
          <w:rStyle w:val="rvts15"/>
          <w:b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4808"/>
        <w:gridCol w:w="1701"/>
        <w:gridCol w:w="1667"/>
      </w:tblGrid>
      <w:tr w:rsidR="00997CF8" w:rsidRPr="00F4118B" w14:paraId="7A7B4ABF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803" w14:textId="77777777" w:rsidR="00997CF8" w:rsidRPr="00F4118B" w:rsidRDefault="00997CF8">
            <w:pPr>
              <w:pStyle w:val="Style21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Порядковий</w:t>
            </w:r>
            <w:proofErr w:type="spellEnd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номер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056A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83C2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рік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7190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п’ять</w:t>
            </w:r>
            <w:proofErr w:type="spellEnd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років</w:t>
            </w:r>
            <w:proofErr w:type="spellEnd"/>
          </w:p>
        </w:tc>
      </w:tr>
      <w:tr w:rsidR="00997CF8" w:rsidRPr="00F4118B" w14:paraId="34BF3EB5" w14:textId="77777777" w:rsidTr="00F4118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6C62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E498" w14:textId="77777777" w:rsidR="00997CF8" w:rsidRDefault="00997CF8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val="ru-RU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на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придбання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основних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фондів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обладнання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приладів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сервісне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обслуговування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навчання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/</w:t>
            </w:r>
            <w:proofErr w:type="spellStart"/>
            <w:proofErr w:type="gram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</w:t>
            </w:r>
            <w:proofErr w:type="gram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ідвищення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кваліфікації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персоналу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тощо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</w:p>
          <w:p w14:paraId="355FB860" w14:textId="2F38990B" w:rsidR="00C15F01" w:rsidRPr="00F4118B" w:rsidRDefault="00C15F01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41D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5992C68C" w14:textId="7B6BFC5C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D9C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6A03F447" w14:textId="2148A844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997CF8" w:rsidRPr="00F4118B" w14:paraId="3A6E3B62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6359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0271" w14:textId="5F2E97D3" w:rsidR="00997CF8" w:rsidRPr="00F4118B" w:rsidRDefault="00997CF8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Податки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збори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зміна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розміру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податків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/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зборів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виникнення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необхідності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сплаті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податків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/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зборів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),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D20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77AE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F4118B" w14:paraId="57A602FA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B08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FDF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пов’язані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із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веденням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обліку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підготовкою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поданням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звітності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державним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органам,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002A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4984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F4118B" w14:paraId="40B405A9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093D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2986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пов’язані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з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адмініструванням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заходів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державного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нагляду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(контролю) </w:t>
            </w:r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перевірок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штрафних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санкцій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виконання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рішень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/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приписів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тощо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),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D4A5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50C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97CF8" w:rsidRPr="00F4118B" w14:paraId="73964238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F83D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5EBB" w14:textId="60DB9B47" w:rsidR="00997CF8" w:rsidRPr="00F4118B" w:rsidRDefault="00997CF8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Витрати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на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отримання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адміністративних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послуг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дозволів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ліцензій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сертифікатів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атестатів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погоджень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висновків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проведення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незалежних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/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обов’язкових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експертиз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сертифікації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атестації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тощо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)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та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інших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послуг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проведення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наукових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інших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експертиз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страхування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тощо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),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DEE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7A43B429" w14:textId="63E0D074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51B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0D4D8FE7" w14:textId="074DEA7F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  <w:lang w:val="en-US"/>
              </w:rPr>
            </w:pPr>
          </w:p>
        </w:tc>
      </w:tr>
      <w:tr w:rsidR="00997CF8" w:rsidRPr="00F4118B" w14:paraId="2B102E6D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4C1D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D26D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на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оборотні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активи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матеріали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канцелярські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товари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тощо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),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4390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CC58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F4118B" w14:paraId="5EB507E1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D900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A0D3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пов’язані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із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наймом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додаткового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персоналу,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B7F7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3521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</w:tc>
      </w:tr>
      <w:tr w:rsidR="00997CF8" w:rsidRPr="00F4118B" w14:paraId="44872B59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3B39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68C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Інше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уточнити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),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гривень</w:t>
            </w:r>
            <w:proofErr w:type="spellEnd"/>
          </w:p>
          <w:p w14:paraId="4ACB6E5C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</w:rPr>
            </w:pPr>
          </w:p>
          <w:p w14:paraId="79558D6B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572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64B7FEC1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  <w:p w14:paraId="01B511E0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719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0D94C0D2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  <w:p w14:paraId="1EB5EE64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997CF8" w:rsidRPr="00F4118B" w14:paraId="306AA7E4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D7F1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ED87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Разом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сума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рядків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 xml:space="preserve">: 1 + 2 + 3 + 4 + 5 + 6 + 7 + 8),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en-US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B337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4E1E4F2F" w14:textId="047B74C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BF3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4538D5B0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997CF8" w:rsidRPr="00F4118B" w14:paraId="4AAC5E25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F56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60FC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Кількість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суб’єктів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господарювання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великого та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середнього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підприємництва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на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яких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буде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поширено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регулювання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EE00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77F5F5BC" w14:textId="21A667C6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A1C3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249030C9" w14:textId="67A23A68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997CF8" w:rsidRPr="00F4118B" w14:paraId="20894052" w14:textId="77777777" w:rsidTr="00997CF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8416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73F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ru-RU" w:eastAsia="en-US"/>
              </w:rPr>
            </w:pP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Сумарні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витрати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суб’єктів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господарювання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великого та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середнього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підприємництва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, на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виконання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регулювання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вартість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регулювання</w:t>
            </w:r>
            <w:proofErr w:type="spellEnd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) (рядок 9 х рядок 10), </w:t>
            </w:r>
            <w:proofErr w:type="spellStart"/>
            <w:r w:rsidRPr="00F4118B">
              <w:rPr>
                <w:sz w:val="28"/>
                <w:szCs w:val="28"/>
                <w:shd w:val="clear" w:color="auto" w:fill="FFFFFF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2B2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4C63390E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  <w:p w14:paraId="1590AFB8" w14:textId="77777777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D810" w14:textId="77777777" w:rsidR="00F4118B" w:rsidRPr="00F4118B" w:rsidRDefault="00F4118B" w:rsidP="00F4118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  <w:proofErr w:type="spellStart"/>
            <w:r w:rsidRPr="00F4118B">
              <w:rPr>
                <w:rStyle w:val="FontStyle41"/>
                <w:b w:val="0"/>
                <w:sz w:val="28"/>
                <w:szCs w:val="28"/>
                <w:lang w:val="en-US" w:eastAsia="en-US"/>
              </w:rPr>
              <w:t>Відсутні</w:t>
            </w:r>
            <w:proofErr w:type="spellEnd"/>
          </w:p>
          <w:p w14:paraId="47D06396" w14:textId="7A2503CD" w:rsidR="00997CF8" w:rsidRPr="00F4118B" w:rsidRDefault="00997CF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 w:eastAsia="en-US"/>
              </w:rPr>
            </w:pPr>
          </w:p>
        </w:tc>
      </w:tr>
    </w:tbl>
    <w:p w14:paraId="7910539C" w14:textId="46D53657" w:rsidR="00461B21" w:rsidRPr="008B1845" w:rsidRDefault="00461B21" w:rsidP="00461B21">
      <w:pPr>
        <w:pStyle w:val="Style21"/>
        <w:widowControl/>
        <w:tabs>
          <w:tab w:val="left" w:pos="1406"/>
        </w:tabs>
        <w:spacing w:line="240" w:lineRule="auto"/>
        <w:ind w:firstLine="567"/>
        <w:jc w:val="both"/>
        <w:rPr>
          <w:bCs/>
          <w:sz w:val="28"/>
          <w:szCs w:val="28"/>
        </w:rPr>
      </w:pPr>
    </w:p>
    <w:p w14:paraId="026480C3" w14:textId="77777777" w:rsidR="00125A8B" w:rsidRDefault="00125A8B"/>
    <w:sectPr w:rsidR="00125A8B" w:rsidSect="00CF3FF2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8844" w14:textId="77777777" w:rsidR="001F06B3" w:rsidRDefault="001F06B3">
      <w:r>
        <w:separator/>
      </w:r>
    </w:p>
  </w:endnote>
  <w:endnote w:type="continuationSeparator" w:id="0">
    <w:p w14:paraId="29BA3DDD" w14:textId="77777777" w:rsidR="001F06B3" w:rsidRDefault="001F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2004" w14:textId="77777777" w:rsidR="001F06B3" w:rsidRDefault="001F06B3">
      <w:r>
        <w:separator/>
      </w:r>
    </w:p>
  </w:footnote>
  <w:footnote w:type="continuationSeparator" w:id="0">
    <w:p w14:paraId="00BC11DB" w14:textId="77777777" w:rsidR="001F06B3" w:rsidRDefault="001F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911C" w14:textId="77777777" w:rsidR="008A7652" w:rsidRDefault="008A7652" w:rsidP="00CF3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D496EC" w14:textId="77777777" w:rsidR="008A7652" w:rsidRDefault="008A7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D2FB" w14:textId="77777777" w:rsidR="008A7652" w:rsidRDefault="008A76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0E5F" w:rsidRPr="001E0E5F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21B5A467" w14:textId="77777777" w:rsidR="008A7652" w:rsidRPr="00EF5B4A" w:rsidRDefault="008A7652" w:rsidP="00CF3FF2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57"/>
    <w:multiLevelType w:val="hybridMultilevel"/>
    <w:tmpl w:val="5356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02EA4"/>
    <w:multiLevelType w:val="hybridMultilevel"/>
    <w:tmpl w:val="5356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7D45"/>
    <w:multiLevelType w:val="singleLevel"/>
    <w:tmpl w:val="A09614A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CD95A1B"/>
    <w:multiLevelType w:val="hybridMultilevel"/>
    <w:tmpl w:val="33AA7090"/>
    <w:lvl w:ilvl="0" w:tplc="104EEED6">
      <w:start w:val="960"/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1"/>
    <w:rsid w:val="00077FEA"/>
    <w:rsid w:val="000F580B"/>
    <w:rsid w:val="00125A8B"/>
    <w:rsid w:val="00185194"/>
    <w:rsid w:val="001E0E5F"/>
    <w:rsid w:val="001F06B3"/>
    <w:rsid w:val="002054E2"/>
    <w:rsid w:val="00227752"/>
    <w:rsid w:val="00266111"/>
    <w:rsid w:val="00385D9A"/>
    <w:rsid w:val="00461B21"/>
    <w:rsid w:val="0049455C"/>
    <w:rsid w:val="005926B7"/>
    <w:rsid w:val="006B398D"/>
    <w:rsid w:val="007A2BAB"/>
    <w:rsid w:val="00845BA5"/>
    <w:rsid w:val="00865BAF"/>
    <w:rsid w:val="008A7652"/>
    <w:rsid w:val="00914A43"/>
    <w:rsid w:val="0092163B"/>
    <w:rsid w:val="00993F80"/>
    <w:rsid w:val="00997CF8"/>
    <w:rsid w:val="00AC5B74"/>
    <w:rsid w:val="00BB620C"/>
    <w:rsid w:val="00C15F01"/>
    <w:rsid w:val="00CA6725"/>
    <w:rsid w:val="00CC1C4C"/>
    <w:rsid w:val="00CF3FF2"/>
    <w:rsid w:val="00E46FA8"/>
    <w:rsid w:val="00F06E9F"/>
    <w:rsid w:val="00F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E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B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B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461B21"/>
    <w:rPr>
      <w:rFonts w:cs="Times New Roman"/>
    </w:rPr>
  </w:style>
  <w:style w:type="character" w:customStyle="1" w:styleId="rvts15">
    <w:name w:val="rvts15"/>
    <w:basedOn w:val="a0"/>
    <w:uiPriority w:val="99"/>
    <w:rsid w:val="00461B21"/>
    <w:rPr>
      <w:rFonts w:cs="Times New Roman"/>
    </w:rPr>
  </w:style>
  <w:style w:type="paragraph" w:customStyle="1" w:styleId="Style21">
    <w:name w:val="Style21"/>
    <w:basedOn w:val="a"/>
    <w:uiPriority w:val="99"/>
    <w:rsid w:val="00461B21"/>
    <w:pPr>
      <w:widowControl w:val="0"/>
      <w:autoSpaceDE w:val="0"/>
      <w:autoSpaceDN w:val="0"/>
      <w:adjustRightInd w:val="0"/>
      <w:spacing w:line="324" w:lineRule="exact"/>
      <w:ind w:firstLine="696"/>
    </w:pPr>
    <w:rPr>
      <w:lang w:eastAsia="uk-UA"/>
    </w:rPr>
  </w:style>
  <w:style w:type="character" w:customStyle="1" w:styleId="FontStyle41">
    <w:name w:val="Font Style41"/>
    <w:uiPriority w:val="99"/>
    <w:rsid w:val="00461B21"/>
    <w:rPr>
      <w:rFonts w:ascii="Times New Roman" w:hAnsi="Times New Roman"/>
      <w:b/>
      <w:sz w:val="22"/>
    </w:rPr>
  </w:style>
  <w:style w:type="character" w:customStyle="1" w:styleId="apple-style-span">
    <w:name w:val="apple-style-span"/>
    <w:basedOn w:val="a0"/>
    <w:rsid w:val="00845BA5"/>
  </w:style>
  <w:style w:type="paragraph" w:styleId="a6">
    <w:name w:val="List Paragraph"/>
    <w:basedOn w:val="a"/>
    <w:uiPriority w:val="34"/>
    <w:qFormat/>
    <w:rsid w:val="00CA6725"/>
    <w:pPr>
      <w:ind w:left="720"/>
      <w:contextualSpacing/>
    </w:pPr>
  </w:style>
  <w:style w:type="paragraph" w:styleId="3">
    <w:name w:val="Body Text Indent 3"/>
    <w:basedOn w:val="a"/>
    <w:link w:val="30"/>
    <w:rsid w:val="00914A43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14A4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B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B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461B21"/>
    <w:rPr>
      <w:rFonts w:cs="Times New Roman"/>
    </w:rPr>
  </w:style>
  <w:style w:type="character" w:customStyle="1" w:styleId="rvts15">
    <w:name w:val="rvts15"/>
    <w:basedOn w:val="a0"/>
    <w:uiPriority w:val="99"/>
    <w:rsid w:val="00461B21"/>
    <w:rPr>
      <w:rFonts w:cs="Times New Roman"/>
    </w:rPr>
  </w:style>
  <w:style w:type="paragraph" w:customStyle="1" w:styleId="Style21">
    <w:name w:val="Style21"/>
    <w:basedOn w:val="a"/>
    <w:uiPriority w:val="99"/>
    <w:rsid w:val="00461B21"/>
    <w:pPr>
      <w:widowControl w:val="0"/>
      <w:autoSpaceDE w:val="0"/>
      <w:autoSpaceDN w:val="0"/>
      <w:adjustRightInd w:val="0"/>
      <w:spacing w:line="324" w:lineRule="exact"/>
      <w:ind w:firstLine="696"/>
    </w:pPr>
    <w:rPr>
      <w:lang w:eastAsia="uk-UA"/>
    </w:rPr>
  </w:style>
  <w:style w:type="character" w:customStyle="1" w:styleId="FontStyle41">
    <w:name w:val="Font Style41"/>
    <w:uiPriority w:val="99"/>
    <w:rsid w:val="00461B21"/>
    <w:rPr>
      <w:rFonts w:ascii="Times New Roman" w:hAnsi="Times New Roman"/>
      <w:b/>
      <w:sz w:val="22"/>
    </w:rPr>
  </w:style>
  <w:style w:type="character" w:customStyle="1" w:styleId="apple-style-span">
    <w:name w:val="apple-style-span"/>
    <w:basedOn w:val="a0"/>
    <w:rsid w:val="00845BA5"/>
  </w:style>
  <w:style w:type="paragraph" w:styleId="a6">
    <w:name w:val="List Paragraph"/>
    <w:basedOn w:val="a"/>
    <w:uiPriority w:val="34"/>
    <w:qFormat/>
    <w:rsid w:val="00CA6725"/>
    <w:pPr>
      <w:ind w:left="720"/>
      <w:contextualSpacing/>
    </w:pPr>
  </w:style>
  <w:style w:type="paragraph" w:styleId="3">
    <w:name w:val="Body Text Indent 3"/>
    <w:basedOn w:val="a"/>
    <w:link w:val="30"/>
    <w:rsid w:val="00914A43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14A4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E18D-615A-4DE5-8E2F-760F8C5C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4256</Words>
  <Characters>2427</Characters>
  <Application>Microsoft Office Word</Application>
  <DocSecurity>4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Іванчик Іван Миколайович</dc:creator>
  <cp:lastModifiedBy>Поппер Леся Вікторівна</cp:lastModifiedBy>
  <cp:revision>2</cp:revision>
  <dcterms:created xsi:type="dcterms:W3CDTF">2021-05-05T12:02:00Z</dcterms:created>
  <dcterms:modified xsi:type="dcterms:W3CDTF">2021-05-05T12:02:00Z</dcterms:modified>
</cp:coreProperties>
</file>