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1C" w:rsidRDefault="0038511C" w:rsidP="005D1E03">
      <w:pPr>
        <w:ind w:left="5670" w:firstLine="0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>Додаток 2</w:t>
      </w:r>
    </w:p>
    <w:p w:rsidR="0038511C" w:rsidRPr="006D1A16" w:rsidRDefault="0038511C" w:rsidP="005D1E03">
      <w:pPr>
        <w:ind w:left="5670" w:firstLine="0"/>
        <w:jc w:val="left"/>
        <w:rPr>
          <w:szCs w:val="28"/>
        </w:rPr>
      </w:pPr>
      <w:r>
        <w:rPr>
          <w:szCs w:val="28"/>
        </w:rPr>
        <w:t>до Правил надання послуг у морських портах України</w:t>
      </w:r>
      <w:r w:rsidR="0024590C">
        <w:rPr>
          <w:szCs w:val="28"/>
        </w:rPr>
        <w:t xml:space="preserve"> </w:t>
      </w:r>
      <w:r w:rsidR="00D21DEC">
        <w:rPr>
          <w:szCs w:val="28"/>
        </w:rPr>
        <w:br/>
      </w:r>
      <w:r w:rsidR="0024590C">
        <w:rPr>
          <w:szCs w:val="28"/>
        </w:rPr>
        <w:t xml:space="preserve">(пункт </w:t>
      </w:r>
      <w:r w:rsidR="00C9477C">
        <w:rPr>
          <w:szCs w:val="28"/>
        </w:rPr>
        <w:t>15</w:t>
      </w:r>
      <w:r w:rsidR="0024590C">
        <w:rPr>
          <w:szCs w:val="28"/>
        </w:rPr>
        <w:t xml:space="preserve"> розділу ІХ)</w:t>
      </w:r>
    </w:p>
    <w:p w:rsidR="0038511C" w:rsidRDefault="0038511C" w:rsidP="0038511C">
      <w:pPr>
        <w:ind w:firstLine="0"/>
        <w:jc w:val="center"/>
        <w:rPr>
          <w:szCs w:val="28"/>
        </w:rPr>
      </w:pPr>
    </w:p>
    <w:p w:rsidR="0038511C" w:rsidRDefault="0038511C" w:rsidP="0038511C">
      <w:pPr>
        <w:ind w:firstLine="0"/>
        <w:jc w:val="center"/>
        <w:rPr>
          <w:szCs w:val="28"/>
        </w:rPr>
      </w:pPr>
      <w:r w:rsidRPr="006D1A16">
        <w:rPr>
          <w:szCs w:val="28"/>
        </w:rPr>
        <w:t>Варіанти структур робочих технологічних карт</w:t>
      </w:r>
    </w:p>
    <w:p w:rsidR="0038511C" w:rsidRPr="006D1A16" w:rsidRDefault="0038511C" w:rsidP="0038511C">
      <w:pPr>
        <w:ind w:firstLine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69"/>
        <w:gridCol w:w="5059"/>
      </w:tblGrid>
      <w:tr w:rsidR="0038511C" w:rsidRPr="00614051" w:rsidTr="00EC232A">
        <w:tc>
          <w:tcPr>
            <w:tcW w:w="2373" w:type="pct"/>
            <w:shd w:val="clear" w:color="auto" w:fill="auto"/>
          </w:tcPr>
          <w:p w:rsidR="0038511C" w:rsidRPr="00614051" w:rsidRDefault="0038511C" w:rsidP="00EC232A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14051">
              <w:rPr>
                <w:rFonts w:eastAsia="Times New Roman"/>
                <w:sz w:val="26"/>
                <w:szCs w:val="26"/>
              </w:rPr>
              <w:t>Варіант № 1</w:t>
            </w:r>
          </w:p>
          <w:p w:rsidR="0038511C" w:rsidRPr="00614051" w:rsidRDefault="0038511C" w:rsidP="00EC232A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14051">
              <w:rPr>
                <w:rFonts w:eastAsia="Times New Roman"/>
                <w:sz w:val="26"/>
                <w:szCs w:val="26"/>
              </w:rPr>
              <w:t>(для генеральних, безпечних вантажів навалювальних, в упаковці, тарі)</w:t>
            </w:r>
          </w:p>
        </w:tc>
        <w:tc>
          <w:tcPr>
            <w:tcW w:w="2627" w:type="pct"/>
            <w:shd w:val="clear" w:color="auto" w:fill="auto"/>
          </w:tcPr>
          <w:p w:rsidR="0038511C" w:rsidRPr="00614051" w:rsidRDefault="0038511C" w:rsidP="00EC232A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14051">
              <w:rPr>
                <w:rFonts w:eastAsia="Times New Roman"/>
                <w:sz w:val="26"/>
                <w:szCs w:val="26"/>
              </w:rPr>
              <w:t>Варіант № 2</w:t>
            </w:r>
          </w:p>
          <w:p w:rsidR="0038511C" w:rsidRPr="00614051" w:rsidRDefault="0038511C" w:rsidP="00EC232A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14051">
              <w:rPr>
                <w:rFonts w:eastAsia="Times New Roman"/>
                <w:sz w:val="26"/>
                <w:szCs w:val="26"/>
              </w:rPr>
              <w:t>(для небезпечних навалювальних, наливних вантажів, небезпечних вантажів в упаковці, тарі)</w:t>
            </w:r>
          </w:p>
        </w:tc>
      </w:tr>
      <w:tr w:rsidR="0038511C" w:rsidRPr="009A0A88" w:rsidTr="00EC232A">
        <w:tc>
          <w:tcPr>
            <w:tcW w:w="5000" w:type="pct"/>
            <w:gridSpan w:val="2"/>
            <w:shd w:val="clear" w:color="auto" w:fill="auto"/>
          </w:tcPr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b/>
                <w:bCs/>
                <w:szCs w:val="28"/>
              </w:rPr>
              <w:t>1. Загальна характеристика перевантажувального процесу</w:t>
            </w:r>
          </w:p>
          <w:p w:rsidR="0038511C" w:rsidRPr="009A0A88" w:rsidRDefault="0038511C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 xml:space="preserve">Найменування підприємства, найменування вантажу (групи вантажів), вид тари, упаковки, коротка транспортна характеристика вантажу (вантажів), посада керівника або заступника керівника підприємства, який затверджує документ, номер РТК, показники технологічного процесу, коротка характеристика </w:t>
            </w:r>
            <w:proofErr w:type="spellStart"/>
            <w:r w:rsidRPr="009A0A88">
              <w:rPr>
                <w:rFonts w:eastAsia="Times New Roman"/>
                <w:szCs w:val="28"/>
              </w:rPr>
              <w:t>підйомно</w:t>
            </w:r>
            <w:proofErr w:type="spellEnd"/>
            <w:r w:rsidRPr="009A0A88">
              <w:rPr>
                <w:rFonts w:eastAsia="Times New Roman"/>
                <w:szCs w:val="28"/>
              </w:rPr>
              <w:t>-транспортного обладнання, графічні матеріали</w:t>
            </w:r>
          </w:p>
        </w:tc>
      </w:tr>
      <w:tr w:rsidR="0038511C" w:rsidRPr="009A0A88" w:rsidTr="00EC232A">
        <w:tc>
          <w:tcPr>
            <w:tcW w:w="5000" w:type="pct"/>
            <w:gridSpan w:val="2"/>
            <w:shd w:val="clear" w:color="auto" w:fill="auto"/>
          </w:tcPr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9A0A88">
              <w:rPr>
                <w:rFonts w:eastAsia="Times New Roman"/>
                <w:b/>
                <w:bCs/>
                <w:szCs w:val="28"/>
              </w:rPr>
              <w:t>2. Опис технологічних процесів</w:t>
            </w:r>
          </w:p>
        </w:tc>
      </w:tr>
      <w:tr w:rsidR="0038511C" w:rsidRPr="009A0A88" w:rsidTr="00EC232A">
        <w:tc>
          <w:tcPr>
            <w:tcW w:w="2373" w:type="pct"/>
            <w:shd w:val="clear" w:color="auto" w:fill="auto"/>
          </w:tcPr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>Загальні положення</w:t>
            </w:r>
          </w:p>
        </w:tc>
        <w:tc>
          <w:tcPr>
            <w:tcW w:w="2627" w:type="pct"/>
            <w:shd w:val="clear" w:color="auto" w:fill="auto"/>
          </w:tcPr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>Загальні положення</w:t>
            </w:r>
          </w:p>
        </w:tc>
      </w:tr>
      <w:tr w:rsidR="0038511C" w:rsidRPr="009A0A88" w:rsidTr="00EC232A">
        <w:tc>
          <w:tcPr>
            <w:tcW w:w="2373" w:type="pct"/>
            <w:shd w:val="clear" w:color="auto" w:fill="auto"/>
          </w:tcPr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>Транспортна характеристика безпечних вантажів (коротка загальна характеристика транспортних властивостей безпечних навал</w:t>
            </w:r>
            <w:r>
              <w:rPr>
                <w:rFonts w:eastAsia="Times New Roman"/>
                <w:szCs w:val="28"/>
              </w:rPr>
              <w:t>юваль</w:t>
            </w:r>
            <w:r w:rsidRPr="009A0A88">
              <w:rPr>
                <w:rFonts w:eastAsia="Times New Roman"/>
                <w:szCs w:val="28"/>
              </w:rPr>
              <w:t xml:space="preserve">них вантажів, генеральних вантажів, вантажів </w:t>
            </w:r>
            <w:r w:rsidR="00D21DEC">
              <w:rPr>
                <w:rFonts w:eastAsia="Times New Roman"/>
                <w:szCs w:val="28"/>
              </w:rPr>
              <w:t>у</w:t>
            </w:r>
            <w:r w:rsidRPr="009A0A88">
              <w:rPr>
                <w:rFonts w:eastAsia="Times New Roman"/>
                <w:szCs w:val="28"/>
              </w:rPr>
              <w:t xml:space="preserve"> тарі, упаковці)</w:t>
            </w:r>
          </w:p>
        </w:tc>
        <w:tc>
          <w:tcPr>
            <w:tcW w:w="2627" w:type="pct"/>
            <w:shd w:val="clear" w:color="auto" w:fill="auto"/>
          </w:tcPr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 xml:space="preserve">Транспортна характеристика (коротка характеристика екологічних, санітарно-токсикологічних, </w:t>
            </w:r>
            <w:proofErr w:type="spellStart"/>
            <w:r w:rsidRPr="009A0A88">
              <w:rPr>
                <w:rFonts w:eastAsia="Times New Roman"/>
                <w:szCs w:val="28"/>
              </w:rPr>
              <w:t>пожежо</w:t>
            </w:r>
            <w:proofErr w:type="spellEnd"/>
            <w:r w:rsidRPr="009A0A88">
              <w:rPr>
                <w:rFonts w:eastAsia="Times New Roman"/>
                <w:szCs w:val="28"/>
              </w:rPr>
              <w:t>-, вибухонебезпечних властивостей навал</w:t>
            </w:r>
            <w:r>
              <w:rPr>
                <w:rFonts w:eastAsia="Times New Roman"/>
                <w:szCs w:val="28"/>
              </w:rPr>
              <w:t>юваль</w:t>
            </w:r>
            <w:r w:rsidRPr="009A0A88">
              <w:rPr>
                <w:rFonts w:eastAsia="Times New Roman"/>
                <w:szCs w:val="28"/>
              </w:rPr>
              <w:t>них, наливних вантажів, небезпечних вантажів в упаковці)</w:t>
            </w:r>
          </w:p>
        </w:tc>
      </w:tr>
      <w:tr w:rsidR="0038511C" w:rsidRPr="009A0A88" w:rsidTr="00EC232A">
        <w:tc>
          <w:tcPr>
            <w:tcW w:w="2373" w:type="pct"/>
            <w:shd w:val="clear" w:color="auto" w:fill="auto"/>
          </w:tcPr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>Опис технологічних процесів перевантаження, зберігання вантажів на перевантажувальному комплексі</w:t>
            </w:r>
          </w:p>
        </w:tc>
        <w:tc>
          <w:tcPr>
            <w:tcW w:w="2627" w:type="pct"/>
            <w:shd w:val="clear" w:color="auto" w:fill="auto"/>
          </w:tcPr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>Опис технологічних процесів перевантаження, зберігання вантажів на перевантажувальному комплексі з урахуванням небезпечних властивостей</w:t>
            </w:r>
          </w:p>
        </w:tc>
      </w:tr>
      <w:tr w:rsidR="0038511C" w:rsidRPr="009A0A88" w:rsidTr="00EC232A">
        <w:tc>
          <w:tcPr>
            <w:tcW w:w="2373" w:type="pct"/>
            <w:shd w:val="clear" w:color="auto" w:fill="auto"/>
          </w:tcPr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>Заходи щодо енергозбереження</w:t>
            </w:r>
          </w:p>
        </w:tc>
        <w:tc>
          <w:tcPr>
            <w:tcW w:w="2627" w:type="pct"/>
            <w:shd w:val="clear" w:color="auto" w:fill="auto"/>
          </w:tcPr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>Заходи щодо енергозбереження</w:t>
            </w:r>
          </w:p>
        </w:tc>
      </w:tr>
      <w:tr w:rsidR="0038511C" w:rsidRPr="009A0A88" w:rsidTr="00EC232A">
        <w:tc>
          <w:tcPr>
            <w:tcW w:w="2373" w:type="pct"/>
            <w:shd w:val="clear" w:color="auto" w:fill="auto"/>
          </w:tcPr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>Варіант № 1</w:t>
            </w:r>
          </w:p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>(для генеральних, безпечних вантажів навал</w:t>
            </w:r>
            <w:r>
              <w:rPr>
                <w:rFonts w:eastAsia="Times New Roman"/>
                <w:szCs w:val="28"/>
              </w:rPr>
              <w:t>юваль</w:t>
            </w:r>
            <w:r w:rsidRPr="009A0A88">
              <w:rPr>
                <w:rFonts w:eastAsia="Times New Roman"/>
                <w:szCs w:val="28"/>
              </w:rPr>
              <w:t>них, в упаковці, тарі)</w:t>
            </w:r>
          </w:p>
        </w:tc>
        <w:tc>
          <w:tcPr>
            <w:tcW w:w="2627" w:type="pct"/>
            <w:shd w:val="clear" w:color="auto" w:fill="auto"/>
          </w:tcPr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>Варіант № 2</w:t>
            </w:r>
          </w:p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>(для небезпечних навал</w:t>
            </w:r>
            <w:r>
              <w:rPr>
                <w:rFonts w:eastAsia="Times New Roman"/>
                <w:szCs w:val="28"/>
              </w:rPr>
              <w:t>юваль</w:t>
            </w:r>
            <w:r w:rsidRPr="009A0A88">
              <w:rPr>
                <w:rFonts w:eastAsia="Times New Roman"/>
                <w:szCs w:val="28"/>
              </w:rPr>
              <w:t>них, наливних вантажів, небезпечних вантажів в упаковці, тарі)</w:t>
            </w:r>
          </w:p>
        </w:tc>
      </w:tr>
      <w:tr w:rsidR="0038511C" w:rsidRPr="009A0A88" w:rsidTr="00EC232A">
        <w:tc>
          <w:tcPr>
            <w:tcW w:w="2373" w:type="pct"/>
            <w:shd w:val="clear" w:color="auto" w:fill="auto"/>
          </w:tcPr>
          <w:p w:rsidR="0038511C" w:rsidRPr="009A0A88" w:rsidRDefault="0038511C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 xml:space="preserve">Вимоги з охорони праці </w:t>
            </w:r>
            <w:r w:rsidR="00D21DEC">
              <w:rPr>
                <w:rFonts w:eastAsia="Times New Roman"/>
                <w:szCs w:val="28"/>
              </w:rPr>
              <w:t>під час</w:t>
            </w:r>
            <w:r w:rsidR="00D21DEC" w:rsidRPr="009A0A88">
              <w:rPr>
                <w:rFonts w:eastAsia="Times New Roman"/>
                <w:szCs w:val="28"/>
              </w:rPr>
              <w:t xml:space="preserve"> </w:t>
            </w:r>
            <w:r w:rsidR="00D21DEC">
              <w:rPr>
                <w:rFonts w:eastAsia="Times New Roman"/>
                <w:szCs w:val="28"/>
              </w:rPr>
              <w:t xml:space="preserve">виконання </w:t>
            </w:r>
            <w:r w:rsidRPr="009A0A88">
              <w:rPr>
                <w:rFonts w:eastAsia="Times New Roman"/>
                <w:szCs w:val="28"/>
              </w:rPr>
              <w:t>технологічного процесу</w:t>
            </w:r>
          </w:p>
        </w:tc>
        <w:tc>
          <w:tcPr>
            <w:tcW w:w="2627" w:type="pct"/>
            <w:shd w:val="clear" w:color="auto" w:fill="auto"/>
          </w:tcPr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 xml:space="preserve">Вимоги </w:t>
            </w:r>
            <w:r w:rsidR="00D21DEC">
              <w:rPr>
                <w:rFonts w:eastAsia="Times New Roman"/>
                <w:szCs w:val="28"/>
              </w:rPr>
              <w:t xml:space="preserve">щодо </w:t>
            </w:r>
            <w:r w:rsidRPr="009A0A88">
              <w:rPr>
                <w:rFonts w:eastAsia="Times New Roman"/>
                <w:szCs w:val="28"/>
              </w:rPr>
              <w:t xml:space="preserve">безпеки </w:t>
            </w:r>
            <w:r w:rsidR="00D21DEC">
              <w:rPr>
                <w:rFonts w:eastAsia="Times New Roman"/>
                <w:szCs w:val="28"/>
              </w:rPr>
              <w:t>виконання</w:t>
            </w:r>
            <w:r w:rsidR="00D21DEC" w:rsidRPr="009A0A88">
              <w:rPr>
                <w:rFonts w:eastAsia="Times New Roman"/>
                <w:szCs w:val="28"/>
              </w:rPr>
              <w:t xml:space="preserve"> </w:t>
            </w:r>
            <w:r w:rsidRPr="009A0A88">
              <w:rPr>
                <w:rFonts w:eastAsia="Times New Roman"/>
                <w:szCs w:val="28"/>
              </w:rPr>
              <w:t>технологічних процесів з урахуванням небезпечних характеристик вантажу:</w:t>
            </w:r>
          </w:p>
          <w:p w:rsidR="0038511C" w:rsidRPr="009A0A88" w:rsidRDefault="0038511C" w:rsidP="00EC232A">
            <w:pPr>
              <w:ind w:left="1290" w:firstLine="0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>- охорона праці;</w:t>
            </w:r>
          </w:p>
          <w:p w:rsidR="0038511C" w:rsidRPr="009A0A88" w:rsidRDefault="0038511C" w:rsidP="00EC232A">
            <w:pPr>
              <w:ind w:left="1290" w:firstLine="0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 xml:space="preserve">- </w:t>
            </w:r>
            <w:r w:rsidR="000D41A9">
              <w:rPr>
                <w:rFonts w:eastAsia="Times New Roman"/>
                <w:szCs w:val="28"/>
              </w:rPr>
              <w:t>санітарні норми</w:t>
            </w:r>
            <w:r w:rsidRPr="009A0A88">
              <w:rPr>
                <w:rFonts w:eastAsia="Times New Roman"/>
                <w:szCs w:val="28"/>
              </w:rPr>
              <w:t>;</w:t>
            </w:r>
          </w:p>
          <w:p w:rsidR="0038511C" w:rsidRPr="009A0A88" w:rsidRDefault="0038511C" w:rsidP="00EC232A">
            <w:pPr>
              <w:ind w:left="1290" w:firstLine="0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>- пожежна безпека</w:t>
            </w:r>
          </w:p>
        </w:tc>
      </w:tr>
      <w:tr w:rsidR="0038511C" w:rsidRPr="009A0A88" w:rsidTr="00EC232A">
        <w:tc>
          <w:tcPr>
            <w:tcW w:w="2373" w:type="pct"/>
            <w:shd w:val="clear" w:color="auto" w:fill="auto"/>
          </w:tcPr>
          <w:p w:rsidR="0038511C" w:rsidRPr="009A0A88" w:rsidRDefault="0038511C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 xml:space="preserve">Заходи </w:t>
            </w:r>
            <w:r w:rsidR="00D21DEC">
              <w:rPr>
                <w:rFonts w:eastAsia="Times New Roman"/>
                <w:szCs w:val="28"/>
              </w:rPr>
              <w:t>з</w:t>
            </w:r>
            <w:r w:rsidR="00D21DEC" w:rsidRPr="009A0A88">
              <w:rPr>
                <w:rFonts w:eastAsia="Times New Roman"/>
                <w:szCs w:val="28"/>
              </w:rPr>
              <w:t xml:space="preserve"> </w:t>
            </w:r>
            <w:r w:rsidRPr="009A0A88">
              <w:rPr>
                <w:rFonts w:eastAsia="Times New Roman"/>
                <w:szCs w:val="28"/>
              </w:rPr>
              <w:t>дотримання загальних норм екологічної безпеки</w:t>
            </w:r>
          </w:p>
        </w:tc>
        <w:tc>
          <w:tcPr>
            <w:tcW w:w="2627" w:type="pct"/>
            <w:shd w:val="clear" w:color="auto" w:fill="auto"/>
          </w:tcPr>
          <w:p w:rsidR="0038511C" w:rsidRPr="009A0A88" w:rsidRDefault="0038511C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 xml:space="preserve">Заходи </w:t>
            </w:r>
            <w:r w:rsidR="00D21DEC">
              <w:rPr>
                <w:rFonts w:eastAsia="Times New Roman"/>
                <w:szCs w:val="28"/>
              </w:rPr>
              <w:t>з</w:t>
            </w:r>
            <w:r w:rsidR="00D21DEC" w:rsidRPr="009A0A88">
              <w:rPr>
                <w:rFonts w:eastAsia="Times New Roman"/>
                <w:szCs w:val="28"/>
              </w:rPr>
              <w:t xml:space="preserve"> </w:t>
            </w:r>
            <w:r w:rsidRPr="009A0A88">
              <w:rPr>
                <w:rFonts w:eastAsia="Times New Roman"/>
                <w:szCs w:val="28"/>
              </w:rPr>
              <w:t>дотримання норм екологічної безпеки з урахуванням небезпечних властивостей вантажів</w:t>
            </w:r>
          </w:p>
        </w:tc>
      </w:tr>
    </w:tbl>
    <w:p w:rsidR="0038511C" w:rsidRDefault="0038511C" w:rsidP="0038511C"/>
    <w:p w:rsidR="0038511C" w:rsidRDefault="0038511C" w:rsidP="0038511C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69"/>
        <w:gridCol w:w="5059"/>
      </w:tblGrid>
      <w:tr w:rsidR="0038511C" w:rsidRPr="009A0A88" w:rsidTr="00EC232A">
        <w:tc>
          <w:tcPr>
            <w:tcW w:w="2373" w:type="pct"/>
            <w:shd w:val="clear" w:color="auto" w:fill="auto"/>
          </w:tcPr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 xml:space="preserve">Першочергові заходи з питань локалізації, ліквідації </w:t>
            </w:r>
            <w:r w:rsidR="0024590C">
              <w:rPr>
                <w:rFonts w:eastAsia="Times New Roman"/>
                <w:szCs w:val="28"/>
              </w:rPr>
              <w:t xml:space="preserve">наслідків </w:t>
            </w:r>
            <w:r w:rsidRPr="009A0A88">
              <w:rPr>
                <w:rFonts w:eastAsia="Times New Roman"/>
                <w:szCs w:val="28"/>
              </w:rPr>
              <w:t xml:space="preserve">аварійних ситуацій – </w:t>
            </w:r>
          </w:p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>не розроблюються</w:t>
            </w:r>
          </w:p>
        </w:tc>
        <w:tc>
          <w:tcPr>
            <w:tcW w:w="2627" w:type="pct"/>
            <w:shd w:val="clear" w:color="auto" w:fill="auto"/>
          </w:tcPr>
          <w:p w:rsidR="0038511C" w:rsidRPr="009A0A88" w:rsidRDefault="0038511C" w:rsidP="00215F5B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>Першочергові заходи з питань локалізації, ліквідації</w:t>
            </w:r>
            <w:r w:rsidR="0024590C">
              <w:rPr>
                <w:rFonts w:eastAsia="Times New Roman"/>
                <w:szCs w:val="28"/>
              </w:rPr>
              <w:t xml:space="preserve"> наслідків</w:t>
            </w:r>
            <w:r w:rsidRPr="009A0A88">
              <w:rPr>
                <w:rFonts w:eastAsia="Times New Roman"/>
                <w:szCs w:val="28"/>
              </w:rPr>
              <w:t xml:space="preserve"> аварійних ситуацій, аварій, надання </w:t>
            </w:r>
            <w:proofErr w:type="spellStart"/>
            <w:r w:rsidR="00215F5B">
              <w:rPr>
                <w:rFonts w:eastAsia="Times New Roman"/>
                <w:szCs w:val="28"/>
              </w:rPr>
              <w:t>до</w:t>
            </w:r>
            <w:r w:rsidRPr="009A0A88">
              <w:rPr>
                <w:rFonts w:eastAsia="Times New Roman"/>
                <w:szCs w:val="28"/>
              </w:rPr>
              <w:t>медичної</w:t>
            </w:r>
            <w:proofErr w:type="spellEnd"/>
            <w:r w:rsidRPr="009A0A88">
              <w:rPr>
                <w:rFonts w:eastAsia="Times New Roman"/>
                <w:szCs w:val="28"/>
              </w:rPr>
              <w:t xml:space="preserve"> допомоги постраждалим з урахуванням небезпечних властивостей вантажу</w:t>
            </w:r>
          </w:p>
        </w:tc>
      </w:tr>
      <w:tr w:rsidR="0038511C" w:rsidRPr="009A0A88" w:rsidTr="00EC232A">
        <w:tc>
          <w:tcPr>
            <w:tcW w:w="5000" w:type="pct"/>
            <w:gridSpan w:val="2"/>
            <w:shd w:val="clear" w:color="auto" w:fill="auto"/>
          </w:tcPr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9A0A88">
              <w:rPr>
                <w:rFonts w:eastAsia="Times New Roman"/>
                <w:b/>
                <w:bCs/>
                <w:szCs w:val="28"/>
              </w:rPr>
              <w:t>3. Погодження</w:t>
            </w:r>
          </w:p>
          <w:p w:rsidR="0038511C" w:rsidRPr="009A0A88" w:rsidRDefault="0038511C" w:rsidP="00EC23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9A0A88">
              <w:rPr>
                <w:rFonts w:eastAsia="Times New Roman"/>
                <w:szCs w:val="28"/>
              </w:rPr>
              <w:t xml:space="preserve">Перелік посадових осіб </w:t>
            </w:r>
            <w:r>
              <w:rPr>
                <w:rFonts w:eastAsia="Times New Roman"/>
                <w:szCs w:val="28"/>
              </w:rPr>
              <w:t>морського термінал</w:t>
            </w:r>
            <w:r w:rsidR="00D21DEC">
              <w:rPr>
                <w:rFonts w:eastAsia="Times New Roman"/>
                <w:szCs w:val="28"/>
              </w:rPr>
              <w:t>а</w:t>
            </w:r>
          </w:p>
        </w:tc>
      </w:tr>
    </w:tbl>
    <w:p w:rsidR="006D1C02" w:rsidRDefault="006D1C02" w:rsidP="009434B1">
      <w:pPr>
        <w:ind w:firstLine="0"/>
      </w:pPr>
    </w:p>
    <w:p w:rsidR="00E0537A" w:rsidRDefault="00E0537A" w:rsidP="009434B1">
      <w:pPr>
        <w:ind w:firstLine="0"/>
      </w:pPr>
    </w:p>
    <w:p w:rsidR="00E0537A" w:rsidRDefault="00E0537A" w:rsidP="009434B1">
      <w:pPr>
        <w:ind w:firstLine="0"/>
      </w:pPr>
    </w:p>
    <w:p w:rsidR="00E0537A" w:rsidRDefault="00E0537A" w:rsidP="00E0537A">
      <w:pPr>
        <w:autoSpaceDE w:val="0"/>
        <w:autoSpaceDN w:val="0"/>
        <w:adjustRightInd w:val="0"/>
        <w:ind w:firstLine="0"/>
        <w:jc w:val="center"/>
      </w:pPr>
      <w:r>
        <w:rPr>
          <w:color w:val="000000"/>
          <w:szCs w:val="28"/>
        </w:rPr>
        <w:t>__________________________</w:t>
      </w:r>
    </w:p>
    <w:p w:rsidR="00E0537A" w:rsidRDefault="00E0537A" w:rsidP="009434B1">
      <w:pPr>
        <w:ind w:firstLine="0"/>
      </w:pPr>
    </w:p>
    <w:sectPr w:rsidR="00E0537A" w:rsidSect="005D1E03">
      <w:headerReference w:type="even" r:id="rId6"/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E4" w:rsidRDefault="004A3DE4">
      <w:r>
        <w:separator/>
      </w:r>
    </w:p>
  </w:endnote>
  <w:endnote w:type="continuationSeparator" w:id="0">
    <w:p w:rsidR="004A3DE4" w:rsidRDefault="004A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E4" w:rsidRDefault="004A3DE4">
      <w:r>
        <w:separator/>
      </w:r>
    </w:p>
  </w:footnote>
  <w:footnote w:type="continuationSeparator" w:id="0">
    <w:p w:rsidR="004A3DE4" w:rsidRDefault="004A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33" w:rsidRDefault="0038511C" w:rsidP="00994B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B33" w:rsidRDefault="004A3DE4">
    <w:pPr>
      <w:pStyle w:val="a3"/>
    </w:pPr>
  </w:p>
  <w:p w:rsidR="00994B33" w:rsidRDefault="004A3D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69091"/>
      <w:docPartObj>
        <w:docPartGallery w:val="Page Numbers (Top of Page)"/>
        <w:docPartUnique/>
      </w:docPartObj>
    </w:sdtPr>
    <w:sdtEndPr/>
    <w:sdtContent>
      <w:p w:rsidR="0024590C" w:rsidRDefault="002459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34" w:rsidRPr="00252F34">
          <w:rPr>
            <w:noProof/>
            <w:lang w:val="ru-RU"/>
          </w:rPr>
          <w:t>2</w:t>
        </w:r>
        <w:r>
          <w:fldChar w:fldCharType="end"/>
        </w:r>
      </w:p>
      <w:p w:rsidR="00994B33" w:rsidRDefault="0024590C" w:rsidP="0024590C">
        <w:pPr>
          <w:pStyle w:val="a3"/>
          <w:jc w:val="right"/>
        </w:pPr>
        <w:r>
          <w:t>Продовження додатка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B4"/>
    <w:rsid w:val="00064512"/>
    <w:rsid w:val="000D41A9"/>
    <w:rsid w:val="00100BE3"/>
    <w:rsid w:val="00215F5B"/>
    <w:rsid w:val="0024590C"/>
    <w:rsid w:val="00252F34"/>
    <w:rsid w:val="00266A24"/>
    <w:rsid w:val="002A773D"/>
    <w:rsid w:val="002D4B56"/>
    <w:rsid w:val="002F45CF"/>
    <w:rsid w:val="0037749B"/>
    <w:rsid w:val="0038511C"/>
    <w:rsid w:val="0042156E"/>
    <w:rsid w:val="004A3DE4"/>
    <w:rsid w:val="0052557C"/>
    <w:rsid w:val="005439B4"/>
    <w:rsid w:val="0057206A"/>
    <w:rsid w:val="005B3A43"/>
    <w:rsid w:val="005D1E03"/>
    <w:rsid w:val="006A3733"/>
    <w:rsid w:val="006D1C02"/>
    <w:rsid w:val="007951B8"/>
    <w:rsid w:val="009434B1"/>
    <w:rsid w:val="00963E1E"/>
    <w:rsid w:val="00967495"/>
    <w:rsid w:val="00BF17BD"/>
    <w:rsid w:val="00BF4613"/>
    <w:rsid w:val="00C9477C"/>
    <w:rsid w:val="00CE3AFE"/>
    <w:rsid w:val="00D21DEC"/>
    <w:rsid w:val="00D61DF3"/>
    <w:rsid w:val="00DF44CF"/>
    <w:rsid w:val="00E0537A"/>
    <w:rsid w:val="00E472EA"/>
    <w:rsid w:val="00F20801"/>
    <w:rsid w:val="00F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C047D5-9A92-4CEF-8641-A1E0B99C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1C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0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5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11C"/>
    <w:rPr>
      <w:rFonts w:ascii="Times New Roman" w:eastAsia="MS Mincho" w:hAnsi="Times New Roman" w:cs="Times New Roman"/>
      <w:sz w:val="28"/>
      <w:szCs w:val="20"/>
      <w:lang w:val="uk-UA" w:eastAsia="ja-JP"/>
    </w:rPr>
  </w:style>
  <w:style w:type="character" w:styleId="a5">
    <w:name w:val="page number"/>
    <w:basedOn w:val="a0"/>
    <w:rsid w:val="0038511C"/>
  </w:style>
  <w:style w:type="paragraph" w:styleId="a6">
    <w:name w:val="footer"/>
    <w:basedOn w:val="a"/>
    <w:link w:val="a7"/>
    <w:uiPriority w:val="99"/>
    <w:unhideWhenUsed/>
    <w:rsid w:val="00245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90C"/>
    <w:rPr>
      <w:rFonts w:ascii="Times New Roman" w:eastAsia="MS Mincho" w:hAnsi="Times New Roman" w:cs="Times New Roman"/>
      <w:sz w:val="28"/>
      <w:szCs w:val="20"/>
      <w:lang w:val="uk-UA" w:eastAsia="ja-JP"/>
    </w:rPr>
  </w:style>
  <w:style w:type="paragraph" w:styleId="a8">
    <w:name w:val="Balloon Text"/>
    <w:basedOn w:val="a"/>
    <w:link w:val="a9"/>
    <w:uiPriority w:val="99"/>
    <w:semiHidden/>
    <w:unhideWhenUsed/>
    <w:rsid w:val="002459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90C"/>
    <w:rPr>
      <w:rFonts w:ascii="Segoe UI" w:eastAsia="MS Mincho" w:hAnsi="Segoe UI" w:cs="Segoe UI"/>
      <w:sz w:val="18"/>
      <w:szCs w:val="18"/>
      <w:lang w:val="uk-U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Василига Сергій</dc:creator>
  <cp:keywords/>
  <dc:description/>
  <cp:lastModifiedBy>Василига Сергій</cp:lastModifiedBy>
  <cp:revision>2</cp:revision>
  <cp:lastPrinted>2021-01-26T15:19:00Z</cp:lastPrinted>
  <dcterms:created xsi:type="dcterms:W3CDTF">2021-04-22T06:58:00Z</dcterms:created>
  <dcterms:modified xsi:type="dcterms:W3CDTF">2021-04-22T06:58:00Z</dcterms:modified>
</cp:coreProperties>
</file>