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8"/>
          <w:szCs w:val="28"/>
          <w:lang w:eastAsia="ru-RU"/>
        </w:rPr>
        <w:t>АНАЛІЗ РЕГУЛЯТОРНОГО ВПЛИВУ</w:t>
      </w:r>
    </w:p>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8"/>
          <w:szCs w:val="28"/>
          <w:lang w:eastAsia="ru-RU"/>
        </w:rPr>
        <w:t>до проекту постанови Кабінету Міністрів України</w:t>
      </w:r>
    </w:p>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8"/>
          <w:szCs w:val="28"/>
          <w:lang w:eastAsia="ru-RU"/>
        </w:rPr>
        <w:t>«Деякі питання виконання вимог Закону України «Про гарантування речових прав на об’єкти нерухомого майна, які будуть споруджені в майбутньому» </w:t>
      </w:r>
    </w:p>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color w:val="000000"/>
          <w:sz w:val="28"/>
          <w:szCs w:val="28"/>
          <w:lang w:eastAsia="ru-RU"/>
        </w:rPr>
      </w:pPr>
    </w:p>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8"/>
          <w:szCs w:val="28"/>
          <w:lang w:eastAsia="ru-RU"/>
        </w:rPr>
        <w:t>І. Визначення проблеми</w:t>
      </w: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Закон України «Про гарантування речових прав на об’єкти нерухомого майна, які будуть споруджені в майбутньому» (далі – Закон) набув чинності 10 жовтня </w:t>
      </w:r>
      <w:r w:rsidRPr="008C1ABB">
        <w:rPr>
          <w:rFonts w:ascii="Times New Roman" w:eastAsia="Times New Roman" w:hAnsi="Times New Roman" w:cs="Times New Roman"/>
          <w:color w:val="000000"/>
          <w:sz w:val="28"/>
          <w:szCs w:val="28"/>
          <w:lang w:eastAsia="ru-RU"/>
        </w:rPr>
        <w:br/>
        <w:t>2022 року. Починаючи з цього часу діє правове поле, яким врегульовано особливості цивільного обороту об’єктів незавершеного будівництва і майбутніх об’єктів нерухомості та запроваджено механізми гарантування виконання замовником будівництва зобов’язань перед інвесторами.</w:t>
      </w: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Норми Закону не поширюється на об’єкти будівництва та їх складові частини, право на виконання будівельних робіт щодо яких набуто до набрання чинності Законом. </w:t>
      </w: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Разом з тим, відповідно до абзацу четвертого частини другої статті 21 Закону замовнику будівництву надано право приймати рішення про поширення дії Закону на об’єкти будівництва та їх складові, які після прийняття в експлуатацію закінченого будівництвом об’єкта стануть самостійними об’єктами нерухомого майна, право на виконання будівельних робіт щодо яких набуто до набрання чинності Законом.</w:t>
      </w: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Таким чином, з метою забезпечення виконання вимог Закону та практичної реалізації замовниками будівництва прийнятті зазначеного рішення виникла необхідність нормативно-правового регулювання щодо визначення особливостей та порядку прийняття рішення замовником будівництва про поширення дії Закону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(квартира, гаражний бокс, інше житлове або нежитлове приміщення, </w:t>
      </w:r>
      <w:proofErr w:type="spellStart"/>
      <w:r w:rsidRPr="008C1ABB">
        <w:rPr>
          <w:rFonts w:ascii="Times New Roman" w:eastAsia="Times New Roman" w:hAnsi="Times New Roman" w:cs="Times New Roman"/>
          <w:color w:val="000000"/>
          <w:sz w:val="28"/>
          <w:szCs w:val="28"/>
          <w:lang w:eastAsia="ru-RU"/>
        </w:rPr>
        <w:t>машиномісце</w:t>
      </w:r>
      <w:proofErr w:type="spellEnd"/>
      <w:r w:rsidRPr="008C1ABB">
        <w:rPr>
          <w:rFonts w:ascii="Times New Roman" w:eastAsia="Times New Roman" w:hAnsi="Times New Roman" w:cs="Times New Roman"/>
          <w:color w:val="000000"/>
          <w:sz w:val="28"/>
          <w:szCs w:val="28"/>
          <w:lang w:eastAsia="ru-RU"/>
        </w:rPr>
        <w:t xml:space="preserve"> тощо), право на виконання будівельних робіт щодо яких набуто до набрання чинності цим Законом.</w:t>
      </w: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Враховуючи зазначене, виникла необхідність у розробленні рішення Уряду, яким пропонується затвердити Порядок поширення дії Закону України «Про гарантування речових прав на об’єкти нерухомого майна, які будуть споруджені в майбутньому»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(квартира, гаражний бокс, інше житлове або нежитлове приміщення, </w:t>
      </w:r>
      <w:proofErr w:type="spellStart"/>
      <w:r w:rsidRPr="008C1ABB">
        <w:rPr>
          <w:rFonts w:ascii="Times New Roman" w:eastAsia="Times New Roman" w:hAnsi="Times New Roman" w:cs="Times New Roman"/>
          <w:color w:val="000000"/>
          <w:sz w:val="28"/>
          <w:szCs w:val="28"/>
          <w:lang w:eastAsia="ru-RU"/>
        </w:rPr>
        <w:t>машиномісце</w:t>
      </w:r>
      <w:proofErr w:type="spellEnd"/>
      <w:r w:rsidRPr="008C1ABB">
        <w:rPr>
          <w:rFonts w:ascii="Times New Roman" w:eastAsia="Times New Roman" w:hAnsi="Times New Roman" w:cs="Times New Roman"/>
          <w:color w:val="000000"/>
          <w:sz w:val="28"/>
          <w:szCs w:val="28"/>
          <w:lang w:eastAsia="ru-RU"/>
        </w:rPr>
        <w:t xml:space="preserve"> тощо), право на виконання будівельних робіт щодо яких набуто до набрання чинності цього закону (далі – Порядок) та </w:t>
      </w:r>
      <w:proofErr w:type="spellStart"/>
      <w:r w:rsidRPr="008C1ABB">
        <w:rPr>
          <w:rFonts w:ascii="Times New Roman" w:eastAsia="Times New Roman" w:hAnsi="Times New Roman" w:cs="Times New Roman"/>
          <w:color w:val="000000"/>
          <w:sz w:val="28"/>
          <w:szCs w:val="28"/>
          <w:lang w:eastAsia="ru-RU"/>
        </w:rPr>
        <w:t>внести</w:t>
      </w:r>
      <w:proofErr w:type="spellEnd"/>
      <w:r w:rsidRPr="008C1ABB">
        <w:rPr>
          <w:rFonts w:ascii="Times New Roman" w:eastAsia="Times New Roman" w:hAnsi="Times New Roman" w:cs="Times New Roman"/>
          <w:color w:val="000000"/>
          <w:sz w:val="28"/>
          <w:szCs w:val="28"/>
          <w:lang w:eastAsia="ru-RU"/>
        </w:rPr>
        <w:t xml:space="preserve"> зміни до:</w:t>
      </w: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Порядку затвердження проектів будівництва і проведення їх експертизи, затвердженого постановою Кабінету Міністрів України від 11 травня 2011 р. </w:t>
      </w:r>
      <w:r w:rsidRPr="008C1ABB">
        <w:rPr>
          <w:rFonts w:ascii="Times New Roman" w:eastAsia="Times New Roman" w:hAnsi="Times New Roman" w:cs="Times New Roman"/>
          <w:color w:val="000000"/>
          <w:sz w:val="28"/>
          <w:szCs w:val="28"/>
          <w:lang w:eastAsia="ru-RU"/>
        </w:rPr>
        <w:br/>
      </w:r>
      <w:r w:rsidRPr="008C1ABB">
        <w:rPr>
          <w:rFonts w:ascii="Times New Roman" w:eastAsia="Times New Roman" w:hAnsi="Times New Roman" w:cs="Times New Roman"/>
          <w:color w:val="000000"/>
          <w:sz w:val="28"/>
          <w:szCs w:val="28"/>
          <w:lang w:eastAsia="ru-RU"/>
        </w:rPr>
        <w:lastRenderedPageBreak/>
        <w:t xml:space="preserve">№ 560, Порядку ведення Єдиної державної електронної системи у сфері будівництва, затвердженого постановою Кабінету Міністрів України </w:t>
      </w:r>
      <w:r w:rsidR="009D45DB">
        <w:rPr>
          <w:rFonts w:ascii="Times New Roman" w:eastAsia="Times New Roman" w:hAnsi="Times New Roman" w:cs="Times New Roman"/>
          <w:color w:val="000000"/>
          <w:sz w:val="28"/>
          <w:szCs w:val="28"/>
          <w:lang w:eastAsia="ru-RU"/>
        </w:rPr>
        <w:br/>
      </w:r>
      <w:r w:rsidRPr="008C1ABB">
        <w:rPr>
          <w:rFonts w:ascii="Times New Roman" w:eastAsia="Times New Roman" w:hAnsi="Times New Roman" w:cs="Times New Roman"/>
          <w:color w:val="000000"/>
          <w:sz w:val="28"/>
          <w:szCs w:val="28"/>
          <w:lang w:eastAsia="ru-RU"/>
        </w:rPr>
        <w:t>від 23 червня 2021 р. № 681, у частині визначення механізму та процедури здійснення актуалізації відомостей (даних) в Єдиній державній електронній системи у сфері будівництва (далі – електронна система);</w:t>
      </w: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до Порядку державної реєстрації речових прав на нерухоме майно та їх обтяжень, затвердженого постановою Кабінету Міністрів України від 25 грудня </w:t>
      </w:r>
      <w:r w:rsidRPr="008C1ABB">
        <w:rPr>
          <w:rFonts w:ascii="Times New Roman" w:eastAsia="Times New Roman" w:hAnsi="Times New Roman" w:cs="Times New Roman"/>
          <w:color w:val="000000"/>
          <w:sz w:val="28"/>
          <w:szCs w:val="28"/>
          <w:lang w:eastAsia="ru-RU"/>
        </w:rPr>
        <w:br/>
        <w:t>2015 р. № 1127, Порядку ведення Державного реєстру речових прав на нерухоме майно, затвердженого постановою Кабінету Міністрів України від 26 жовтня 2011 р.</w:t>
      </w:r>
      <w:r w:rsidR="009D45DB">
        <w:rPr>
          <w:rFonts w:ascii="Times New Roman" w:eastAsia="Times New Roman" w:hAnsi="Times New Roman" w:cs="Times New Roman"/>
          <w:color w:val="000000"/>
          <w:sz w:val="28"/>
          <w:szCs w:val="28"/>
          <w:lang w:eastAsia="ru-RU"/>
        </w:rPr>
        <w:t xml:space="preserve"> </w:t>
      </w:r>
      <w:r w:rsidRPr="008C1ABB">
        <w:rPr>
          <w:rFonts w:ascii="Times New Roman" w:eastAsia="Times New Roman" w:hAnsi="Times New Roman" w:cs="Times New Roman"/>
          <w:color w:val="000000"/>
          <w:sz w:val="28"/>
          <w:szCs w:val="28"/>
          <w:lang w:eastAsia="ru-RU"/>
        </w:rPr>
        <w:t>№ 1141, у частині забезпечення реалізації механізму державної реєстрації спеціального майнового права, права інвестора;</w:t>
      </w: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Порядку присвоєння адрес об’єктам будівництва, об’єктам нерухомого майна, затвердженого постановою Кабінету Міністрів України від 07 липня 2021 р. № 690, у частині уточнення порядку подання заяви для присвоєння, зміни, коригування, анулювання адреси.</w:t>
      </w:r>
    </w:p>
    <w:p w:rsidR="008C1ABB" w:rsidRPr="008C1ABB" w:rsidRDefault="008C1ABB" w:rsidP="008C1ABB">
      <w:pPr>
        <w:widowControl w:val="0"/>
        <w:shd w:val="clear" w:color="auto" w:fill="FFFFFF"/>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Необхідність визначення зазначених вище питань, у першу чергу, обумовлена тим, що таке нормативно-правове регулювання запроваджується вперше. </w:t>
      </w:r>
    </w:p>
    <w:p w:rsidR="008C1ABB" w:rsidRPr="008C1ABB" w:rsidRDefault="008C1ABB" w:rsidP="008C1ABB">
      <w:pPr>
        <w:widowControl w:val="0"/>
        <w:shd w:val="clear" w:color="auto" w:fill="FFFFFF"/>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sz w:val="28"/>
          <w:szCs w:val="28"/>
          <w:shd w:val="clear" w:color="auto" w:fill="FFFFFF"/>
          <w:lang w:eastAsia="ru-RU"/>
        </w:rPr>
        <w:t xml:space="preserve">Прийняття регуляторного </w:t>
      </w:r>
      <w:proofErr w:type="spellStart"/>
      <w:r w:rsidRPr="008C1ABB">
        <w:rPr>
          <w:rFonts w:ascii="Times New Roman" w:eastAsia="Times New Roman" w:hAnsi="Times New Roman" w:cs="Times New Roman"/>
          <w:sz w:val="28"/>
          <w:szCs w:val="28"/>
          <w:shd w:val="clear" w:color="auto" w:fill="FFFFFF"/>
          <w:lang w:eastAsia="ru-RU"/>
        </w:rPr>
        <w:t>акта</w:t>
      </w:r>
      <w:proofErr w:type="spellEnd"/>
      <w:r w:rsidRPr="008C1ABB">
        <w:rPr>
          <w:rFonts w:ascii="Times New Roman" w:eastAsia="Times New Roman" w:hAnsi="Times New Roman" w:cs="Times New Roman"/>
          <w:sz w:val="28"/>
          <w:szCs w:val="28"/>
          <w:shd w:val="clear" w:color="auto" w:fill="FFFFFF"/>
          <w:lang w:eastAsia="ru-RU"/>
        </w:rPr>
        <w:t xml:space="preserve"> створить нормативно-правове підґрунтя для запровадження механізмів прозорого та більш безпечного залучення коштів фізичних та юридичних осіб в будівництво.</w:t>
      </w:r>
    </w:p>
    <w:p w:rsidR="008C1ABB" w:rsidRPr="008C1ABB" w:rsidRDefault="008C1ABB" w:rsidP="008C1ABB">
      <w:pPr>
        <w:widowControl w:val="0"/>
        <w:shd w:val="clear" w:color="auto" w:fill="FFFFFF"/>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sz w:val="28"/>
          <w:szCs w:val="28"/>
          <w:lang w:eastAsia="ru-RU"/>
        </w:rPr>
        <w:t xml:space="preserve">Впровадження норм Закону сприятиме зменшенню ризиків як для суб’єктів господарювання (замовників будівництва) так і для інвесторів, у тому числі для осіб, </w:t>
      </w:r>
      <w:r w:rsidRPr="008C1ABB">
        <w:rPr>
          <w:rFonts w:ascii="Times New Roman" w:eastAsia="Times New Roman" w:hAnsi="Times New Roman" w:cs="Times New Roman"/>
          <w:sz w:val="28"/>
          <w:szCs w:val="28"/>
          <w:highlight w:val="white"/>
          <w:lang w:eastAsia="ru-RU"/>
        </w:rPr>
        <w:t>для осіб, які до набрання чинності Закону уклали правочини і які за цими правочинами набувають право на отримання об’єкта будівництва (його складових частин) у власність після прийняття в експлуатацію закінченого будівництвом об’єкта, а також для осіб (інвесторів) які у майбутньому укладатимуть такі правочини щодо відповідного об’єкту будівництва.</w:t>
      </w:r>
    </w:p>
    <w:p w:rsidR="008C1ABB" w:rsidRPr="008C1ABB" w:rsidRDefault="008C1ABB" w:rsidP="008C1ABB">
      <w:pPr>
        <w:widowControl w:val="0"/>
        <w:shd w:val="clear" w:color="auto" w:fill="FFFFFF"/>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sz w:val="28"/>
          <w:szCs w:val="28"/>
          <w:highlight w:val="white"/>
          <w:lang w:eastAsia="ru-RU"/>
        </w:rPr>
        <w:t xml:space="preserve">Дія регуляторного </w:t>
      </w:r>
      <w:proofErr w:type="spellStart"/>
      <w:r w:rsidRPr="008C1ABB">
        <w:rPr>
          <w:rFonts w:ascii="Times New Roman" w:eastAsia="Times New Roman" w:hAnsi="Times New Roman" w:cs="Times New Roman"/>
          <w:sz w:val="28"/>
          <w:szCs w:val="28"/>
          <w:highlight w:val="white"/>
          <w:lang w:eastAsia="ru-RU"/>
        </w:rPr>
        <w:t>акта</w:t>
      </w:r>
      <w:proofErr w:type="spellEnd"/>
      <w:r w:rsidRPr="008C1ABB">
        <w:rPr>
          <w:rFonts w:ascii="Times New Roman" w:eastAsia="Times New Roman" w:hAnsi="Times New Roman" w:cs="Times New Roman"/>
          <w:sz w:val="28"/>
          <w:szCs w:val="28"/>
          <w:highlight w:val="white"/>
          <w:lang w:eastAsia="ru-RU"/>
        </w:rPr>
        <w:t xml:space="preserve"> матиме вплив виключно на тих суб’єктів господарювання (замовників будівництва), які виявляють добровільне бажання прийняти рішення про поширення дії Закону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право на виконання будівельних робіт щодо яких набуто до набрання чинності Законом.</w:t>
      </w:r>
    </w:p>
    <w:p w:rsidR="008C1ABB" w:rsidRPr="008C1ABB" w:rsidRDefault="008C1ABB" w:rsidP="008C1ABB">
      <w:pPr>
        <w:widowControl w:val="0"/>
        <w:shd w:val="clear" w:color="auto" w:fill="FFFFFF"/>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sz w:val="28"/>
          <w:szCs w:val="28"/>
          <w:highlight w:val="white"/>
          <w:lang w:eastAsia="ru-RU"/>
        </w:rPr>
        <w:t>Наразі невідома точна кількість об’єктів будівництва та їх складових частин, які після прийняття в експлуатацію закінченого будівництвом об’єкта стануть самостійними об’єктами нерухомого майна право на виконання будівельних робіт щодо яких набуто до набрання чинності Законом, відповідно неможливо визначити кількість осіб, що під підпадають під дію регулювання і які можуть отримати гарантії, передбачені Законом, у разі прийняття відповідного рішення замовником будівництва.</w:t>
      </w:r>
    </w:p>
    <w:p w:rsidR="008C1ABB" w:rsidRPr="008C1ABB" w:rsidRDefault="008C1ABB" w:rsidP="008C1ABB">
      <w:pPr>
        <w:widowControl w:val="0"/>
        <w:shd w:val="clear" w:color="auto" w:fill="FFFFFF"/>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Враховуючи зазначене, розроблено проект постанови Кабінету Міністрів </w:t>
      </w:r>
      <w:r w:rsidRPr="008C1ABB">
        <w:rPr>
          <w:rFonts w:ascii="Times New Roman" w:eastAsia="Times New Roman" w:hAnsi="Times New Roman" w:cs="Times New Roman"/>
          <w:color w:val="000000"/>
          <w:sz w:val="28"/>
          <w:szCs w:val="28"/>
          <w:lang w:eastAsia="ru-RU"/>
        </w:rPr>
        <w:lastRenderedPageBreak/>
        <w:t>України «Деякі питання виконання вимог Закону України «Про гарантування речових прав на об'єкти нерухомого майна, які будуть споруджені у майбутньому» (далі – регуляторний акт).</w:t>
      </w: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Описані питання потенційно можуть мати вплив на всі верстви населення, зокрема основними групами (підгрупами), на які проблема справляє вплив, є:</w:t>
      </w:r>
    </w:p>
    <w:p w:rsidR="008C1ABB" w:rsidRPr="008C1ABB" w:rsidRDefault="008C1ABB" w:rsidP="008C1ABB">
      <w:pPr>
        <w:widowControl w:val="0"/>
        <w:suppressAutoHyphens/>
        <w:spacing w:after="0" w:line="240" w:lineRule="auto"/>
        <w:ind w:left="1" w:hanging="3"/>
        <w:jc w:val="both"/>
        <w:textAlignment w:val="top"/>
        <w:outlineLvl w:val="0"/>
        <w:rPr>
          <w:rFonts w:ascii="Times New Roman" w:eastAsia="Times New Roman" w:hAnsi="Times New Roman" w:cs="Times New Roman"/>
          <w:color w:val="000000"/>
          <w:sz w:val="28"/>
          <w:szCs w:val="28"/>
          <w:lang w:eastAsia="ru-RU"/>
        </w:rPr>
      </w:pPr>
    </w:p>
    <w:tbl>
      <w:tblPr>
        <w:tblW w:w="9629" w:type="dxa"/>
        <w:tblInd w:w="5" w:type="dxa"/>
        <w:tblLayout w:type="fixed"/>
        <w:tblLook w:val="0000" w:firstRow="0" w:lastRow="0" w:firstColumn="0" w:lastColumn="0" w:noHBand="0" w:noVBand="0"/>
      </w:tblPr>
      <w:tblGrid>
        <w:gridCol w:w="2371"/>
        <w:gridCol w:w="3998"/>
        <w:gridCol w:w="3260"/>
      </w:tblGrid>
      <w:tr w:rsidR="008C1ABB" w:rsidRPr="008C1ABB" w:rsidTr="009D45DB">
        <w:tc>
          <w:tcPr>
            <w:tcW w:w="2371"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Групи (підгрупи)</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Так</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Ні</w:t>
            </w:r>
          </w:p>
        </w:tc>
      </w:tr>
      <w:tr w:rsidR="008C1ABB" w:rsidRPr="008C1ABB" w:rsidTr="009D45DB">
        <w:tc>
          <w:tcPr>
            <w:tcW w:w="2371"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left="1" w:hanging="3"/>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Громадяни</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w:t>
            </w:r>
          </w:p>
        </w:tc>
      </w:tr>
      <w:tr w:rsidR="008C1ABB" w:rsidRPr="008C1ABB" w:rsidTr="009D45DB">
        <w:tc>
          <w:tcPr>
            <w:tcW w:w="2371"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left="1" w:hanging="3"/>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Держава</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w:t>
            </w:r>
          </w:p>
        </w:tc>
      </w:tr>
      <w:tr w:rsidR="008C1ABB" w:rsidRPr="008C1ABB" w:rsidTr="009D45DB">
        <w:tc>
          <w:tcPr>
            <w:tcW w:w="2371"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left="1" w:hanging="3"/>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Суб’єкти господарювання</w:t>
            </w:r>
          </w:p>
        </w:tc>
        <w:tc>
          <w:tcPr>
            <w:tcW w:w="3998"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w:t>
            </w:r>
          </w:p>
        </w:tc>
      </w:tr>
    </w:tbl>
    <w:p w:rsidR="008C1ABB" w:rsidRPr="008C1ABB" w:rsidRDefault="008C1ABB" w:rsidP="008C1ABB">
      <w:pPr>
        <w:widowControl w:val="0"/>
        <w:shd w:val="clear" w:color="auto" w:fill="FFFFFF"/>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Проблема, яку пропонується врегулювати в результаті прийняття регуляторного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 xml:space="preserve">, є важливою і не може бути розв’язаною за допомогою ринкових механізмів, оскільки потребує нормативно-правового врегулювання. </w:t>
      </w:r>
    </w:p>
    <w:p w:rsidR="008C1ABB" w:rsidRPr="008C1ABB" w:rsidRDefault="008C1ABB" w:rsidP="008C1ABB">
      <w:pPr>
        <w:widowControl w:val="0"/>
        <w:shd w:val="clear" w:color="auto" w:fill="FFFFFF"/>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Проблема не може бути розв’язана за допомогою діючих регуляторних актів, у зв'язку з тим, що на сьогодні відсутні відповідні діючі регуляторні акти, які б вирішували зазначену проблему.</w:t>
      </w:r>
    </w:p>
    <w:p w:rsidR="008C1ABB" w:rsidRPr="008C1ABB" w:rsidRDefault="008C1ABB" w:rsidP="008C1ABB">
      <w:pPr>
        <w:widowControl w:val="0"/>
        <w:shd w:val="clear" w:color="auto" w:fill="FFFFFF"/>
        <w:suppressAutoHyphens/>
        <w:spacing w:after="0" w:line="240" w:lineRule="auto"/>
        <w:ind w:left="1" w:firstLine="566"/>
        <w:jc w:val="both"/>
        <w:textAlignment w:val="top"/>
        <w:outlineLvl w:val="0"/>
        <w:rPr>
          <w:rFonts w:ascii="Times New Roman" w:eastAsia="Times New Roman" w:hAnsi="Times New Roman" w:cs="Times New Roman"/>
          <w:color w:val="000000"/>
          <w:sz w:val="28"/>
          <w:szCs w:val="28"/>
          <w:lang w:eastAsia="ru-RU"/>
        </w:rPr>
      </w:pPr>
      <w:bookmarkStart w:id="0" w:name="bookmark=id.gjdgxs"/>
      <w:bookmarkEnd w:id="0"/>
    </w:p>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8"/>
          <w:szCs w:val="28"/>
          <w:lang w:eastAsia="ru-RU"/>
        </w:rPr>
        <w:t>II. Цілі державного регулювання</w:t>
      </w: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Основними цілями державного регулювання запропонованого регуляторного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 xml:space="preserve"> є:</w:t>
      </w: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 прийняття нормативно-правового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 що забезпечить виконання окремих положень Закону;</w:t>
      </w: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визначення ефективної та якісної процедури прийняття рішення замовником будівництва про поширення дії Закону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право на виконання будівельних робіт щодо яких набуто до набрання чинності цим Законом, що у свою чергу:</w:t>
      </w: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дозволить суб’єкту господарювання (замовнику будівництва), який розпочав будівництво до набрання чинності Закон, підтвердити, що виконувані ним будівельні роботи відповідають умовам та вимогам законодавства;</w:t>
      </w: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сприятиме підвищенню його привабливості на ринку та залученню інвестицій для ще не проданих об’єктів будівництва, та їх складових частин, які після прийняття в експлуатацію закінченого будівництвом об’єкта стануть самостійними об’єктами нерухомого майна. </w:t>
      </w: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 </w:t>
      </w:r>
      <w:r w:rsidRPr="008C1ABB">
        <w:rPr>
          <w:rFonts w:ascii="Times New Roman" w:eastAsia="Times New Roman" w:hAnsi="Times New Roman" w:cs="Times New Roman"/>
          <w:sz w:val="28"/>
          <w:szCs w:val="28"/>
          <w:lang w:eastAsia="ru-RU"/>
        </w:rPr>
        <w:t>застосування прозорого механізму</w:t>
      </w:r>
      <w:r w:rsidRPr="008C1ABB">
        <w:rPr>
          <w:rFonts w:ascii="Times New Roman" w:eastAsia="Times New Roman" w:hAnsi="Times New Roman" w:cs="Times New Roman"/>
          <w:color w:val="000000"/>
          <w:sz w:val="28"/>
          <w:szCs w:val="28"/>
          <w:lang w:eastAsia="ru-RU"/>
        </w:rPr>
        <w:t xml:space="preserve"> гарантування та захисту прав передбачених Законом для осіб (інвесторів), які уклали правочини до набрання чинності Закону і які відповідно до цих правочинів, набувають право на отримання об’єкта будівництва (його складових частин) у власність після прийняття в експлуатацію закінченого будівництвом об’єкта.</w:t>
      </w:r>
    </w:p>
    <w:p w:rsidR="008C1ABB" w:rsidRPr="008C1ABB" w:rsidRDefault="008C1ABB" w:rsidP="008C1ABB">
      <w:pPr>
        <w:widowControl w:val="0"/>
        <w:suppressAutoHyphens/>
        <w:spacing w:after="0" w:line="240" w:lineRule="auto"/>
        <w:ind w:left="-2"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Другорядними цілями державного регулювання запропонованого </w:t>
      </w:r>
      <w:r w:rsidRPr="008C1ABB">
        <w:rPr>
          <w:rFonts w:ascii="Times New Roman" w:eastAsia="Times New Roman" w:hAnsi="Times New Roman" w:cs="Times New Roman"/>
          <w:color w:val="000000"/>
          <w:sz w:val="28"/>
          <w:szCs w:val="28"/>
          <w:lang w:eastAsia="ru-RU"/>
        </w:rPr>
        <w:lastRenderedPageBreak/>
        <w:t xml:space="preserve">регуляторного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 xml:space="preserve"> є наступні:</w:t>
      </w:r>
    </w:p>
    <w:p w:rsidR="008C1ABB" w:rsidRPr="008C1ABB" w:rsidRDefault="008C1ABB" w:rsidP="008C1ABB">
      <w:pPr>
        <w:widowControl w:val="0"/>
        <w:suppressAutoHyphens/>
        <w:spacing w:after="0" w:line="240" w:lineRule="auto"/>
        <w:ind w:left="-2"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усунення проблемних питань які можуть виникнути у осіб (інвесторів) у разі інвестування (фінансуванням) у той чи інший об’єкт будівництва,</w:t>
      </w:r>
      <w:r w:rsidRPr="008C1ABB">
        <w:rPr>
          <w:rFonts w:ascii="Times New Roman" w:eastAsia="Times New Roman" w:hAnsi="Times New Roman" w:cs="Times New Roman"/>
          <w:color w:val="000000"/>
          <w:sz w:val="24"/>
          <w:szCs w:val="24"/>
          <w:lang w:eastAsia="ru-RU"/>
        </w:rPr>
        <w:t xml:space="preserve"> </w:t>
      </w:r>
      <w:r w:rsidRPr="008C1ABB">
        <w:rPr>
          <w:rFonts w:ascii="Times New Roman" w:eastAsia="Times New Roman" w:hAnsi="Times New Roman" w:cs="Times New Roman"/>
          <w:color w:val="000000"/>
          <w:sz w:val="28"/>
          <w:szCs w:val="28"/>
          <w:lang w:eastAsia="ru-RU"/>
        </w:rPr>
        <w:t>право на виконання будівельних робіт щодо яких набуто до набрання чинності Законом;</w:t>
      </w:r>
    </w:p>
    <w:p w:rsidR="008C1ABB" w:rsidRPr="008C1ABB" w:rsidRDefault="008C1ABB" w:rsidP="008C1ABB">
      <w:pPr>
        <w:widowControl w:val="0"/>
        <w:suppressAutoHyphens/>
        <w:spacing w:after="0" w:line="240" w:lineRule="auto"/>
        <w:ind w:left="-2"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фінансові та інші форми, а також методи залучення в інвестування об’єктів будівництва через реалізацію права замовника будівництва на прийняття рішення про поширення дії Закону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право на виконання будівельних робіт щодо яких набуто до набрання чинності Законом.</w:t>
      </w:r>
    </w:p>
    <w:p w:rsidR="008C1ABB" w:rsidRPr="008C1ABB" w:rsidRDefault="008C1ABB" w:rsidP="008C1ABB">
      <w:pPr>
        <w:widowControl w:val="0"/>
        <w:suppressAutoHyphens/>
        <w:spacing w:after="0" w:line="240" w:lineRule="auto"/>
        <w:ind w:left="1" w:hanging="3"/>
        <w:jc w:val="both"/>
        <w:textAlignment w:val="top"/>
        <w:outlineLvl w:val="0"/>
        <w:rPr>
          <w:rFonts w:ascii="Times New Roman" w:eastAsia="Times New Roman" w:hAnsi="Times New Roman" w:cs="Times New Roman"/>
          <w:color w:val="000000"/>
          <w:sz w:val="28"/>
          <w:szCs w:val="28"/>
          <w:lang w:eastAsia="ru-RU"/>
        </w:rPr>
      </w:pPr>
    </w:p>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8"/>
          <w:szCs w:val="28"/>
          <w:lang w:eastAsia="ru-RU"/>
        </w:rPr>
        <w:t>III. Визначення та оцінка альтернативних способів досягнення цілей</w:t>
      </w:r>
    </w:p>
    <w:p w:rsidR="008C1ABB" w:rsidRPr="008C1ABB" w:rsidRDefault="008C1ABB" w:rsidP="008C1ABB">
      <w:pPr>
        <w:widowControl w:val="0"/>
        <w:suppressAutoHyphens/>
        <w:spacing w:after="0" w:line="240" w:lineRule="auto"/>
        <w:jc w:val="both"/>
        <w:textAlignment w:val="top"/>
        <w:outlineLvl w:val="0"/>
        <w:rPr>
          <w:rFonts w:ascii="Times New Roman" w:eastAsia="Times New Roman" w:hAnsi="Times New Roman" w:cs="Times New Roman"/>
          <w:sz w:val="24"/>
          <w:szCs w:val="24"/>
          <w:vertAlign w:val="subscript"/>
          <w:lang w:eastAsia="ru-RU"/>
        </w:rPr>
      </w:pPr>
    </w:p>
    <w:p w:rsidR="008C1ABB" w:rsidRPr="008C1ABB" w:rsidRDefault="008C1ABB" w:rsidP="008C1ABB">
      <w:pPr>
        <w:widowControl w:val="0"/>
        <w:suppressAutoHyphens/>
        <w:spacing w:after="0" w:line="240" w:lineRule="auto"/>
        <w:ind w:left="-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8"/>
          <w:szCs w:val="28"/>
          <w:lang w:eastAsia="ru-RU"/>
        </w:rPr>
        <w:t>1. Визначення альтернативних способів</w:t>
      </w:r>
    </w:p>
    <w:p w:rsidR="008C1ABB" w:rsidRPr="00914EE3" w:rsidRDefault="008C1ABB" w:rsidP="008C1ABB">
      <w:pPr>
        <w:widowControl w:val="0"/>
        <w:suppressAutoHyphens/>
        <w:spacing w:after="0" w:line="240" w:lineRule="auto"/>
        <w:ind w:left="1" w:hanging="3"/>
        <w:jc w:val="both"/>
        <w:textAlignment w:val="top"/>
        <w:outlineLvl w:val="0"/>
        <w:rPr>
          <w:rFonts w:ascii="Times New Roman" w:eastAsia="Times New Roman" w:hAnsi="Times New Roman" w:cs="Times New Roman"/>
          <w:color w:val="000000"/>
          <w:sz w:val="8"/>
          <w:szCs w:val="8"/>
          <w:lang w:eastAsia="ru-RU"/>
        </w:rPr>
      </w:pPr>
    </w:p>
    <w:tbl>
      <w:tblPr>
        <w:tblW w:w="9651" w:type="dxa"/>
        <w:tblInd w:w="-12" w:type="dxa"/>
        <w:tblLayout w:type="fixed"/>
        <w:tblLook w:val="0000" w:firstRow="0" w:lastRow="0" w:firstColumn="0" w:lastColumn="0" w:noHBand="0" w:noVBand="0"/>
      </w:tblPr>
      <w:tblGrid>
        <w:gridCol w:w="3840"/>
        <w:gridCol w:w="5811"/>
      </w:tblGrid>
      <w:tr w:rsidR="008C1ABB" w:rsidRPr="008C1ABB" w:rsidTr="009D45DB">
        <w:trPr>
          <w:trHeight w:val="360"/>
        </w:trPr>
        <w:tc>
          <w:tcPr>
            <w:tcW w:w="3840" w:type="dxa"/>
            <w:tcBorders>
              <w:top w:val="single" w:sz="4" w:space="0" w:color="000000"/>
              <w:bottom w:val="single" w:sz="4" w:space="0" w:color="000000"/>
              <w:right w:val="single" w:sz="4" w:space="0" w:color="000000"/>
            </w:tcBorders>
            <w:shd w:val="clear" w:color="auto" w:fill="auto"/>
            <w:vAlign w:val="center"/>
          </w:tcPr>
          <w:p w:rsidR="008C1ABB" w:rsidRPr="008C1ABB" w:rsidRDefault="008C1ABB" w:rsidP="008C1ABB">
            <w:pPr>
              <w:widowControl w:val="0"/>
              <w:suppressAutoHyphens/>
              <w:spacing w:after="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Вид альтернативи</w:t>
            </w:r>
          </w:p>
        </w:tc>
        <w:tc>
          <w:tcPr>
            <w:tcW w:w="5811" w:type="dxa"/>
            <w:tcBorders>
              <w:top w:val="single" w:sz="4" w:space="0" w:color="000000"/>
              <w:left w:val="single" w:sz="4" w:space="0" w:color="000000"/>
              <w:bottom w:val="single" w:sz="4" w:space="0" w:color="000000"/>
            </w:tcBorders>
            <w:shd w:val="clear" w:color="auto" w:fill="auto"/>
            <w:vAlign w:val="center"/>
          </w:tcPr>
          <w:p w:rsidR="008C1ABB" w:rsidRPr="008C1ABB" w:rsidRDefault="008C1ABB" w:rsidP="008C1ABB">
            <w:pPr>
              <w:widowControl w:val="0"/>
              <w:suppressAutoHyphens/>
              <w:spacing w:after="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Опис альтернативи</w:t>
            </w:r>
          </w:p>
        </w:tc>
      </w:tr>
      <w:tr w:rsidR="008C1ABB" w:rsidRPr="008C1ABB" w:rsidTr="009D45DB">
        <w:trPr>
          <w:trHeight w:val="225"/>
        </w:trPr>
        <w:tc>
          <w:tcPr>
            <w:tcW w:w="3840" w:type="dxa"/>
            <w:tcBorders>
              <w:top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i/>
                <w:color w:val="000000"/>
                <w:sz w:val="24"/>
                <w:szCs w:val="24"/>
                <w:lang w:eastAsia="ru-RU"/>
              </w:rPr>
              <w:t xml:space="preserve">Альтернатива 1. </w:t>
            </w:r>
          </w:p>
          <w:p w:rsidR="008C1ABB" w:rsidRPr="008C1ABB" w:rsidRDefault="008C1ABB" w:rsidP="008C1ABB">
            <w:pPr>
              <w:widowControl w:val="0"/>
              <w:suppressAutoHyphens/>
              <w:spacing w:after="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 xml:space="preserve">Прийняття запропонованого регуляторного </w:t>
            </w:r>
            <w:proofErr w:type="spellStart"/>
            <w:r w:rsidRPr="008C1ABB">
              <w:rPr>
                <w:rFonts w:ascii="Times New Roman" w:eastAsia="Times New Roman" w:hAnsi="Times New Roman" w:cs="Times New Roman"/>
                <w:color w:val="000000"/>
                <w:sz w:val="24"/>
                <w:szCs w:val="24"/>
                <w:lang w:eastAsia="ru-RU"/>
              </w:rPr>
              <w:t>акта</w:t>
            </w:r>
            <w:proofErr w:type="spellEnd"/>
            <w:r w:rsidRPr="008C1ABB">
              <w:rPr>
                <w:rFonts w:ascii="Times New Roman" w:eastAsia="Times New Roman" w:hAnsi="Times New Roman" w:cs="Times New Roman"/>
                <w:color w:val="000000"/>
                <w:sz w:val="24"/>
                <w:szCs w:val="24"/>
                <w:lang w:eastAsia="ru-RU"/>
              </w:rPr>
              <w:t xml:space="preserve"> </w:t>
            </w:r>
          </w:p>
        </w:tc>
        <w:tc>
          <w:tcPr>
            <w:tcW w:w="5811" w:type="dxa"/>
            <w:tcBorders>
              <w:top w:val="single" w:sz="4" w:space="0" w:color="000000"/>
              <w:left w:val="single" w:sz="4" w:space="0" w:color="000000"/>
              <w:bottom w:val="single" w:sz="4" w:space="0" w:color="000000"/>
            </w:tcBorders>
            <w:shd w:val="clear" w:color="auto" w:fill="auto"/>
          </w:tcPr>
          <w:p w:rsidR="008C1ABB" w:rsidRPr="008C1ABB" w:rsidRDefault="008C1ABB" w:rsidP="008C1ABB">
            <w:pPr>
              <w:widowControl w:val="0"/>
              <w:suppressAutoHyphens/>
              <w:spacing w:after="0" w:line="240" w:lineRule="auto"/>
              <w:ind w:hanging="2"/>
              <w:jc w:val="both"/>
              <w:textAlignment w:val="top"/>
              <w:outlineLvl w:val="0"/>
              <w:rPr>
                <w:rFonts w:ascii="Times New Roman" w:eastAsia="Times New Roman" w:hAnsi="Times New Roman" w:cs="Times New Roman"/>
                <w:color w:val="000000"/>
                <w:sz w:val="24"/>
                <w:szCs w:val="24"/>
                <w:lang w:eastAsia="ru-RU"/>
              </w:rPr>
            </w:pPr>
            <w:r w:rsidRPr="008C1ABB">
              <w:rPr>
                <w:rFonts w:ascii="Times New Roman" w:eastAsia="Times New Roman" w:hAnsi="Times New Roman" w:cs="Times New Roman"/>
                <w:color w:val="000000"/>
                <w:sz w:val="24"/>
                <w:szCs w:val="24"/>
                <w:lang w:eastAsia="ru-RU"/>
              </w:rPr>
              <w:t xml:space="preserve">Прийняття проекту </w:t>
            </w:r>
            <w:proofErr w:type="spellStart"/>
            <w:r w:rsidRPr="008C1ABB">
              <w:rPr>
                <w:rFonts w:ascii="Times New Roman" w:eastAsia="Times New Roman" w:hAnsi="Times New Roman" w:cs="Times New Roman"/>
                <w:color w:val="000000"/>
                <w:sz w:val="24"/>
                <w:szCs w:val="24"/>
                <w:lang w:eastAsia="ru-RU"/>
              </w:rPr>
              <w:t>акта</w:t>
            </w:r>
            <w:proofErr w:type="spellEnd"/>
            <w:r w:rsidRPr="008C1ABB">
              <w:rPr>
                <w:rFonts w:ascii="Times New Roman" w:eastAsia="Times New Roman" w:hAnsi="Times New Roman" w:cs="Times New Roman"/>
                <w:color w:val="000000"/>
                <w:sz w:val="24"/>
                <w:szCs w:val="24"/>
                <w:lang w:eastAsia="ru-RU"/>
              </w:rPr>
              <w:t xml:space="preserve"> є обґрунтованим і ефективним способом досягнення цілей та забезпечує розв’язання визначених проблем.</w:t>
            </w:r>
          </w:p>
          <w:p w:rsidR="008C1ABB" w:rsidRPr="008C1ABB" w:rsidRDefault="008C1ABB" w:rsidP="008C1ABB">
            <w:pPr>
              <w:widowControl w:val="0"/>
              <w:suppressAutoHyphens/>
              <w:spacing w:after="0" w:line="240" w:lineRule="auto"/>
              <w:ind w:left="-2"/>
              <w:jc w:val="both"/>
              <w:textAlignment w:val="top"/>
              <w:outlineLvl w:val="0"/>
              <w:rPr>
                <w:rFonts w:ascii="Times New Roman" w:eastAsia="Times New Roman" w:hAnsi="Times New Roman" w:cs="Times New Roman"/>
                <w:color w:val="000000"/>
                <w:sz w:val="24"/>
                <w:szCs w:val="24"/>
                <w:shd w:val="clear" w:color="auto" w:fill="FFFFFF"/>
                <w:lang w:eastAsia="ru-RU"/>
              </w:rPr>
            </w:pPr>
            <w:r w:rsidRPr="008C1ABB">
              <w:rPr>
                <w:rFonts w:ascii="Times New Roman" w:eastAsia="Times New Roman" w:hAnsi="Times New Roman" w:cs="Times New Roman"/>
                <w:color w:val="000000"/>
                <w:sz w:val="24"/>
                <w:szCs w:val="24"/>
                <w:shd w:val="clear" w:color="auto" w:fill="FFFFFF"/>
                <w:lang w:eastAsia="ru-RU"/>
              </w:rPr>
              <w:t>Нормативно-правове врегулювання забезпечить можливість реалізувати суб’єктом господарювання (замовником будівництва) право на прийняття рішення про поширення дії Закону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право на виконання будівельних робіт щодо яких набуто до набрання чинності Законом.</w:t>
            </w:r>
          </w:p>
          <w:p w:rsidR="008C1ABB" w:rsidRPr="008C1ABB" w:rsidRDefault="008C1ABB" w:rsidP="00914EE3">
            <w:pPr>
              <w:widowControl w:val="0"/>
              <w:suppressAutoHyphens/>
              <w:spacing w:after="0" w:line="240" w:lineRule="auto"/>
              <w:ind w:left="-2"/>
              <w:jc w:val="both"/>
              <w:textAlignment w:val="top"/>
              <w:outlineLvl w:val="0"/>
              <w:rPr>
                <w:rFonts w:ascii="Times New Roman" w:eastAsia="Times New Roman" w:hAnsi="Times New Roman" w:cs="Times New Roman"/>
                <w:sz w:val="24"/>
                <w:szCs w:val="24"/>
                <w:shd w:val="clear" w:color="auto" w:fill="FFFF00"/>
                <w:vertAlign w:val="subscript"/>
                <w:lang w:eastAsia="ru-RU"/>
              </w:rPr>
            </w:pPr>
            <w:r w:rsidRPr="008C1ABB">
              <w:rPr>
                <w:rFonts w:ascii="Times New Roman" w:eastAsia="Times New Roman" w:hAnsi="Times New Roman" w:cs="Times New Roman"/>
                <w:color w:val="000000"/>
                <w:sz w:val="24"/>
                <w:szCs w:val="24"/>
                <w:shd w:val="clear" w:color="auto" w:fill="FFFFFF"/>
                <w:lang w:eastAsia="ru-RU"/>
              </w:rPr>
              <w:t xml:space="preserve">Через прийняття рішення про поширення дії Закону для суб’єкта господарювання (замовника будівництва), який почав будівництво до набрання чинності Закону, створюються можливості для підвищення його привабливості на ринку та залученню інвестицій. </w:t>
            </w:r>
          </w:p>
        </w:tc>
      </w:tr>
      <w:tr w:rsidR="008C1ABB" w:rsidRPr="008C1ABB" w:rsidTr="009D45DB">
        <w:trPr>
          <w:trHeight w:val="225"/>
        </w:trPr>
        <w:tc>
          <w:tcPr>
            <w:tcW w:w="3840" w:type="dxa"/>
            <w:tcBorders>
              <w:top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i/>
                <w:color w:val="000000"/>
                <w:sz w:val="24"/>
                <w:szCs w:val="24"/>
                <w:lang w:eastAsia="ru-RU"/>
              </w:rPr>
              <w:t>Альтернатива 2.</w:t>
            </w:r>
          </w:p>
          <w:p w:rsidR="008C1ABB" w:rsidRPr="008C1ABB" w:rsidRDefault="008C1ABB" w:rsidP="008C1ABB">
            <w:pPr>
              <w:widowControl w:val="0"/>
              <w:suppressAutoHyphens/>
              <w:spacing w:after="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 xml:space="preserve">Не приймати запропонований регуляторний акт </w:t>
            </w:r>
          </w:p>
        </w:tc>
        <w:tc>
          <w:tcPr>
            <w:tcW w:w="5811" w:type="dxa"/>
            <w:tcBorders>
              <w:top w:val="single" w:sz="4" w:space="0" w:color="000000"/>
              <w:left w:val="single" w:sz="4" w:space="0" w:color="000000"/>
              <w:bottom w:val="single" w:sz="4" w:space="0" w:color="000000"/>
            </w:tcBorders>
            <w:shd w:val="clear" w:color="auto" w:fill="auto"/>
          </w:tcPr>
          <w:p w:rsidR="008C1ABB" w:rsidRPr="008C1ABB" w:rsidRDefault="008C1ABB" w:rsidP="008C1ABB">
            <w:pPr>
              <w:widowControl w:val="0"/>
              <w:suppressAutoHyphens/>
              <w:spacing w:after="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Неможливість реалізувати замовником будівництва права на прийняття рішення про поширення дії Закону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право на виконання будівельних робіт щодо яких набуто до набрання чинності Законом, через відсутність нормативно-правового регулювання</w:t>
            </w:r>
          </w:p>
        </w:tc>
      </w:tr>
    </w:tbl>
    <w:p w:rsidR="00914EE3" w:rsidRDefault="00914EE3" w:rsidP="008C1ABB">
      <w:pPr>
        <w:suppressAutoHyphens/>
        <w:spacing w:before="120" w:after="0" w:line="276" w:lineRule="auto"/>
        <w:ind w:left="1" w:hanging="3"/>
        <w:jc w:val="both"/>
        <w:textAlignment w:val="top"/>
        <w:outlineLvl w:val="0"/>
        <w:rPr>
          <w:rFonts w:ascii="Times New Roman" w:eastAsia="Times New Roman" w:hAnsi="Times New Roman" w:cs="Times New Roman"/>
          <w:b/>
          <w:color w:val="000000"/>
          <w:sz w:val="28"/>
          <w:szCs w:val="28"/>
          <w:lang w:eastAsia="ru-RU"/>
        </w:rPr>
      </w:pPr>
    </w:p>
    <w:p w:rsidR="00914EE3" w:rsidRDefault="00914EE3" w:rsidP="008C1ABB">
      <w:pPr>
        <w:suppressAutoHyphens/>
        <w:spacing w:before="120" w:after="0" w:line="276" w:lineRule="auto"/>
        <w:ind w:left="1" w:hanging="3"/>
        <w:jc w:val="both"/>
        <w:textAlignment w:val="top"/>
        <w:outlineLvl w:val="0"/>
        <w:rPr>
          <w:rFonts w:ascii="Times New Roman" w:eastAsia="Times New Roman" w:hAnsi="Times New Roman" w:cs="Times New Roman"/>
          <w:b/>
          <w:color w:val="000000"/>
          <w:sz w:val="28"/>
          <w:szCs w:val="28"/>
          <w:lang w:eastAsia="ru-RU"/>
        </w:rPr>
      </w:pPr>
    </w:p>
    <w:p w:rsidR="008C1ABB" w:rsidRPr="008C1ABB" w:rsidRDefault="008C1ABB" w:rsidP="008C1ABB">
      <w:pPr>
        <w:suppressAutoHyphens/>
        <w:spacing w:before="120" w:after="0" w:line="276" w:lineRule="auto"/>
        <w:ind w:left="1" w:hanging="3"/>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8"/>
          <w:szCs w:val="28"/>
          <w:lang w:eastAsia="ru-RU"/>
        </w:rPr>
        <w:lastRenderedPageBreak/>
        <w:t>2. Оцінка обраних альтернативних способів досягнення цілей</w:t>
      </w:r>
    </w:p>
    <w:p w:rsidR="008C1ABB" w:rsidRPr="008C1ABB" w:rsidRDefault="008C1ABB" w:rsidP="008C1ABB">
      <w:pPr>
        <w:widowControl w:val="0"/>
        <w:suppressAutoHyphens/>
        <w:spacing w:after="0" w:line="240" w:lineRule="auto"/>
        <w:ind w:left="1" w:hanging="3"/>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8"/>
          <w:szCs w:val="28"/>
          <w:highlight w:val="white"/>
          <w:lang w:eastAsia="ru-RU"/>
        </w:rPr>
        <w:t>Оцінка впливу на сферу інтересів держави</w:t>
      </w:r>
    </w:p>
    <w:p w:rsidR="008C1ABB" w:rsidRPr="008C1ABB" w:rsidRDefault="008C1ABB" w:rsidP="008C1ABB">
      <w:pPr>
        <w:widowControl w:val="0"/>
        <w:suppressAutoHyphens/>
        <w:spacing w:after="0" w:line="240" w:lineRule="auto"/>
        <w:ind w:left="1" w:hanging="3"/>
        <w:jc w:val="both"/>
        <w:textAlignment w:val="top"/>
        <w:outlineLvl w:val="0"/>
        <w:rPr>
          <w:rFonts w:ascii="Times New Roman" w:eastAsia="Times New Roman" w:hAnsi="Times New Roman" w:cs="Times New Roman"/>
          <w:color w:val="000000"/>
          <w:sz w:val="28"/>
          <w:szCs w:val="28"/>
          <w:highlight w:val="white"/>
          <w:lang w:eastAsia="ru-RU"/>
        </w:rPr>
      </w:pPr>
    </w:p>
    <w:tbl>
      <w:tblPr>
        <w:tblW w:w="9793" w:type="dxa"/>
        <w:tblInd w:w="-12" w:type="dxa"/>
        <w:tblLayout w:type="fixed"/>
        <w:tblLook w:val="0000" w:firstRow="0" w:lastRow="0" w:firstColumn="0" w:lastColumn="0" w:noHBand="0" w:noVBand="0"/>
      </w:tblPr>
      <w:tblGrid>
        <w:gridCol w:w="2422"/>
        <w:gridCol w:w="5104"/>
        <w:gridCol w:w="2267"/>
      </w:tblGrid>
      <w:tr w:rsidR="008C1ABB" w:rsidRPr="008C1ABB" w:rsidTr="009D45DB">
        <w:trPr>
          <w:trHeight w:val="285"/>
        </w:trPr>
        <w:tc>
          <w:tcPr>
            <w:tcW w:w="2422" w:type="dxa"/>
            <w:tcBorders>
              <w:top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4"/>
                <w:szCs w:val="24"/>
                <w:lang w:eastAsia="ru-RU"/>
              </w:rPr>
              <w:t>Вид альтернативи</w:t>
            </w:r>
          </w:p>
        </w:tc>
        <w:tc>
          <w:tcPr>
            <w:tcW w:w="5104"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4"/>
                <w:szCs w:val="24"/>
                <w:lang w:eastAsia="ru-RU"/>
              </w:rPr>
              <w:t>Вигоди</w:t>
            </w:r>
          </w:p>
        </w:tc>
        <w:tc>
          <w:tcPr>
            <w:tcW w:w="2267" w:type="dxa"/>
            <w:tcBorders>
              <w:top w:val="single" w:sz="4" w:space="0" w:color="000000"/>
              <w:left w:val="single" w:sz="4" w:space="0" w:color="000000"/>
              <w:bottom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4"/>
                <w:szCs w:val="24"/>
                <w:lang w:eastAsia="ru-RU"/>
              </w:rPr>
              <w:t>Витрати</w:t>
            </w:r>
          </w:p>
        </w:tc>
      </w:tr>
      <w:tr w:rsidR="008C1ABB" w:rsidRPr="008C1ABB" w:rsidTr="00914EE3">
        <w:trPr>
          <w:trHeight w:val="5864"/>
        </w:trPr>
        <w:tc>
          <w:tcPr>
            <w:tcW w:w="2422" w:type="dxa"/>
            <w:tcBorders>
              <w:top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i/>
                <w:color w:val="000000"/>
                <w:sz w:val="24"/>
                <w:szCs w:val="24"/>
                <w:lang w:eastAsia="ru-RU"/>
              </w:rPr>
              <w:t xml:space="preserve">Альтернатива 1. </w:t>
            </w:r>
          </w:p>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 xml:space="preserve">Прийняття запропонованого регуляторного </w:t>
            </w:r>
            <w:proofErr w:type="spellStart"/>
            <w:r w:rsidRPr="008C1ABB">
              <w:rPr>
                <w:rFonts w:ascii="Times New Roman" w:eastAsia="Times New Roman" w:hAnsi="Times New Roman" w:cs="Times New Roman"/>
                <w:color w:val="000000"/>
                <w:sz w:val="24"/>
                <w:szCs w:val="24"/>
                <w:lang w:eastAsia="ru-RU"/>
              </w:rPr>
              <w:t>акта</w:t>
            </w:r>
            <w:proofErr w:type="spellEnd"/>
          </w:p>
        </w:tc>
        <w:tc>
          <w:tcPr>
            <w:tcW w:w="5104"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Забезпечення практичної реалізації суб’єктом господарювання (замовником будівництва) право на прийняття рішення про поширення дії Закону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право на виконання будівельних робіт щодо яких набуто до набрання чинності Законом.</w:t>
            </w:r>
          </w:p>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Узгодженість законодавства та реалізація вимог Закону</w:t>
            </w:r>
          </w:p>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Запровадження можливості застосування механізмів гарантування та захисту прав передбачених Законом для осіб (інвесторів), які уклали правочини до набрання чинності Закону і які відповідно до цих правочинів, набувають право на отримання об’єкта будівництва (його складових частин) у власність після прийняття в експлуатацію закінченого будівництвом об’єкта</w:t>
            </w:r>
          </w:p>
        </w:tc>
        <w:tc>
          <w:tcPr>
            <w:tcW w:w="2267" w:type="dxa"/>
            <w:tcBorders>
              <w:top w:val="single" w:sz="4" w:space="0" w:color="000000"/>
              <w:left w:val="single" w:sz="4" w:space="0" w:color="000000"/>
              <w:bottom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 xml:space="preserve">Витрати відсутні, оскільки реалізація положень регуляторного </w:t>
            </w:r>
            <w:proofErr w:type="spellStart"/>
            <w:r w:rsidRPr="008C1ABB">
              <w:rPr>
                <w:rFonts w:ascii="Times New Roman" w:eastAsia="Times New Roman" w:hAnsi="Times New Roman" w:cs="Times New Roman"/>
                <w:color w:val="000000"/>
                <w:sz w:val="24"/>
                <w:szCs w:val="24"/>
                <w:lang w:eastAsia="ru-RU"/>
              </w:rPr>
              <w:t>акта</w:t>
            </w:r>
            <w:proofErr w:type="spellEnd"/>
            <w:r w:rsidRPr="008C1ABB">
              <w:rPr>
                <w:rFonts w:ascii="Times New Roman" w:eastAsia="Times New Roman" w:hAnsi="Times New Roman" w:cs="Times New Roman"/>
                <w:color w:val="000000"/>
                <w:sz w:val="24"/>
                <w:szCs w:val="24"/>
                <w:lang w:eastAsia="ru-RU"/>
              </w:rPr>
              <w:t xml:space="preserve"> не потребуватиме додаткових матеріальних чи інших витрат</w:t>
            </w:r>
          </w:p>
        </w:tc>
      </w:tr>
      <w:tr w:rsidR="008C1ABB" w:rsidRPr="008C1ABB" w:rsidTr="009D45DB">
        <w:trPr>
          <w:trHeight w:val="375"/>
        </w:trPr>
        <w:tc>
          <w:tcPr>
            <w:tcW w:w="2422" w:type="dxa"/>
            <w:tcBorders>
              <w:top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i/>
                <w:color w:val="000000"/>
                <w:sz w:val="24"/>
                <w:szCs w:val="24"/>
                <w:lang w:eastAsia="ru-RU"/>
              </w:rPr>
              <w:t>Альтернатива 2.</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Не приймати запропонований регуляторний акт</w:t>
            </w:r>
          </w:p>
        </w:tc>
        <w:tc>
          <w:tcPr>
            <w:tcW w:w="5104"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Вигоди відсутні, оскільки дана ситуація призведе до не виконання окремих положень Закону.</w:t>
            </w:r>
          </w:p>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color w:val="000000"/>
                <w:sz w:val="20"/>
                <w:szCs w:val="24"/>
                <w:lang w:eastAsia="ru-RU"/>
              </w:rPr>
            </w:pPr>
          </w:p>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color w:val="000000"/>
                <w:sz w:val="20"/>
                <w:szCs w:val="24"/>
                <w:lang w:eastAsia="ru-RU"/>
              </w:rPr>
            </w:pPr>
          </w:p>
        </w:tc>
        <w:tc>
          <w:tcPr>
            <w:tcW w:w="2267" w:type="dxa"/>
            <w:tcBorders>
              <w:top w:val="single" w:sz="4" w:space="0" w:color="000000"/>
              <w:left w:val="single" w:sz="4" w:space="0" w:color="000000"/>
              <w:bottom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У разі обрання зазначеної альтернативи не буде забезпечено реалізацію окремих положень Закону</w:t>
            </w:r>
          </w:p>
        </w:tc>
      </w:tr>
    </w:tbl>
    <w:p w:rsidR="008C1ABB" w:rsidRPr="008C1ABB" w:rsidRDefault="008C1ABB" w:rsidP="008C1ABB">
      <w:pPr>
        <w:suppressAutoHyphens/>
        <w:spacing w:after="0" w:line="240" w:lineRule="auto"/>
        <w:ind w:left="1" w:hanging="3"/>
        <w:jc w:val="center"/>
        <w:textAlignment w:val="top"/>
        <w:outlineLvl w:val="0"/>
        <w:rPr>
          <w:rFonts w:ascii="Times New Roman" w:eastAsia="Times New Roman" w:hAnsi="Times New Roman" w:cs="Times New Roman"/>
          <w:color w:val="000000"/>
          <w:sz w:val="28"/>
          <w:szCs w:val="28"/>
          <w:lang w:eastAsia="ru-RU"/>
        </w:rPr>
      </w:pPr>
    </w:p>
    <w:p w:rsidR="008C1ABB" w:rsidRPr="008C1ABB" w:rsidRDefault="008C1ABB" w:rsidP="008C1ABB">
      <w:pPr>
        <w:widowControl w:val="0"/>
        <w:suppressAutoHyphens/>
        <w:spacing w:after="0" w:line="240" w:lineRule="auto"/>
        <w:ind w:left="1" w:hanging="3"/>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8"/>
          <w:szCs w:val="28"/>
          <w:highlight w:val="white"/>
          <w:lang w:eastAsia="ru-RU"/>
        </w:rPr>
        <w:t>Оцінка впливу на сферу інтересів громадян</w:t>
      </w:r>
    </w:p>
    <w:p w:rsidR="008C1ABB" w:rsidRPr="008C1ABB" w:rsidRDefault="008C1ABB" w:rsidP="008C1ABB">
      <w:pPr>
        <w:widowControl w:val="0"/>
        <w:suppressAutoHyphens/>
        <w:spacing w:after="0" w:line="240" w:lineRule="auto"/>
        <w:ind w:left="1" w:hanging="3"/>
        <w:jc w:val="both"/>
        <w:textAlignment w:val="top"/>
        <w:outlineLvl w:val="0"/>
        <w:rPr>
          <w:rFonts w:ascii="Times New Roman" w:eastAsia="Times New Roman" w:hAnsi="Times New Roman" w:cs="Times New Roman"/>
          <w:color w:val="000000"/>
          <w:sz w:val="28"/>
          <w:szCs w:val="28"/>
          <w:highlight w:val="white"/>
          <w:lang w:eastAsia="ru-RU"/>
        </w:rPr>
      </w:pPr>
      <w:bookmarkStart w:id="1" w:name="_heading=h.30j0zll"/>
      <w:bookmarkEnd w:id="1"/>
    </w:p>
    <w:tbl>
      <w:tblPr>
        <w:tblW w:w="9793" w:type="dxa"/>
        <w:tblInd w:w="-12" w:type="dxa"/>
        <w:tblLayout w:type="fixed"/>
        <w:tblLook w:val="0000" w:firstRow="0" w:lastRow="0" w:firstColumn="0" w:lastColumn="0" w:noHBand="0" w:noVBand="0"/>
      </w:tblPr>
      <w:tblGrid>
        <w:gridCol w:w="2422"/>
        <w:gridCol w:w="5103"/>
        <w:gridCol w:w="2268"/>
      </w:tblGrid>
      <w:tr w:rsidR="008C1ABB" w:rsidRPr="008C1ABB" w:rsidTr="009D45DB">
        <w:trPr>
          <w:trHeight w:val="285"/>
        </w:trPr>
        <w:tc>
          <w:tcPr>
            <w:tcW w:w="2422" w:type="dxa"/>
            <w:tcBorders>
              <w:top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4"/>
                <w:szCs w:val="24"/>
                <w:lang w:eastAsia="ru-RU"/>
              </w:rPr>
              <w:t>Вид альтернативи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4"/>
                <w:szCs w:val="24"/>
                <w:lang w:eastAsia="ru-RU"/>
              </w:rPr>
              <w:t>Вигоди</w:t>
            </w:r>
          </w:p>
        </w:tc>
        <w:tc>
          <w:tcPr>
            <w:tcW w:w="2268" w:type="dxa"/>
            <w:tcBorders>
              <w:top w:val="single" w:sz="4" w:space="0" w:color="000000"/>
              <w:left w:val="single" w:sz="4" w:space="0" w:color="000000"/>
              <w:bottom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4"/>
                <w:szCs w:val="24"/>
                <w:lang w:eastAsia="ru-RU"/>
              </w:rPr>
              <w:t>Витрати</w:t>
            </w:r>
          </w:p>
        </w:tc>
      </w:tr>
      <w:tr w:rsidR="008C1ABB" w:rsidRPr="008C1ABB" w:rsidTr="009D45DB">
        <w:trPr>
          <w:trHeight w:val="70"/>
        </w:trPr>
        <w:tc>
          <w:tcPr>
            <w:tcW w:w="2422" w:type="dxa"/>
            <w:tcBorders>
              <w:top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i/>
                <w:color w:val="000000"/>
                <w:sz w:val="24"/>
                <w:szCs w:val="24"/>
                <w:lang w:eastAsia="ru-RU"/>
              </w:rPr>
              <w:t xml:space="preserve">Альтернатива 1. </w:t>
            </w:r>
          </w:p>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 xml:space="preserve">Прийняття запропонованого регуляторного </w:t>
            </w:r>
            <w:proofErr w:type="spellStart"/>
            <w:r w:rsidRPr="008C1ABB">
              <w:rPr>
                <w:rFonts w:ascii="Times New Roman" w:eastAsia="Times New Roman" w:hAnsi="Times New Roman" w:cs="Times New Roman"/>
                <w:color w:val="000000"/>
                <w:sz w:val="24"/>
                <w:szCs w:val="24"/>
                <w:lang w:eastAsia="ru-RU"/>
              </w:rPr>
              <w:t>акта</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 xml:space="preserve">Можливість, зокрема громадянами, які до набрання чинності Закону уклали правочини і які за цими правочинами набувають право на отримання об’єкта будівництва (його складових частин) у власність після прийняття в експлуатацію закінченого будівництвом об’єкта, отримати визначені Законом механізми гарантування щодо виконання суб’єктом господарювання (замовником будівництва) </w:t>
            </w:r>
            <w:r w:rsidRPr="008C1ABB">
              <w:rPr>
                <w:rFonts w:ascii="Times New Roman" w:eastAsia="Times New Roman" w:hAnsi="Times New Roman" w:cs="Times New Roman"/>
                <w:color w:val="000000"/>
                <w:sz w:val="24"/>
                <w:szCs w:val="24"/>
                <w:lang w:eastAsia="ru-RU"/>
              </w:rPr>
              <w:lastRenderedPageBreak/>
              <w:t>обов’язку закінчити будівництво об’єкта</w:t>
            </w:r>
          </w:p>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color w:val="000000"/>
                <w:sz w:val="24"/>
                <w:szCs w:val="24"/>
                <w:lang w:eastAsia="ru-RU"/>
              </w:rPr>
            </w:pPr>
            <w:r w:rsidRPr="008C1ABB">
              <w:rPr>
                <w:rFonts w:ascii="Times New Roman" w:eastAsia="Times New Roman" w:hAnsi="Times New Roman" w:cs="Times New Roman"/>
                <w:color w:val="000000"/>
                <w:sz w:val="24"/>
                <w:szCs w:val="24"/>
                <w:lang w:eastAsia="ru-RU"/>
              </w:rPr>
              <w:t>Створення умов для неможливості подвійного продажу об’єкта будівництва, право на виконання будівельних робіт щодо яких набуто до набрання чинності Закону, шляхом здійснення актуалізації відомостей суб’єктом господарювання (замовником будівництва) про об’єкт будівництва та внесення до ЄДЕСБ та проведення державної реєстрації прийнятого рішення суб’єктом господарювання (замовником будівництва).</w:t>
            </w:r>
          </w:p>
        </w:tc>
        <w:tc>
          <w:tcPr>
            <w:tcW w:w="2268" w:type="dxa"/>
            <w:tcBorders>
              <w:top w:val="single" w:sz="4" w:space="0" w:color="000000"/>
              <w:left w:val="single" w:sz="4" w:space="0" w:color="000000"/>
              <w:bottom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sz w:val="24"/>
                <w:szCs w:val="24"/>
                <w:lang w:eastAsia="ru-RU"/>
              </w:rPr>
              <w:lastRenderedPageBreak/>
              <w:t xml:space="preserve">Часові витрати пов’язані з ознайомленням та застосуванням нового регуляторного </w:t>
            </w:r>
            <w:proofErr w:type="spellStart"/>
            <w:r w:rsidRPr="008C1ABB">
              <w:rPr>
                <w:rFonts w:ascii="Times New Roman" w:eastAsia="Times New Roman" w:hAnsi="Times New Roman" w:cs="Times New Roman"/>
                <w:sz w:val="24"/>
                <w:szCs w:val="24"/>
                <w:lang w:eastAsia="ru-RU"/>
              </w:rPr>
              <w:t>акта</w:t>
            </w:r>
            <w:proofErr w:type="spellEnd"/>
            <w:r w:rsidRPr="008C1ABB">
              <w:rPr>
                <w:rFonts w:ascii="Times New Roman" w:eastAsia="Times New Roman" w:hAnsi="Times New Roman" w:cs="Times New Roman"/>
                <w:sz w:val="24"/>
                <w:szCs w:val="24"/>
                <w:lang w:eastAsia="ru-RU"/>
              </w:rPr>
              <w:t>.</w:t>
            </w:r>
          </w:p>
        </w:tc>
      </w:tr>
      <w:tr w:rsidR="008C1ABB" w:rsidRPr="008C1ABB" w:rsidTr="009D45DB">
        <w:trPr>
          <w:trHeight w:val="375"/>
        </w:trPr>
        <w:tc>
          <w:tcPr>
            <w:tcW w:w="2422" w:type="dxa"/>
            <w:tcBorders>
              <w:top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i/>
                <w:color w:val="000000"/>
                <w:sz w:val="24"/>
                <w:szCs w:val="24"/>
                <w:lang w:eastAsia="ru-RU"/>
              </w:rPr>
              <w:lastRenderedPageBreak/>
              <w:t>Альтернатива 2.</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Не приймати запропонований регуляторний акт</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Вигоди відсутні, оскільки дана ситуація призведе до неможливості користуватися механізмами захисту під час інвестування (фінансування) будівництва об’єктів, передбачених нормами Закону</w:t>
            </w:r>
          </w:p>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color w:val="000000"/>
                <w:sz w:val="20"/>
                <w:szCs w:val="24"/>
                <w:lang w:eastAsia="ru-RU"/>
              </w:rPr>
            </w:pPr>
          </w:p>
        </w:tc>
        <w:tc>
          <w:tcPr>
            <w:tcW w:w="2268" w:type="dxa"/>
            <w:tcBorders>
              <w:top w:val="single" w:sz="4" w:space="0" w:color="000000"/>
              <w:left w:val="single" w:sz="4" w:space="0" w:color="000000"/>
              <w:bottom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У разі обрання зазначеної альтернативи не буде забезпечено реалізацію окремих положень Закону</w:t>
            </w:r>
          </w:p>
        </w:tc>
      </w:tr>
    </w:tbl>
    <w:p w:rsidR="008C1ABB" w:rsidRPr="008C1ABB" w:rsidRDefault="008C1ABB" w:rsidP="008C1ABB">
      <w:pPr>
        <w:widowControl w:val="0"/>
        <w:suppressAutoHyphens/>
        <w:spacing w:after="0" w:line="240" w:lineRule="auto"/>
        <w:ind w:left="1" w:hanging="3"/>
        <w:jc w:val="both"/>
        <w:textAlignment w:val="top"/>
        <w:outlineLvl w:val="0"/>
        <w:rPr>
          <w:rFonts w:ascii="Times New Roman" w:eastAsia="Times New Roman" w:hAnsi="Times New Roman" w:cs="Times New Roman"/>
          <w:color w:val="000000"/>
          <w:sz w:val="28"/>
          <w:szCs w:val="28"/>
          <w:highlight w:val="white"/>
          <w:lang w:eastAsia="ru-RU"/>
        </w:rPr>
      </w:pPr>
    </w:p>
    <w:p w:rsidR="008C1ABB" w:rsidRPr="008C1ABB" w:rsidRDefault="008C1ABB" w:rsidP="008C1ABB">
      <w:pPr>
        <w:widowControl w:val="0"/>
        <w:suppressAutoHyphens/>
        <w:spacing w:after="0" w:line="240" w:lineRule="auto"/>
        <w:ind w:left="1" w:hanging="3"/>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8"/>
          <w:szCs w:val="28"/>
          <w:highlight w:val="white"/>
          <w:lang w:eastAsia="ru-RU"/>
        </w:rPr>
        <w:t>Оцінка впливу на сферу інтересів суб’єктів господарювання</w:t>
      </w:r>
    </w:p>
    <w:p w:rsidR="008C1ABB" w:rsidRPr="008C1ABB" w:rsidRDefault="008C1ABB" w:rsidP="008C1ABB">
      <w:pPr>
        <w:widowControl w:val="0"/>
        <w:suppressAutoHyphens/>
        <w:spacing w:after="0" w:line="240" w:lineRule="auto"/>
        <w:ind w:left="1"/>
        <w:jc w:val="both"/>
        <w:textAlignment w:val="top"/>
        <w:outlineLvl w:val="0"/>
        <w:rPr>
          <w:rFonts w:ascii="Times New Roman" w:eastAsia="Times New Roman" w:hAnsi="Times New Roman" w:cs="Times New Roman"/>
          <w:color w:val="000000"/>
          <w:sz w:val="28"/>
          <w:szCs w:val="28"/>
          <w:lang w:eastAsia="ru-RU"/>
        </w:rPr>
      </w:pP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color w:val="000000"/>
          <w:sz w:val="28"/>
          <w:szCs w:val="28"/>
          <w:lang w:eastAsia="ru-RU"/>
        </w:rPr>
      </w:pPr>
      <w:r w:rsidRPr="008C1ABB">
        <w:rPr>
          <w:rFonts w:ascii="Times New Roman" w:eastAsia="Times New Roman" w:hAnsi="Times New Roman" w:cs="Times New Roman"/>
          <w:color w:val="000000"/>
          <w:sz w:val="28"/>
          <w:szCs w:val="28"/>
          <w:lang w:eastAsia="ru-RU"/>
        </w:rPr>
        <w:t>Наразі невідома кількість суб’єктів господарювання (замовників будівництва), що мають добровільну згоду прийняти відповідне рішення про поширення дії Закону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право на виконання будівельних робіт щодо яких набуто до набрання чинності Законом, тому неможливо визначити кількість суб’єктів господарювання (замовників будівництва), що підпадають під дію регулювання.</w:t>
      </w:r>
    </w:p>
    <w:p w:rsidR="008C1ABB" w:rsidRPr="008C1ABB" w:rsidRDefault="008C1ABB" w:rsidP="008C1ABB">
      <w:pPr>
        <w:widowControl w:val="0"/>
        <w:suppressAutoHyphens/>
        <w:spacing w:after="0" w:line="240" w:lineRule="auto"/>
        <w:ind w:left="1"/>
        <w:jc w:val="both"/>
        <w:textAlignment w:val="top"/>
        <w:outlineLvl w:val="0"/>
        <w:rPr>
          <w:rFonts w:ascii="Times New Roman" w:eastAsia="Times New Roman" w:hAnsi="Times New Roman" w:cs="Times New Roman"/>
          <w:color w:val="000000"/>
          <w:sz w:val="28"/>
          <w:szCs w:val="28"/>
          <w:lang w:eastAsia="ru-RU"/>
        </w:rPr>
      </w:pPr>
    </w:p>
    <w:tbl>
      <w:tblPr>
        <w:tblW w:w="5000" w:type="pct"/>
        <w:tblInd w:w="20" w:type="dxa"/>
        <w:tblLayout w:type="fixed"/>
        <w:tblCellMar>
          <w:top w:w="15" w:type="dxa"/>
          <w:left w:w="15" w:type="dxa"/>
          <w:bottom w:w="15" w:type="dxa"/>
          <w:right w:w="22" w:type="dxa"/>
        </w:tblCellMar>
        <w:tblLook w:val="0000" w:firstRow="0" w:lastRow="0" w:firstColumn="0" w:lastColumn="0" w:noHBand="0" w:noVBand="0"/>
      </w:tblPr>
      <w:tblGrid>
        <w:gridCol w:w="2859"/>
        <w:gridCol w:w="1049"/>
        <w:gridCol w:w="1449"/>
        <w:gridCol w:w="1353"/>
        <w:gridCol w:w="1350"/>
        <w:gridCol w:w="1544"/>
      </w:tblGrid>
      <w:tr w:rsidR="008C1ABB" w:rsidRPr="008C1ABB" w:rsidTr="009D45DB">
        <w:tc>
          <w:tcPr>
            <w:tcW w:w="3100" w:type="dxa"/>
            <w:tcBorders>
              <w:top w:val="thickThinLargeGap" w:sz="6" w:space="0" w:color="C0C0C0"/>
              <w:left w:val="single" w:sz="4" w:space="0" w:color="000000"/>
              <w:bottom w:val="thickThinLargeGap" w:sz="6" w:space="0" w:color="C0C0C0"/>
              <w:right w:val="thickThinLargeGap" w:sz="6" w:space="0" w:color="C0C0C0"/>
            </w:tcBorders>
            <w:shd w:val="clear" w:color="auto" w:fill="auto"/>
          </w:tcPr>
          <w:p w:rsidR="008C1ABB" w:rsidRPr="008C1ABB" w:rsidRDefault="008C1ABB" w:rsidP="008C1ABB">
            <w:pPr>
              <w:widowControl w:val="0"/>
              <w:suppressAutoHyphens/>
              <w:spacing w:after="0" w:line="1" w:lineRule="atLeast"/>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6"/>
                <w:szCs w:val="26"/>
                <w:lang w:eastAsia="ru-RU"/>
              </w:rPr>
              <w:t>Показник</w:t>
            </w:r>
          </w:p>
        </w:tc>
        <w:tc>
          <w:tcPr>
            <w:tcW w:w="11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C1ABB" w:rsidRPr="008C1ABB" w:rsidRDefault="008C1ABB" w:rsidP="008C1ABB">
            <w:pPr>
              <w:widowControl w:val="0"/>
              <w:suppressAutoHyphens/>
              <w:spacing w:after="0" w:line="1" w:lineRule="atLeast"/>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6"/>
                <w:szCs w:val="26"/>
                <w:lang w:eastAsia="ru-RU"/>
              </w:rPr>
              <w:t>Великі</w:t>
            </w:r>
          </w:p>
        </w:tc>
        <w:tc>
          <w:tcPr>
            <w:tcW w:w="156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C1ABB" w:rsidRPr="008C1ABB" w:rsidRDefault="008C1ABB" w:rsidP="008C1ABB">
            <w:pPr>
              <w:widowControl w:val="0"/>
              <w:suppressAutoHyphens/>
              <w:spacing w:after="0" w:line="1" w:lineRule="atLeast"/>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6"/>
                <w:szCs w:val="26"/>
                <w:lang w:eastAsia="ru-RU"/>
              </w:rPr>
              <w:t>Середні</w:t>
            </w:r>
          </w:p>
        </w:tc>
        <w:tc>
          <w:tcPr>
            <w:tcW w:w="146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C1ABB" w:rsidRPr="008C1ABB" w:rsidRDefault="008C1ABB" w:rsidP="008C1ABB">
            <w:pPr>
              <w:widowControl w:val="0"/>
              <w:suppressAutoHyphens/>
              <w:spacing w:after="0" w:line="1" w:lineRule="atLeast"/>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6"/>
                <w:szCs w:val="26"/>
                <w:lang w:eastAsia="ru-RU"/>
              </w:rPr>
              <w:t>Малі</w:t>
            </w:r>
          </w:p>
        </w:tc>
        <w:tc>
          <w:tcPr>
            <w:tcW w:w="146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C1ABB" w:rsidRPr="008C1ABB" w:rsidRDefault="008C1ABB" w:rsidP="008C1ABB">
            <w:pPr>
              <w:widowControl w:val="0"/>
              <w:suppressAutoHyphens/>
              <w:spacing w:after="0" w:line="1" w:lineRule="atLeast"/>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6"/>
                <w:szCs w:val="26"/>
                <w:lang w:eastAsia="ru-RU"/>
              </w:rPr>
              <w:t>Мікро</w:t>
            </w:r>
          </w:p>
        </w:tc>
        <w:tc>
          <w:tcPr>
            <w:tcW w:w="16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C1ABB" w:rsidRPr="008C1ABB" w:rsidRDefault="008C1ABB" w:rsidP="008C1ABB">
            <w:pPr>
              <w:widowControl w:val="0"/>
              <w:suppressAutoHyphens/>
              <w:spacing w:after="0" w:line="1" w:lineRule="atLeast"/>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6"/>
                <w:szCs w:val="26"/>
                <w:lang w:eastAsia="ru-RU"/>
              </w:rPr>
              <w:t>Разом</w:t>
            </w:r>
          </w:p>
        </w:tc>
      </w:tr>
      <w:tr w:rsidR="008C1ABB" w:rsidRPr="008C1ABB" w:rsidTr="009D45DB">
        <w:tc>
          <w:tcPr>
            <w:tcW w:w="3100" w:type="dxa"/>
            <w:tcBorders>
              <w:top w:val="thickThinLargeGap" w:sz="6" w:space="0" w:color="C0C0C0"/>
              <w:left w:val="single" w:sz="4" w:space="0" w:color="000000"/>
              <w:bottom w:val="thickThinLargeGap" w:sz="6" w:space="0" w:color="C0C0C0"/>
              <w:right w:val="thickThinLargeGap" w:sz="6" w:space="0" w:color="C0C0C0"/>
            </w:tcBorders>
            <w:shd w:val="clear" w:color="auto" w:fill="auto"/>
          </w:tcPr>
          <w:p w:rsidR="008C1ABB" w:rsidRPr="008C1ABB" w:rsidRDefault="008C1ABB" w:rsidP="008C1ABB">
            <w:pPr>
              <w:widowControl w:val="0"/>
              <w:suppressAutoHyphens/>
              <w:spacing w:after="0" w:line="1" w:lineRule="atLeast"/>
              <w:ind w:left="1" w:hanging="3"/>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6"/>
                <w:szCs w:val="26"/>
                <w:lang w:eastAsia="ru-RU"/>
              </w:rPr>
              <w:t>Кількість суб’єктів господарювання, що підпадають під дію регулювання, одиниць</w:t>
            </w:r>
            <w:r w:rsidRPr="008C1ABB">
              <w:rPr>
                <w:rFonts w:ascii="Times New Roman" w:eastAsia="Times New Roman" w:hAnsi="Times New Roman" w:cs="Times New Roman"/>
                <w:i/>
                <w:color w:val="000000"/>
                <w:sz w:val="26"/>
                <w:szCs w:val="26"/>
                <w:lang w:eastAsia="ru-RU"/>
              </w:rPr>
              <w:t>*</w:t>
            </w:r>
          </w:p>
        </w:tc>
        <w:tc>
          <w:tcPr>
            <w:tcW w:w="113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C1ABB" w:rsidRPr="008C1ABB" w:rsidRDefault="008C1ABB" w:rsidP="008C1ABB">
            <w:pPr>
              <w:widowControl w:val="0"/>
              <w:suppressAutoHyphens/>
              <w:spacing w:after="0" w:line="1" w:lineRule="atLeast"/>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6"/>
                <w:szCs w:val="26"/>
                <w:lang w:eastAsia="ru-RU"/>
              </w:rPr>
              <w:t>-</w:t>
            </w:r>
          </w:p>
        </w:tc>
        <w:tc>
          <w:tcPr>
            <w:tcW w:w="1568"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C1ABB" w:rsidRPr="008C1ABB" w:rsidRDefault="008C1ABB" w:rsidP="008C1ABB">
            <w:pPr>
              <w:widowControl w:val="0"/>
              <w:suppressAutoHyphens/>
              <w:spacing w:after="0" w:line="1" w:lineRule="atLeast"/>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6"/>
                <w:szCs w:val="26"/>
                <w:lang w:eastAsia="ru-RU"/>
              </w:rPr>
              <w:t>-</w:t>
            </w:r>
          </w:p>
        </w:tc>
        <w:tc>
          <w:tcPr>
            <w:tcW w:w="146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C1ABB" w:rsidRPr="008C1ABB" w:rsidRDefault="008C1ABB" w:rsidP="008C1ABB">
            <w:pPr>
              <w:widowControl w:val="0"/>
              <w:suppressAutoHyphens/>
              <w:spacing w:after="0" w:line="1" w:lineRule="atLeast"/>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6"/>
                <w:szCs w:val="26"/>
                <w:lang w:eastAsia="ru-RU"/>
              </w:rPr>
              <w:t>1</w:t>
            </w:r>
          </w:p>
        </w:tc>
        <w:tc>
          <w:tcPr>
            <w:tcW w:w="1460"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C1ABB" w:rsidRPr="008C1ABB" w:rsidRDefault="008C1ABB" w:rsidP="008C1ABB">
            <w:pPr>
              <w:widowControl w:val="0"/>
              <w:suppressAutoHyphens/>
              <w:spacing w:after="0" w:line="1" w:lineRule="atLeast"/>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6"/>
                <w:szCs w:val="26"/>
                <w:lang w:eastAsia="ru-RU"/>
              </w:rPr>
              <w:t>-</w:t>
            </w:r>
          </w:p>
        </w:tc>
        <w:tc>
          <w:tcPr>
            <w:tcW w:w="1671"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C1ABB" w:rsidRPr="008C1ABB" w:rsidRDefault="008C1ABB" w:rsidP="008C1ABB">
            <w:pPr>
              <w:widowControl w:val="0"/>
              <w:suppressAutoHyphens/>
              <w:spacing w:after="0" w:line="1" w:lineRule="atLeast"/>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6"/>
                <w:szCs w:val="26"/>
                <w:lang w:eastAsia="ru-RU"/>
              </w:rPr>
              <w:t>1</w:t>
            </w:r>
          </w:p>
        </w:tc>
      </w:tr>
      <w:tr w:rsidR="008C1ABB" w:rsidRPr="008C1ABB" w:rsidTr="009D45DB">
        <w:tc>
          <w:tcPr>
            <w:tcW w:w="3100" w:type="dxa"/>
            <w:tcBorders>
              <w:top w:val="thickThinLargeGap" w:sz="6" w:space="0" w:color="C0C0C0"/>
              <w:left w:val="thickThinLargeGap" w:sz="6" w:space="0" w:color="C0C0C0"/>
              <w:bottom w:val="single" w:sz="4" w:space="0" w:color="000000"/>
              <w:right w:val="thickThinLargeGap" w:sz="6" w:space="0" w:color="C0C0C0"/>
            </w:tcBorders>
            <w:shd w:val="clear" w:color="auto" w:fill="auto"/>
          </w:tcPr>
          <w:p w:rsidR="008C1ABB" w:rsidRPr="008C1ABB" w:rsidRDefault="008C1ABB" w:rsidP="008C1ABB">
            <w:pPr>
              <w:widowControl w:val="0"/>
              <w:suppressAutoHyphens/>
              <w:spacing w:after="0" w:line="1" w:lineRule="atLeast"/>
              <w:ind w:left="1" w:right="121" w:hanging="3"/>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6"/>
                <w:szCs w:val="26"/>
                <w:lang w:eastAsia="ru-RU"/>
              </w:rPr>
              <w:t>Питома вага групи у загальній кількості, відсотків</w:t>
            </w:r>
          </w:p>
        </w:tc>
        <w:tc>
          <w:tcPr>
            <w:tcW w:w="1133" w:type="dxa"/>
            <w:tcBorders>
              <w:top w:val="thickThinLargeGap" w:sz="6" w:space="0" w:color="C0C0C0"/>
              <w:left w:val="thickThinLargeGap" w:sz="6" w:space="0" w:color="C0C0C0"/>
              <w:bottom w:val="single" w:sz="4" w:space="0" w:color="000000"/>
              <w:right w:val="thickThinLargeGap" w:sz="6" w:space="0" w:color="C0C0C0"/>
            </w:tcBorders>
            <w:shd w:val="clear" w:color="auto" w:fill="auto"/>
          </w:tcPr>
          <w:p w:rsidR="008C1ABB" w:rsidRPr="008C1ABB" w:rsidRDefault="008C1ABB" w:rsidP="008C1ABB">
            <w:pPr>
              <w:widowControl w:val="0"/>
              <w:suppressAutoHyphens/>
              <w:spacing w:after="0" w:line="1" w:lineRule="atLeast"/>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w:t>
            </w:r>
          </w:p>
        </w:tc>
        <w:tc>
          <w:tcPr>
            <w:tcW w:w="1568" w:type="dxa"/>
            <w:tcBorders>
              <w:top w:val="thickThinLargeGap" w:sz="6" w:space="0" w:color="C0C0C0"/>
              <w:left w:val="thickThinLargeGap" w:sz="6" w:space="0" w:color="C0C0C0"/>
              <w:bottom w:val="single" w:sz="4" w:space="0" w:color="000000"/>
              <w:right w:val="thickThinLargeGap" w:sz="6" w:space="0" w:color="C0C0C0"/>
            </w:tcBorders>
            <w:shd w:val="clear" w:color="auto" w:fill="auto"/>
          </w:tcPr>
          <w:p w:rsidR="008C1ABB" w:rsidRPr="008C1ABB" w:rsidRDefault="008C1ABB" w:rsidP="008C1ABB">
            <w:pPr>
              <w:widowControl w:val="0"/>
              <w:suppressAutoHyphens/>
              <w:spacing w:after="0" w:line="1" w:lineRule="atLeast"/>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w:t>
            </w:r>
          </w:p>
        </w:tc>
        <w:tc>
          <w:tcPr>
            <w:tcW w:w="1463" w:type="dxa"/>
            <w:tcBorders>
              <w:top w:val="thickThinLargeGap" w:sz="6" w:space="0" w:color="C0C0C0"/>
              <w:left w:val="thickThinLargeGap" w:sz="6" w:space="0" w:color="C0C0C0"/>
              <w:bottom w:val="single" w:sz="4" w:space="0" w:color="000000"/>
              <w:right w:val="thickThinLargeGap" w:sz="6" w:space="0" w:color="C0C0C0"/>
            </w:tcBorders>
            <w:shd w:val="clear" w:color="auto" w:fill="auto"/>
          </w:tcPr>
          <w:p w:rsidR="008C1ABB" w:rsidRPr="008C1ABB" w:rsidRDefault="008C1ABB" w:rsidP="008C1ABB">
            <w:pPr>
              <w:widowControl w:val="0"/>
              <w:suppressAutoHyphens/>
              <w:spacing w:after="0" w:line="1" w:lineRule="atLeast"/>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100</w:t>
            </w:r>
          </w:p>
        </w:tc>
        <w:tc>
          <w:tcPr>
            <w:tcW w:w="1460" w:type="dxa"/>
            <w:tcBorders>
              <w:top w:val="thickThinLargeGap" w:sz="6" w:space="0" w:color="C0C0C0"/>
              <w:left w:val="thickThinLargeGap" w:sz="6" w:space="0" w:color="C0C0C0"/>
              <w:bottom w:val="single" w:sz="4" w:space="0" w:color="000000"/>
              <w:right w:val="thickThinLargeGap" w:sz="6" w:space="0" w:color="C0C0C0"/>
            </w:tcBorders>
            <w:shd w:val="clear" w:color="auto" w:fill="auto"/>
          </w:tcPr>
          <w:p w:rsidR="008C1ABB" w:rsidRPr="008C1ABB" w:rsidRDefault="008C1ABB" w:rsidP="008C1ABB">
            <w:pPr>
              <w:widowControl w:val="0"/>
              <w:suppressAutoHyphens/>
              <w:spacing w:after="0" w:line="1" w:lineRule="atLeast"/>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w:t>
            </w:r>
          </w:p>
        </w:tc>
        <w:tc>
          <w:tcPr>
            <w:tcW w:w="1671" w:type="dxa"/>
            <w:tcBorders>
              <w:top w:val="thickThinLargeGap" w:sz="6" w:space="0" w:color="C0C0C0"/>
              <w:left w:val="thickThinLargeGap" w:sz="6" w:space="0" w:color="C0C0C0"/>
              <w:bottom w:val="single" w:sz="4" w:space="0" w:color="000000"/>
              <w:right w:val="thickThinLargeGap" w:sz="6" w:space="0" w:color="C0C0C0"/>
            </w:tcBorders>
            <w:shd w:val="clear" w:color="auto" w:fill="auto"/>
          </w:tcPr>
          <w:p w:rsidR="008C1ABB" w:rsidRPr="008C1ABB" w:rsidRDefault="008C1ABB" w:rsidP="008C1ABB">
            <w:pPr>
              <w:widowControl w:val="0"/>
              <w:suppressAutoHyphens/>
              <w:spacing w:after="0" w:line="1" w:lineRule="atLeast"/>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100</w:t>
            </w:r>
          </w:p>
        </w:tc>
      </w:tr>
    </w:tbl>
    <w:p w:rsidR="008C1ABB" w:rsidRPr="008C1ABB" w:rsidRDefault="008C1ABB" w:rsidP="008C1ABB">
      <w:pPr>
        <w:widowControl w:val="0"/>
        <w:suppressAutoHyphens/>
        <w:spacing w:after="0" w:line="240" w:lineRule="auto"/>
        <w:ind w:left="1" w:hanging="3"/>
        <w:jc w:val="both"/>
        <w:textAlignment w:val="top"/>
        <w:outlineLvl w:val="0"/>
        <w:rPr>
          <w:rFonts w:ascii="Times New Roman" w:eastAsia="Times New Roman" w:hAnsi="Times New Roman" w:cs="Times New Roman"/>
          <w:color w:val="000000"/>
          <w:sz w:val="28"/>
          <w:szCs w:val="28"/>
          <w:highlight w:val="white"/>
          <w:lang w:eastAsia="ru-RU"/>
        </w:rPr>
      </w:pPr>
    </w:p>
    <w:tbl>
      <w:tblPr>
        <w:tblW w:w="10730" w:type="dxa"/>
        <w:tblInd w:w="113" w:type="dxa"/>
        <w:tblLayout w:type="fixed"/>
        <w:tblLook w:val="0000" w:firstRow="0" w:lastRow="0" w:firstColumn="0" w:lastColumn="0" w:noHBand="0" w:noVBand="0"/>
      </w:tblPr>
      <w:tblGrid>
        <w:gridCol w:w="2231"/>
        <w:gridCol w:w="5164"/>
        <w:gridCol w:w="2200"/>
        <w:gridCol w:w="1135"/>
      </w:tblGrid>
      <w:tr w:rsidR="008C1ABB" w:rsidRPr="008C1ABB" w:rsidTr="009D45DB">
        <w:tc>
          <w:tcPr>
            <w:tcW w:w="2231"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hd w:val="clear" w:color="auto" w:fill="FFFFFF"/>
              <w:suppressAutoHyphens/>
              <w:spacing w:after="0" w:line="1" w:lineRule="atLeast"/>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6"/>
                <w:szCs w:val="26"/>
                <w:lang w:eastAsia="ru-RU"/>
              </w:rPr>
              <w:t>Вид альтернативи</w:t>
            </w:r>
          </w:p>
        </w:tc>
        <w:tc>
          <w:tcPr>
            <w:tcW w:w="5164" w:type="dxa"/>
            <w:tcBorders>
              <w:top w:val="single" w:sz="4" w:space="0" w:color="000000"/>
              <w:left w:val="single" w:sz="4" w:space="0" w:color="000000"/>
              <w:right w:val="single" w:sz="4" w:space="0" w:color="000000"/>
            </w:tcBorders>
            <w:shd w:val="clear" w:color="auto" w:fill="auto"/>
          </w:tcPr>
          <w:p w:rsidR="008C1ABB" w:rsidRPr="008C1ABB" w:rsidRDefault="008C1ABB" w:rsidP="008C1ABB">
            <w:pPr>
              <w:widowControl w:val="0"/>
              <w:shd w:val="clear" w:color="auto" w:fill="FFFFFF"/>
              <w:suppressAutoHyphens/>
              <w:spacing w:after="0" w:line="1" w:lineRule="atLeast"/>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6"/>
                <w:szCs w:val="26"/>
                <w:lang w:eastAsia="ru-RU"/>
              </w:rPr>
              <w:t>Вигоди</w:t>
            </w:r>
          </w:p>
        </w:tc>
        <w:tc>
          <w:tcPr>
            <w:tcW w:w="2200" w:type="dxa"/>
            <w:tcBorders>
              <w:top w:val="single" w:sz="4" w:space="0" w:color="000000"/>
              <w:left w:val="single" w:sz="4" w:space="0" w:color="000000"/>
              <w:right w:val="single" w:sz="4" w:space="0" w:color="000000"/>
            </w:tcBorders>
            <w:shd w:val="clear" w:color="auto" w:fill="auto"/>
          </w:tcPr>
          <w:p w:rsidR="008C1ABB" w:rsidRPr="008C1ABB" w:rsidRDefault="008C1ABB" w:rsidP="008C1ABB">
            <w:pPr>
              <w:widowControl w:val="0"/>
              <w:shd w:val="clear" w:color="auto" w:fill="FFFFFF"/>
              <w:suppressAutoHyphens/>
              <w:spacing w:after="0" w:line="1" w:lineRule="atLeast"/>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6"/>
                <w:szCs w:val="26"/>
                <w:lang w:eastAsia="ru-RU"/>
              </w:rPr>
              <w:t>Витрати</w:t>
            </w:r>
          </w:p>
        </w:tc>
        <w:tc>
          <w:tcPr>
            <w:tcW w:w="1135" w:type="dxa"/>
            <w:shd w:val="clear" w:color="auto" w:fill="auto"/>
          </w:tcPr>
          <w:p w:rsidR="008C1ABB" w:rsidRPr="008C1ABB" w:rsidRDefault="008C1ABB" w:rsidP="008C1ABB">
            <w:pPr>
              <w:widowControl w:val="0"/>
              <w:suppressAutoHyphens/>
              <w:snapToGrid w:val="0"/>
              <w:spacing w:after="0" w:line="1" w:lineRule="atLeast"/>
              <w:ind w:hanging="2"/>
              <w:textAlignment w:val="top"/>
              <w:outlineLvl w:val="0"/>
              <w:rPr>
                <w:rFonts w:ascii="Times New Roman" w:eastAsia="Times New Roman" w:hAnsi="Times New Roman" w:cs="Times New Roman"/>
                <w:sz w:val="20"/>
                <w:szCs w:val="24"/>
                <w:lang w:eastAsia="ru-RU"/>
              </w:rPr>
            </w:pPr>
          </w:p>
        </w:tc>
      </w:tr>
      <w:tr w:rsidR="008C1ABB" w:rsidRPr="008C1ABB" w:rsidTr="009D45DB">
        <w:tc>
          <w:tcPr>
            <w:tcW w:w="2231" w:type="dxa"/>
            <w:tcBorders>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i/>
                <w:color w:val="000000"/>
                <w:sz w:val="24"/>
                <w:szCs w:val="24"/>
                <w:lang w:eastAsia="ru-RU"/>
              </w:rPr>
              <w:t xml:space="preserve">Альтернатива 1. </w:t>
            </w:r>
          </w:p>
          <w:p w:rsidR="008C1ABB" w:rsidRPr="008C1ABB" w:rsidRDefault="008C1ABB" w:rsidP="008C1ABB">
            <w:pPr>
              <w:widowControl w:val="0"/>
              <w:shd w:val="clear" w:color="auto" w:fill="FFFFFF"/>
              <w:suppressAutoHyphens/>
              <w:spacing w:after="0" w:line="1" w:lineRule="atLeast"/>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 xml:space="preserve">Прийняття </w:t>
            </w:r>
            <w:r w:rsidRPr="008C1ABB">
              <w:rPr>
                <w:rFonts w:ascii="Times New Roman" w:eastAsia="Times New Roman" w:hAnsi="Times New Roman" w:cs="Times New Roman"/>
                <w:color w:val="000000"/>
                <w:sz w:val="24"/>
                <w:szCs w:val="24"/>
                <w:lang w:eastAsia="ru-RU"/>
              </w:rPr>
              <w:lastRenderedPageBreak/>
              <w:t xml:space="preserve">запропонованого регуляторного </w:t>
            </w:r>
            <w:proofErr w:type="spellStart"/>
            <w:r w:rsidRPr="008C1ABB">
              <w:rPr>
                <w:rFonts w:ascii="Times New Roman" w:eastAsia="Times New Roman" w:hAnsi="Times New Roman" w:cs="Times New Roman"/>
                <w:color w:val="000000"/>
                <w:sz w:val="24"/>
                <w:szCs w:val="24"/>
                <w:lang w:eastAsia="ru-RU"/>
              </w:rPr>
              <w:t>акта</w:t>
            </w:r>
            <w:proofErr w:type="spellEnd"/>
          </w:p>
        </w:tc>
        <w:tc>
          <w:tcPr>
            <w:tcW w:w="5164" w:type="dxa"/>
            <w:tcBorders>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lastRenderedPageBreak/>
              <w:t xml:space="preserve">Можливість для суб’єкта господарюванню (замовника будівництва) реалізувати право </w:t>
            </w:r>
            <w:r w:rsidRPr="008C1ABB">
              <w:rPr>
                <w:rFonts w:ascii="Times New Roman" w:eastAsia="Times New Roman" w:hAnsi="Times New Roman" w:cs="Times New Roman"/>
                <w:color w:val="000000"/>
                <w:sz w:val="24"/>
                <w:szCs w:val="24"/>
                <w:lang w:eastAsia="ru-RU"/>
              </w:rPr>
              <w:lastRenderedPageBreak/>
              <w:t>надане Законом.</w:t>
            </w:r>
          </w:p>
          <w:p w:rsidR="008C1ABB" w:rsidRPr="008C1ABB" w:rsidRDefault="008C1ABB" w:rsidP="009D45D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Створення конкурентного середовища та прозорого механізму для залучення коштів інвесторів в будівництво об’єкта через прийняття суб’єктом господарювання (замовником будівництва) рішення про поширення дії Закону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право на виконання будівельних робіт щодо яких набуто до набрання чинності Законом та проходження процедури актуалізації відомостей про об’єкт будівництва та державної реєстрації прийнятого  рішення.</w:t>
            </w:r>
          </w:p>
        </w:tc>
        <w:tc>
          <w:tcPr>
            <w:tcW w:w="2200" w:type="dxa"/>
            <w:tcBorders>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hd w:val="clear" w:color="auto" w:fill="FFFFFF"/>
              <w:suppressAutoHyphens/>
              <w:spacing w:after="0" w:line="1" w:lineRule="atLeast"/>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lastRenderedPageBreak/>
              <w:t xml:space="preserve">Витрати суб’єктів господарювання (замовників </w:t>
            </w:r>
            <w:r w:rsidRPr="008C1ABB">
              <w:rPr>
                <w:rFonts w:ascii="Times New Roman" w:eastAsia="Times New Roman" w:hAnsi="Times New Roman" w:cs="Times New Roman"/>
                <w:color w:val="000000"/>
                <w:sz w:val="24"/>
                <w:szCs w:val="24"/>
                <w:lang w:eastAsia="ru-RU"/>
              </w:rPr>
              <w:lastRenderedPageBreak/>
              <w:t xml:space="preserve">будівництва) пов’язані з ознайомленням та застосуванням нового регуляторного </w:t>
            </w:r>
            <w:proofErr w:type="spellStart"/>
            <w:r w:rsidRPr="008C1ABB">
              <w:rPr>
                <w:rFonts w:ascii="Times New Roman" w:eastAsia="Times New Roman" w:hAnsi="Times New Roman" w:cs="Times New Roman"/>
                <w:color w:val="000000"/>
                <w:sz w:val="24"/>
                <w:szCs w:val="24"/>
                <w:lang w:eastAsia="ru-RU"/>
              </w:rPr>
              <w:t>акта</w:t>
            </w:r>
            <w:proofErr w:type="spellEnd"/>
            <w:r w:rsidRPr="008C1ABB">
              <w:rPr>
                <w:rFonts w:ascii="Times New Roman" w:eastAsia="Times New Roman" w:hAnsi="Times New Roman" w:cs="Times New Roman"/>
                <w:color w:val="000000"/>
                <w:sz w:val="24"/>
                <w:szCs w:val="24"/>
                <w:lang w:eastAsia="ru-RU"/>
              </w:rPr>
              <w:t xml:space="preserve"> у своїй діяльності та проходження процедури </w:t>
            </w:r>
            <w:r w:rsidRPr="008C1ABB">
              <w:rPr>
                <w:rFonts w:ascii="Times New Roman" w:eastAsia="Times New Roman" w:hAnsi="Times New Roman" w:cs="Times New Roman"/>
                <w:sz w:val="24"/>
                <w:szCs w:val="24"/>
                <w:lang w:eastAsia="ru-RU"/>
              </w:rPr>
              <w:t>687,82 грн.; 17 год. (35 робочих днів з урахуванням, що потрібно чекати відповідь)</w:t>
            </w:r>
          </w:p>
        </w:tc>
        <w:tc>
          <w:tcPr>
            <w:tcW w:w="1135" w:type="dxa"/>
            <w:shd w:val="clear" w:color="auto" w:fill="auto"/>
          </w:tcPr>
          <w:p w:rsidR="008C1ABB" w:rsidRPr="008C1ABB" w:rsidRDefault="008C1ABB" w:rsidP="008C1ABB">
            <w:pPr>
              <w:widowControl w:val="0"/>
              <w:suppressAutoHyphens/>
              <w:snapToGrid w:val="0"/>
              <w:spacing w:after="0" w:line="1" w:lineRule="atLeast"/>
              <w:ind w:hanging="2"/>
              <w:textAlignment w:val="top"/>
              <w:outlineLvl w:val="0"/>
              <w:rPr>
                <w:rFonts w:ascii="Times New Roman" w:eastAsia="Times New Roman" w:hAnsi="Times New Roman" w:cs="Times New Roman"/>
                <w:sz w:val="20"/>
                <w:szCs w:val="24"/>
                <w:lang w:eastAsia="ru-RU"/>
              </w:rPr>
            </w:pPr>
          </w:p>
        </w:tc>
      </w:tr>
      <w:tr w:rsidR="008C1ABB" w:rsidRPr="008C1ABB" w:rsidTr="009D45DB">
        <w:tc>
          <w:tcPr>
            <w:tcW w:w="2231"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i/>
                <w:color w:val="000000"/>
                <w:sz w:val="24"/>
                <w:szCs w:val="24"/>
                <w:lang w:eastAsia="ru-RU"/>
              </w:rPr>
              <w:t xml:space="preserve">Альтернатива 1. </w:t>
            </w:r>
          </w:p>
          <w:p w:rsidR="008C1ABB" w:rsidRPr="008C1ABB" w:rsidRDefault="008C1ABB" w:rsidP="008C1ABB">
            <w:pPr>
              <w:widowControl w:val="0"/>
              <w:suppressAutoHyphens/>
              <w:spacing w:after="0" w:line="1" w:lineRule="atLeast"/>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Залишення ситуації без змін</w:t>
            </w:r>
          </w:p>
        </w:tc>
        <w:tc>
          <w:tcPr>
            <w:tcW w:w="5164"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Вигоди відсутні:</w:t>
            </w:r>
          </w:p>
          <w:p w:rsidR="008C1ABB" w:rsidRPr="008C1ABB" w:rsidRDefault="008C1ABB" w:rsidP="008C1ABB">
            <w:pPr>
              <w:widowControl w:val="0"/>
              <w:suppressAutoHyphens/>
              <w:spacing w:after="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 суб’єкти господарювання (замовники будівництва) не можуть реалізувати своє право, визначене абзацом четвертим частини 2 статті 21 Закону через відсутність затвердженого порядку та визначення особливостей прийняття рішення про поширення дії Закону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право на виконання будівельних робіт щодо яких набуто до набрання чинності Законом;</w:t>
            </w:r>
          </w:p>
          <w:p w:rsidR="008C1ABB" w:rsidRPr="008C1ABB" w:rsidRDefault="008C1ABB" w:rsidP="008C1ABB">
            <w:pPr>
              <w:widowControl w:val="0"/>
              <w:suppressAutoHyphens/>
              <w:spacing w:after="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 суб’єкти господарювання (замовники будівництва), які набули право на виконання будівельних робіт, до набрання чинності Закону, і які не прийняли рішення про поширення дії Закону є менш привабливими для інвесторів, оскільки механізми гарантії захисту їх прав, визначених Законом, у такому випадку не розповсюджуються.</w:t>
            </w:r>
          </w:p>
        </w:tc>
        <w:tc>
          <w:tcPr>
            <w:tcW w:w="2200"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1" w:lineRule="atLeast"/>
              <w:ind w:hanging="2"/>
              <w:jc w:val="both"/>
              <w:textAlignment w:val="top"/>
              <w:outlineLvl w:val="0"/>
              <w:rPr>
                <w:rFonts w:ascii="Times New Roman" w:eastAsia="Times New Roman" w:hAnsi="Times New Roman" w:cs="Times New Roman"/>
                <w:color w:val="000000"/>
                <w:sz w:val="24"/>
                <w:szCs w:val="24"/>
                <w:lang w:eastAsia="ru-RU"/>
              </w:rPr>
            </w:pPr>
            <w:r w:rsidRPr="008C1ABB">
              <w:rPr>
                <w:rFonts w:ascii="Times New Roman" w:eastAsia="Times New Roman" w:hAnsi="Times New Roman" w:cs="Times New Roman"/>
                <w:color w:val="000000"/>
                <w:sz w:val="24"/>
                <w:szCs w:val="24"/>
                <w:lang w:eastAsia="ru-RU"/>
              </w:rPr>
              <w:t xml:space="preserve">У разі обрання зазначеної альтернативи не буде забезпечено реалізацію окремих положень Закону. </w:t>
            </w:r>
          </w:p>
          <w:p w:rsidR="008C1ABB" w:rsidRPr="008C1ABB" w:rsidRDefault="008C1ABB" w:rsidP="008C1ABB">
            <w:pPr>
              <w:widowControl w:val="0"/>
              <w:suppressAutoHyphens/>
              <w:spacing w:after="0" w:line="1" w:lineRule="atLeast"/>
              <w:ind w:hanging="2"/>
              <w:jc w:val="both"/>
              <w:textAlignment w:val="top"/>
              <w:outlineLvl w:val="0"/>
              <w:rPr>
                <w:rFonts w:ascii="Times New Roman" w:eastAsia="Times New Roman" w:hAnsi="Times New Roman" w:cs="Times New Roman"/>
                <w:color w:val="000000"/>
                <w:sz w:val="24"/>
                <w:szCs w:val="24"/>
                <w:lang w:eastAsia="ru-RU"/>
              </w:rPr>
            </w:pPr>
            <w:r w:rsidRPr="008C1ABB">
              <w:rPr>
                <w:rFonts w:ascii="Times New Roman" w:eastAsia="Times New Roman" w:hAnsi="Times New Roman" w:cs="Times New Roman"/>
                <w:color w:val="000000"/>
                <w:sz w:val="24"/>
                <w:szCs w:val="24"/>
                <w:lang w:eastAsia="ru-RU"/>
              </w:rPr>
              <w:t>Можливе зменшення фінансування від інвесторів у об’єкт будівництва</w:t>
            </w:r>
          </w:p>
          <w:p w:rsidR="008C1ABB" w:rsidRPr="008C1ABB" w:rsidRDefault="008C1ABB" w:rsidP="008C1ABB">
            <w:pPr>
              <w:widowControl w:val="0"/>
              <w:suppressAutoHyphens/>
              <w:spacing w:after="0" w:line="1" w:lineRule="atLeast"/>
              <w:ind w:hanging="2"/>
              <w:jc w:val="both"/>
              <w:textAlignment w:val="top"/>
              <w:outlineLvl w:val="0"/>
              <w:rPr>
                <w:rFonts w:ascii="Times New Roman" w:eastAsia="Times New Roman" w:hAnsi="Times New Roman" w:cs="Times New Roman"/>
                <w:sz w:val="24"/>
                <w:szCs w:val="24"/>
                <w:vertAlign w:val="subscript"/>
                <w:lang w:eastAsia="ru-RU"/>
              </w:rPr>
            </w:pPr>
          </w:p>
        </w:tc>
        <w:tc>
          <w:tcPr>
            <w:tcW w:w="1135" w:type="dxa"/>
            <w:shd w:val="clear" w:color="auto" w:fill="auto"/>
          </w:tcPr>
          <w:p w:rsidR="008C1ABB" w:rsidRPr="008C1ABB" w:rsidRDefault="008C1ABB" w:rsidP="008C1ABB">
            <w:pPr>
              <w:widowControl w:val="0"/>
              <w:suppressAutoHyphens/>
              <w:snapToGrid w:val="0"/>
              <w:spacing w:after="0" w:line="1" w:lineRule="atLeast"/>
              <w:ind w:hanging="2"/>
              <w:textAlignment w:val="top"/>
              <w:outlineLvl w:val="0"/>
              <w:rPr>
                <w:rFonts w:ascii="Times New Roman" w:eastAsia="Times New Roman" w:hAnsi="Times New Roman" w:cs="Times New Roman"/>
                <w:sz w:val="20"/>
                <w:szCs w:val="24"/>
                <w:lang w:eastAsia="ru-RU"/>
              </w:rPr>
            </w:pPr>
          </w:p>
        </w:tc>
      </w:tr>
    </w:tbl>
    <w:p w:rsidR="008C1ABB" w:rsidRDefault="008C1ABB" w:rsidP="008C1ABB">
      <w:pPr>
        <w:suppressAutoHyphens/>
        <w:spacing w:after="0" w:line="240" w:lineRule="auto"/>
        <w:jc w:val="center"/>
        <w:textAlignment w:val="top"/>
        <w:outlineLvl w:val="0"/>
        <w:rPr>
          <w:rFonts w:ascii="Times New Roman" w:eastAsia="Times New Roman" w:hAnsi="Times New Roman" w:cs="Times New Roman"/>
          <w:color w:val="000000"/>
          <w:sz w:val="28"/>
          <w:szCs w:val="28"/>
          <w:lang w:eastAsia="ru-RU"/>
        </w:rPr>
      </w:pPr>
    </w:p>
    <w:tbl>
      <w:tblPr>
        <w:tblW w:w="4992" w:type="pct"/>
        <w:tblInd w:w="20" w:type="dxa"/>
        <w:tblLayout w:type="fixed"/>
        <w:tblCellMar>
          <w:top w:w="15" w:type="dxa"/>
          <w:left w:w="15" w:type="dxa"/>
          <w:bottom w:w="15" w:type="dxa"/>
          <w:right w:w="15" w:type="dxa"/>
        </w:tblCellMar>
        <w:tblLook w:val="0000" w:firstRow="0" w:lastRow="0" w:firstColumn="0" w:lastColumn="0" w:noHBand="0" w:noVBand="0"/>
      </w:tblPr>
      <w:tblGrid>
        <w:gridCol w:w="7346"/>
        <w:gridCol w:w="2268"/>
      </w:tblGrid>
      <w:tr w:rsidR="008C1ABB" w:rsidRPr="008C1ABB" w:rsidTr="009D45DB">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1" w:lineRule="atLeast"/>
              <w:ind w:left="-1" w:hanging="1"/>
              <w:jc w:val="center"/>
              <w:textAlignment w:val="top"/>
              <w:outlineLvl w:val="0"/>
              <w:rPr>
                <w:rFonts w:ascii="Times New Roman" w:eastAsia="Times New Roman" w:hAnsi="Times New Roman" w:cs="Times New Roman"/>
                <w:sz w:val="26"/>
                <w:szCs w:val="26"/>
                <w:vertAlign w:val="subscript"/>
                <w:lang w:eastAsia="ru-RU"/>
              </w:rPr>
            </w:pPr>
            <w:r w:rsidRPr="008C1ABB">
              <w:rPr>
                <w:rFonts w:ascii="Times New Roman" w:eastAsia="Times New Roman" w:hAnsi="Times New Roman" w:cs="Times New Roman"/>
                <w:sz w:val="26"/>
                <w:szCs w:val="26"/>
                <w:lang w:eastAsia="ru-RU"/>
              </w:rPr>
              <w:t>Сумарні витрати за альтернативами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1" w:lineRule="atLeast"/>
              <w:ind w:left="-1" w:hanging="1"/>
              <w:jc w:val="center"/>
              <w:textAlignment w:val="top"/>
              <w:outlineLvl w:val="0"/>
              <w:rPr>
                <w:rFonts w:ascii="Times New Roman" w:eastAsia="Times New Roman" w:hAnsi="Times New Roman" w:cs="Times New Roman"/>
                <w:sz w:val="26"/>
                <w:szCs w:val="26"/>
                <w:vertAlign w:val="subscript"/>
                <w:lang w:eastAsia="ru-RU"/>
              </w:rPr>
            </w:pPr>
            <w:r w:rsidRPr="008C1ABB">
              <w:rPr>
                <w:rFonts w:ascii="Times New Roman" w:eastAsia="Times New Roman" w:hAnsi="Times New Roman" w:cs="Times New Roman"/>
                <w:sz w:val="26"/>
                <w:szCs w:val="26"/>
                <w:lang w:eastAsia="ru-RU"/>
              </w:rPr>
              <w:t>Сума витрат, гривень</w:t>
            </w:r>
          </w:p>
        </w:tc>
      </w:tr>
      <w:tr w:rsidR="008C1ABB" w:rsidRPr="008C1ABB" w:rsidTr="009D45DB">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1" w:lineRule="atLeast"/>
              <w:ind w:left="-1" w:hanging="1"/>
              <w:jc w:val="both"/>
              <w:textAlignment w:val="top"/>
              <w:outlineLvl w:val="0"/>
              <w:rPr>
                <w:rFonts w:ascii="Times New Roman" w:eastAsia="Times New Roman" w:hAnsi="Times New Roman" w:cs="Times New Roman"/>
                <w:sz w:val="26"/>
                <w:szCs w:val="26"/>
                <w:vertAlign w:val="subscript"/>
                <w:lang w:eastAsia="ru-RU"/>
              </w:rPr>
            </w:pPr>
            <w:r w:rsidRPr="008C1ABB">
              <w:rPr>
                <w:rFonts w:ascii="Times New Roman" w:eastAsia="Times New Roman" w:hAnsi="Times New Roman" w:cs="Times New Roman"/>
                <w:sz w:val="26"/>
                <w:szCs w:val="26"/>
                <w:lang w:eastAsia="ru-RU"/>
              </w:rPr>
              <w:t xml:space="preserve">Альтернатива 1. Сумарні витрати для суб’єктів господарювання малого підприємництва згідно з додатком 4 до Методики проведення аналізу впливу регуляторного </w:t>
            </w:r>
            <w:proofErr w:type="spellStart"/>
            <w:r w:rsidRPr="008C1ABB">
              <w:rPr>
                <w:rFonts w:ascii="Times New Roman" w:eastAsia="Times New Roman" w:hAnsi="Times New Roman" w:cs="Times New Roman"/>
                <w:sz w:val="26"/>
                <w:szCs w:val="26"/>
                <w:lang w:eastAsia="ru-RU"/>
              </w:rPr>
              <w:t>акта</w:t>
            </w:r>
            <w:proofErr w:type="spellEnd"/>
            <w:r w:rsidRPr="008C1ABB">
              <w:rPr>
                <w:rFonts w:ascii="Times New Roman" w:eastAsia="Times New Roman" w:hAnsi="Times New Roman" w:cs="Times New Roman"/>
                <w:sz w:val="26"/>
                <w:szCs w:val="26"/>
                <w:lang w:eastAsia="ru-RU"/>
              </w:rPr>
              <w:t xml:space="preserve"> (</w:t>
            </w:r>
            <w:r w:rsidRPr="009D45DB">
              <w:rPr>
                <w:rFonts w:ascii="Times New Roman" w:eastAsia="Times New Roman" w:hAnsi="Times New Roman" w:cs="Times New Roman"/>
                <w:sz w:val="26"/>
                <w:szCs w:val="26"/>
                <w:lang w:eastAsia="ru-RU"/>
              </w:rPr>
              <w:t>Тест малого підприємництва)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1" w:lineRule="atLeast"/>
              <w:ind w:left="129"/>
              <w:jc w:val="center"/>
              <w:textAlignment w:val="top"/>
              <w:outlineLvl w:val="0"/>
              <w:rPr>
                <w:rFonts w:ascii="Times New Roman" w:eastAsia="Times New Roman" w:hAnsi="Times New Roman" w:cs="Times New Roman"/>
                <w:sz w:val="26"/>
                <w:szCs w:val="26"/>
                <w:vertAlign w:val="subscript"/>
                <w:lang w:eastAsia="ru-RU"/>
              </w:rPr>
            </w:pPr>
            <w:r w:rsidRPr="008C1ABB">
              <w:rPr>
                <w:rFonts w:ascii="Times New Roman" w:eastAsia="Times New Roman" w:hAnsi="Times New Roman" w:cs="Times New Roman"/>
                <w:sz w:val="26"/>
                <w:szCs w:val="26"/>
                <w:lang w:eastAsia="ru-RU"/>
              </w:rPr>
              <w:t>0</w:t>
            </w:r>
          </w:p>
        </w:tc>
      </w:tr>
      <w:tr w:rsidR="008C1ABB" w:rsidRPr="008C1ABB" w:rsidTr="009D45DB">
        <w:tc>
          <w:tcPr>
            <w:tcW w:w="7346"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1" w:lineRule="atLeast"/>
              <w:ind w:left="-1" w:hanging="1"/>
              <w:jc w:val="both"/>
              <w:textAlignment w:val="top"/>
              <w:outlineLvl w:val="0"/>
              <w:rPr>
                <w:rFonts w:ascii="Times New Roman" w:eastAsia="Times New Roman" w:hAnsi="Times New Roman" w:cs="Times New Roman"/>
                <w:sz w:val="26"/>
                <w:szCs w:val="26"/>
                <w:vertAlign w:val="subscript"/>
                <w:lang w:eastAsia="ru-RU"/>
              </w:rPr>
            </w:pPr>
            <w:r w:rsidRPr="008C1ABB">
              <w:rPr>
                <w:rFonts w:ascii="Times New Roman" w:eastAsia="Times New Roman" w:hAnsi="Times New Roman" w:cs="Times New Roman"/>
                <w:sz w:val="26"/>
                <w:szCs w:val="26"/>
                <w:lang w:eastAsia="ru-RU"/>
              </w:rPr>
              <w:t xml:space="preserve">Альтернатива 2. Сумарні витрати для суб’єктів господарювання малого підприємництва згідно з додатком 4 до Методики проведення аналізу впливу регуляторного </w:t>
            </w:r>
            <w:proofErr w:type="spellStart"/>
            <w:r w:rsidRPr="008C1ABB">
              <w:rPr>
                <w:rFonts w:ascii="Times New Roman" w:eastAsia="Times New Roman" w:hAnsi="Times New Roman" w:cs="Times New Roman"/>
                <w:sz w:val="26"/>
                <w:szCs w:val="26"/>
                <w:lang w:eastAsia="ru-RU"/>
              </w:rPr>
              <w:t>акта</w:t>
            </w:r>
            <w:proofErr w:type="spellEnd"/>
            <w:r w:rsidRPr="008C1ABB">
              <w:rPr>
                <w:rFonts w:ascii="Times New Roman" w:eastAsia="Times New Roman" w:hAnsi="Times New Roman" w:cs="Times New Roman"/>
                <w:sz w:val="26"/>
                <w:szCs w:val="26"/>
                <w:lang w:eastAsia="ru-RU"/>
              </w:rPr>
              <w:t xml:space="preserve"> (</w:t>
            </w:r>
            <w:r w:rsidRPr="009D45DB">
              <w:rPr>
                <w:rFonts w:ascii="Times New Roman" w:eastAsia="Times New Roman" w:hAnsi="Times New Roman" w:cs="Times New Roman"/>
                <w:sz w:val="26"/>
                <w:szCs w:val="26"/>
                <w:lang w:eastAsia="ru-RU"/>
              </w:rPr>
              <w:t>Тест малого підприємництва)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1" w:lineRule="atLeast"/>
              <w:ind w:left="-1" w:hanging="1"/>
              <w:jc w:val="center"/>
              <w:textAlignment w:val="top"/>
              <w:outlineLvl w:val="0"/>
              <w:rPr>
                <w:rFonts w:ascii="Times New Roman" w:eastAsia="Times New Roman" w:hAnsi="Times New Roman" w:cs="Times New Roman"/>
                <w:sz w:val="26"/>
                <w:szCs w:val="26"/>
                <w:lang w:eastAsia="ru-RU"/>
              </w:rPr>
            </w:pPr>
            <w:r w:rsidRPr="008C1ABB">
              <w:rPr>
                <w:rFonts w:ascii="Times New Roman" w:eastAsia="Times New Roman" w:hAnsi="Times New Roman" w:cs="Times New Roman"/>
                <w:sz w:val="26"/>
                <w:szCs w:val="26"/>
                <w:lang w:eastAsia="ru-RU"/>
              </w:rPr>
              <w:t>687,82</w:t>
            </w:r>
          </w:p>
        </w:tc>
      </w:tr>
    </w:tbl>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bookmarkStart w:id="2" w:name="_heading=h.1fob9te"/>
      <w:bookmarkEnd w:id="2"/>
      <w:r w:rsidRPr="008C1ABB">
        <w:rPr>
          <w:rFonts w:ascii="Times New Roman" w:eastAsia="Times New Roman" w:hAnsi="Times New Roman" w:cs="Times New Roman"/>
          <w:b/>
          <w:color w:val="000000"/>
          <w:sz w:val="28"/>
          <w:szCs w:val="28"/>
          <w:lang w:eastAsia="ru-RU"/>
        </w:rPr>
        <w:lastRenderedPageBreak/>
        <w:t>IV. Вибір найбільш оптимального альтернативного способу досягнення цілей</w:t>
      </w:r>
    </w:p>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color w:val="000000"/>
          <w:sz w:val="28"/>
          <w:szCs w:val="28"/>
          <w:lang w:eastAsia="ru-RU"/>
        </w:rPr>
      </w:pPr>
    </w:p>
    <w:tbl>
      <w:tblPr>
        <w:tblW w:w="9651" w:type="dxa"/>
        <w:tblInd w:w="-12" w:type="dxa"/>
        <w:tblLayout w:type="fixed"/>
        <w:tblLook w:val="0000" w:firstRow="0" w:lastRow="0" w:firstColumn="0" w:lastColumn="0" w:noHBand="0" w:noVBand="0"/>
      </w:tblPr>
      <w:tblGrid>
        <w:gridCol w:w="2280"/>
        <w:gridCol w:w="2410"/>
        <w:gridCol w:w="4961"/>
      </w:tblGrid>
      <w:tr w:rsidR="008C1ABB" w:rsidRPr="008C1ABB" w:rsidTr="009D45DB">
        <w:trPr>
          <w:trHeight w:val="300"/>
        </w:trPr>
        <w:tc>
          <w:tcPr>
            <w:tcW w:w="2280" w:type="dxa"/>
            <w:tcBorders>
              <w:top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4"/>
                <w:szCs w:val="24"/>
                <w:lang w:eastAsia="ru-RU"/>
              </w:rPr>
              <w:t>Рейтинг результативності (досягнення цілей під час вирішення проблеми)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after="0" w:line="240" w:lineRule="auto"/>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4"/>
                <w:szCs w:val="24"/>
                <w:lang w:eastAsia="ru-RU"/>
              </w:rPr>
              <w:t>Бал результативності (за чотирибальною системою оцінки)</w:t>
            </w:r>
          </w:p>
        </w:tc>
        <w:tc>
          <w:tcPr>
            <w:tcW w:w="4961" w:type="dxa"/>
            <w:tcBorders>
              <w:top w:val="single" w:sz="4" w:space="0" w:color="000000"/>
              <w:left w:val="single" w:sz="4" w:space="0" w:color="000000"/>
              <w:bottom w:val="single" w:sz="4" w:space="0" w:color="000000"/>
            </w:tcBorders>
            <w:shd w:val="clear" w:color="auto" w:fill="auto"/>
          </w:tcPr>
          <w:p w:rsidR="008C1ABB" w:rsidRPr="008C1ABB" w:rsidRDefault="008C1ABB" w:rsidP="008C1ABB">
            <w:pPr>
              <w:widowControl w:val="0"/>
              <w:suppressAutoHyphens/>
              <w:spacing w:after="0" w:line="240" w:lineRule="auto"/>
              <w:ind w:hanging="2"/>
              <w:jc w:val="center"/>
              <w:textAlignment w:val="top"/>
              <w:outlineLvl w:val="0"/>
              <w:rPr>
                <w:rFonts w:ascii="Times New Roman" w:eastAsia="Times New Roman" w:hAnsi="Times New Roman" w:cs="Times New Roman"/>
                <w:b/>
                <w:color w:val="000000"/>
                <w:sz w:val="24"/>
                <w:szCs w:val="24"/>
                <w:lang w:eastAsia="ru-RU"/>
              </w:rPr>
            </w:pPr>
            <w:r w:rsidRPr="008C1ABB">
              <w:rPr>
                <w:rFonts w:ascii="Times New Roman" w:eastAsia="Times New Roman" w:hAnsi="Times New Roman" w:cs="Times New Roman"/>
                <w:b/>
                <w:color w:val="000000"/>
                <w:sz w:val="24"/>
                <w:szCs w:val="24"/>
                <w:lang w:eastAsia="ru-RU"/>
              </w:rPr>
              <w:t xml:space="preserve">Коментарі щодо присвоєння </w:t>
            </w:r>
          </w:p>
          <w:p w:rsidR="008C1ABB" w:rsidRPr="008C1ABB" w:rsidRDefault="008C1ABB" w:rsidP="008C1ABB">
            <w:pPr>
              <w:widowControl w:val="0"/>
              <w:suppressAutoHyphens/>
              <w:spacing w:after="0" w:line="240" w:lineRule="auto"/>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4"/>
                <w:szCs w:val="24"/>
                <w:lang w:eastAsia="ru-RU"/>
              </w:rPr>
              <w:t xml:space="preserve">відповідного </w:t>
            </w:r>
            <w:proofErr w:type="spellStart"/>
            <w:r w:rsidRPr="008C1ABB">
              <w:rPr>
                <w:rFonts w:ascii="Times New Roman" w:eastAsia="Times New Roman" w:hAnsi="Times New Roman" w:cs="Times New Roman"/>
                <w:b/>
                <w:color w:val="000000"/>
                <w:sz w:val="24"/>
                <w:szCs w:val="24"/>
                <w:lang w:eastAsia="ru-RU"/>
              </w:rPr>
              <w:t>бала</w:t>
            </w:r>
            <w:proofErr w:type="spellEnd"/>
          </w:p>
        </w:tc>
      </w:tr>
      <w:tr w:rsidR="008C1ABB" w:rsidRPr="008C1ABB" w:rsidTr="009D45DB">
        <w:trPr>
          <w:trHeight w:val="289"/>
        </w:trPr>
        <w:tc>
          <w:tcPr>
            <w:tcW w:w="2280" w:type="dxa"/>
            <w:tcBorders>
              <w:top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i/>
                <w:color w:val="000000"/>
                <w:sz w:val="24"/>
                <w:szCs w:val="24"/>
                <w:lang w:eastAsia="ru-RU"/>
              </w:rPr>
              <w:t xml:space="preserve">Альтернатива 1. </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 xml:space="preserve">Прийняття запропонованого регуляторного </w:t>
            </w:r>
            <w:proofErr w:type="spellStart"/>
            <w:r w:rsidRPr="008C1ABB">
              <w:rPr>
                <w:rFonts w:ascii="Times New Roman" w:eastAsia="Times New Roman" w:hAnsi="Times New Roman" w:cs="Times New Roman"/>
                <w:color w:val="000000"/>
                <w:sz w:val="24"/>
                <w:szCs w:val="24"/>
                <w:lang w:eastAsia="ru-RU"/>
              </w:rPr>
              <w:t>акта</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ABB" w:rsidRPr="008C1ABB" w:rsidRDefault="008C1ABB" w:rsidP="008C1ABB">
            <w:pPr>
              <w:widowControl w:val="0"/>
              <w:suppressAutoHyphens/>
              <w:spacing w:after="0" w:line="240" w:lineRule="auto"/>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4</w:t>
            </w:r>
          </w:p>
        </w:tc>
        <w:tc>
          <w:tcPr>
            <w:tcW w:w="4961" w:type="dxa"/>
            <w:tcBorders>
              <w:top w:val="single" w:sz="4" w:space="0" w:color="000000"/>
              <w:left w:val="single" w:sz="4" w:space="0" w:color="000000"/>
              <w:bottom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 xml:space="preserve">Прийняття запропонованого регуляторного </w:t>
            </w:r>
            <w:proofErr w:type="spellStart"/>
            <w:r w:rsidRPr="008C1ABB">
              <w:rPr>
                <w:rFonts w:ascii="Times New Roman" w:eastAsia="Times New Roman" w:hAnsi="Times New Roman" w:cs="Times New Roman"/>
                <w:color w:val="000000"/>
                <w:sz w:val="24"/>
                <w:szCs w:val="24"/>
                <w:lang w:eastAsia="ru-RU"/>
              </w:rPr>
              <w:t>акта</w:t>
            </w:r>
            <w:proofErr w:type="spellEnd"/>
            <w:r w:rsidRPr="008C1ABB">
              <w:rPr>
                <w:rFonts w:ascii="Times New Roman" w:eastAsia="Times New Roman" w:hAnsi="Times New Roman" w:cs="Times New Roman"/>
                <w:color w:val="000000"/>
                <w:sz w:val="24"/>
                <w:szCs w:val="24"/>
                <w:lang w:eastAsia="ru-RU"/>
              </w:rPr>
              <w:t xml:space="preserve"> є найбільш обґрунтованим та ефективним способом досягнення зазначеної цілі</w:t>
            </w:r>
          </w:p>
        </w:tc>
      </w:tr>
      <w:tr w:rsidR="008C1ABB" w:rsidRPr="008C1ABB" w:rsidTr="009D45DB">
        <w:trPr>
          <w:trHeight w:val="450"/>
        </w:trPr>
        <w:tc>
          <w:tcPr>
            <w:tcW w:w="2280" w:type="dxa"/>
            <w:tcBorders>
              <w:top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4"/>
                <w:szCs w:val="24"/>
                <w:lang w:eastAsia="ru-RU"/>
              </w:rPr>
              <w:t xml:space="preserve">Альтернатива 2. </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Не приймати запропонований регуляторний акт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ABB" w:rsidRPr="008C1ABB" w:rsidRDefault="008C1ABB" w:rsidP="008C1ABB">
            <w:pPr>
              <w:widowControl w:val="0"/>
              <w:suppressAutoHyphens/>
              <w:spacing w:after="0" w:line="240" w:lineRule="auto"/>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1</w:t>
            </w:r>
          </w:p>
        </w:tc>
        <w:tc>
          <w:tcPr>
            <w:tcW w:w="4961" w:type="dxa"/>
            <w:tcBorders>
              <w:top w:val="single" w:sz="4" w:space="0" w:color="000000"/>
              <w:left w:val="single" w:sz="4" w:space="0" w:color="000000"/>
              <w:bottom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highlight w:val="white"/>
                <w:lang w:eastAsia="ru-RU"/>
              </w:rPr>
              <w:t xml:space="preserve">Відмова від прийняття регуляторного </w:t>
            </w:r>
            <w:proofErr w:type="spellStart"/>
            <w:r w:rsidRPr="008C1ABB">
              <w:rPr>
                <w:rFonts w:ascii="Times New Roman" w:eastAsia="Times New Roman" w:hAnsi="Times New Roman" w:cs="Times New Roman"/>
                <w:color w:val="000000"/>
                <w:sz w:val="24"/>
                <w:szCs w:val="24"/>
                <w:highlight w:val="white"/>
                <w:lang w:eastAsia="ru-RU"/>
              </w:rPr>
              <w:t>акта</w:t>
            </w:r>
            <w:proofErr w:type="spellEnd"/>
            <w:r w:rsidRPr="008C1ABB">
              <w:rPr>
                <w:rFonts w:ascii="Times New Roman" w:eastAsia="Times New Roman" w:hAnsi="Times New Roman" w:cs="Times New Roman"/>
                <w:color w:val="000000"/>
                <w:sz w:val="24"/>
                <w:szCs w:val="24"/>
                <w:highlight w:val="white"/>
                <w:lang w:eastAsia="ru-RU"/>
              </w:rPr>
              <w:t xml:space="preserve"> призведе до неможливості </w:t>
            </w:r>
            <w:r w:rsidRPr="008C1ABB">
              <w:rPr>
                <w:rFonts w:ascii="Times New Roman" w:eastAsia="Times New Roman" w:hAnsi="Times New Roman" w:cs="Times New Roman"/>
                <w:color w:val="000000"/>
                <w:sz w:val="24"/>
                <w:szCs w:val="24"/>
                <w:lang w:eastAsia="ru-RU"/>
              </w:rPr>
              <w:t>суб’єктам господарювання (замовникам будівництва) реалізувати право, визначене Законом</w:t>
            </w:r>
          </w:p>
        </w:tc>
      </w:tr>
    </w:tbl>
    <w:p w:rsidR="008C1ABB" w:rsidRPr="008C1ABB" w:rsidRDefault="008C1ABB" w:rsidP="008C1ABB">
      <w:pPr>
        <w:widowControl w:val="0"/>
        <w:suppressAutoHyphens/>
        <w:spacing w:after="0" w:line="240" w:lineRule="auto"/>
        <w:ind w:left="1" w:hanging="3"/>
        <w:jc w:val="both"/>
        <w:textAlignment w:val="top"/>
        <w:outlineLvl w:val="0"/>
        <w:rPr>
          <w:rFonts w:ascii="Times New Roman" w:eastAsia="Times New Roman" w:hAnsi="Times New Roman" w:cs="Times New Roman"/>
          <w:sz w:val="24"/>
          <w:szCs w:val="24"/>
          <w:vertAlign w:val="subscript"/>
          <w:lang w:eastAsia="ru-RU"/>
        </w:rPr>
      </w:pPr>
    </w:p>
    <w:tbl>
      <w:tblPr>
        <w:tblW w:w="9651" w:type="dxa"/>
        <w:tblInd w:w="-12" w:type="dxa"/>
        <w:tblLayout w:type="fixed"/>
        <w:tblLook w:val="0000" w:firstRow="0" w:lastRow="0" w:firstColumn="0" w:lastColumn="0" w:noHBand="0" w:noVBand="0"/>
      </w:tblPr>
      <w:tblGrid>
        <w:gridCol w:w="2280"/>
        <w:gridCol w:w="2552"/>
        <w:gridCol w:w="2266"/>
        <w:gridCol w:w="2553"/>
      </w:tblGrid>
      <w:tr w:rsidR="008C1ABB" w:rsidRPr="008C1ABB" w:rsidTr="009D45DB">
        <w:trPr>
          <w:trHeight w:val="255"/>
        </w:trPr>
        <w:tc>
          <w:tcPr>
            <w:tcW w:w="2280" w:type="dxa"/>
            <w:tcBorders>
              <w:top w:val="single" w:sz="4" w:space="0" w:color="000000"/>
              <w:bottom w:val="single" w:sz="4" w:space="0" w:color="000000"/>
              <w:right w:val="single" w:sz="4" w:space="0" w:color="000000"/>
            </w:tcBorders>
            <w:shd w:val="clear" w:color="auto" w:fill="auto"/>
            <w:vAlign w:val="center"/>
          </w:tcPr>
          <w:p w:rsidR="008C1ABB" w:rsidRPr="008C1ABB" w:rsidRDefault="008C1ABB" w:rsidP="008C1ABB">
            <w:pPr>
              <w:widowControl w:val="0"/>
              <w:suppressAutoHyphens/>
              <w:spacing w:before="120" w:after="120" w:line="240" w:lineRule="auto"/>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4"/>
                <w:szCs w:val="24"/>
                <w:lang w:eastAsia="ru-RU"/>
              </w:rPr>
              <w:t>Рейтинг результативності</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ABB" w:rsidRPr="008C1ABB" w:rsidRDefault="008C1ABB" w:rsidP="008C1ABB">
            <w:pPr>
              <w:widowControl w:val="0"/>
              <w:suppressAutoHyphens/>
              <w:spacing w:before="120" w:after="120" w:line="240" w:lineRule="auto"/>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4"/>
                <w:szCs w:val="24"/>
                <w:lang w:eastAsia="ru-RU"/>
              </w:rPr>
              <w:t>Вигоди (підсумок)</w:t>
            </w:r>
          </w:p>
        </w:tc>
        <w:tc>
          <w:tcPr>
            <w:tcW w:w="22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1ABB" w:rsidRPr="008C1ABB" w:rsidRDefault="008C1ABB" w:rsidP="008C1ABB">
            <w:pPr>
              <w:widowControl w:val="0"/>
              <w:suppressAutoHyphens/>
              <w:spacing w:before="120" w:after="120" w:line="240" w:lineRule="auto"/>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4"/>
                <w:szCs w:val="24"/>
                <w:lang w:eastAsia="ru-RU"/>
              </w:rPr>
              <w:t>Витрати (підсумок)</w:t>
            </w:r>
          </w:p>
        </w:tc>
        <w:tc>
          <w:tcPr>
            <w:tcW w:w="2553" w:type="dxa"/>
            <w:tcBorders>
              <w:top w:val="single" w:sz="4" w:space="0" w:color="000000"/>
              <w:left w:val="single" w:sz="4" w:space="0" w:color="000000"/>
              <w:bottom w:val="single" w:sz="4" w:space="0" w:color="000000"/>
            </w:tcBorders>
            <w:shd w:val="clear" w:color="auto" w:fill="auto"/>
            <w:vAlign w:val="center"/>
          </w:tcPr>
          <w:p w:rsidR="008C1ABB" w:rsidRPr="008C1ABB" w:rsidRDefault="008C1ABB" w:rsidP="008C1ABB">
            <w:pPr>
              <w:widowControl w:val="0"/>
              <w:suppressAutoHyphens/>
              <w:spacing w:before="120" w:after="120" w:line="240" w:lineRule="auto"/>
              <w:ind w:hanging="2"/>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4"/>
                <w:szCs w:val="24"/>
                <w:lang w:eastAsia="ru-RU"/>
              </w:rPr>
              <w:t>Обґрунтування відповідного місця альтернативи у рейтингу</w:t>
            </w:r>
          </w:p>
        </w:tc>
      </w:tr>
      <w:tr w:rsidR="008C1ABB" w:rsidRPr="008C1ABB" w:rsidTr="009D45DB">
        <w:trPr>
          <w:trHeight w:val="315"/>
        </w:trPr>
        <w:tc>
          <w:tcPr>
            <w:tcW w:w="2280" w:type="dxa"/>
            <w:tcBorders>
              <w:top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28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i/>
                <w:color w:val="000000"/>
                <w:sz w:val="24"/>
                <w:szCs w:val="24"/>
                <w:lang w:eastAsia="ru-RU"/>
              </w:rPr>
              <w:t xml:space="preserve">Альтернатива 1. </w:t>
            </w:r>
          </w:p>
          <w:p w:rsidR="008C1ABB" w:rsidRPr="008C1ABB" w:rsidRDefault="008C1ABB" w:rsidP="008C1ABB">
            <w:pPr>
              <w:widowControl w:val="0"/>
              <w:suppressAutoHyphens/>
              <w:spacing w:before="120" w:after="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 xml:space="preserve">Прийняття запропонованого регуляторного </w:t>
            </w:r>
            <w:proofErr w:type="spellStart"/>
            <w:r w:rsidRPr="008C1ABB">
              <w:rPr>
                <w:rFonts w:ascii="Times New Roman" w:eastAsia="Times New Roman" w:hAnsi="Times New Roman" w:cs="Times New Roman"/>
                <w:color w:val="000000"/>
                <w:sz w:val="24"/>
                <w:szCs w:val="24"/>
                <w:lang w:eastAsia="ru-RU"/>
              </w:rPr>
              <w:t>акта</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lang w:eastAsia="ru-RU"/>
              </w:rPr>
              <w:t>Для держави:</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lang w:eastAsia="ru-RU"/>
              </w:rPr>
              <w:t>-</w:t>
            </w:r>
            <w:r w:rsidRPr="008C1ABB">
              <w:rPr>
                <w:rFonts w:ascii="Times New Roman" w:eastAsia="Times New Roman" w:hAnsi="Times New Roman" w:cs="Times New Roman"/>
                <w:sz w:val="24"/>
                <w:szCs w:val="24"/>
                <w:lang w:eastAsia="ru-RU"/>
              </w:rPr>
              <w:t xml:space="preserve"> забезпечення </w:t>
            </w:r>
            <w:r w:rsidRPr="008C1ABB">
              <w:rPr>
                <w:rFonts w:ascii="Times New Roman" w:eastAsia="Times New Roman" w:hAnsi="Times New Roman" w:cs="Times New Roman"/>
                <w:color w:val="000000"/>
                <w:lang w:eastAsia="ru-RU"/>
              </w:rPr>
              <w:t>реалізації вимог Закону</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lang w:eastAsia="ru-RU"/>
              </w:rPr>
              <w:t>-</w:t>
            </w:r>
            <w:r w:rsidRPr="008C1ABB">
              <w:rPr>
                <w:rFonts w:ascii="Times New Roman" w:eastAsia="Times New Roman" w:hAnsi="Times New Roman" w:cs="Times New Roman"/>
                <w:sz w:val="24"/>
                <w:szCs w:val="24"/>
                <w:lang w:eastAsia="ru-RU"/>
              </w:rPr>
              <w:t xml:space="preserve"> забезпечення прозорого та ефективного регулювання</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lang w:eastAsia="ru-RU"/>
              </w:rPr>
              <w:t>Для громадян:</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lang w:eastAsia="ru-RU"/>
              </w:rPr>
              <w:t>-</w:t>
            </w:r>
            <w:r w:rsidRPr="008C1ABB">
              <w:rPr>
                <w:rFonts w:ascii="Times New Roman" w:eastAsia="Times New Roman" w:hAnsi="Times New Roman" w:cs="Times New Roman"/>
                <w:sz w:val="24"/>
                <w:szCs w:val="24"/>
                <w:lang w:eastAsia="ru-RU"/>
              </w:rPr>
              <w:t xml:space="preserve"> створення умов для неможливості здійснення подвійних продажів об’єктів будівництва</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lang w:eastAsia="ru-RU"/>
              </w:rPr>
              <w:t>покращення соціального забезпечення</w:t>
            </w:r>
          </w:p>
          <w:p w:rsidR="008C1ABB" w:rsidRPr="008C1ABB" w:rsidRDefault="008C1ABB" w:rsidP="008C1ABB">
            <w:pPr>
              <w:widowControl w:val="0"/>
              <w:suppressAutoHyphens/>
              <w:spacing w:before="120" w:after="120" w:line="240" w:lineRule="auto"/>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lang w:eastAsia="ru-RU"/>
              </w:rPr>
              <w:t>Для суб’єктів господарювання:</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color w:val="000000"/>
                <w:lang w:eastAsia="ru-RU"/>
              </w:rPr>
            </w:pPr>
            <w:r w:rsidRPr="008C1ABB">
              <w:rPr>
                <w:rFonts w:ascii="Times New Roman" w:eastAsia="Times New Roman" w:hAnsi="Times New Roman" w:cs="Times New Roman"/>
                <w:color w:val="000000"/>
                <w:lang w:eastAsia="ru-RU"/>
              </w:rPr>
              <w:t>-</w:t>
            </w:r>
            <w:r w:rsidRPr="008C1ABB">
              <w:rPr>
                <w:rFonts w:ascii="Times New Roman" w:eastAsia="Times New Roman" w:hAnsi="Times New Roman" w:cs="Times New Roman"/>
                <w:sz w:val="24"/>
                <w:szCs w:val="24"/>
                <w:lang w:eastAsia="ru-RU"/>
              </w:rPr>
              <w:t xml:space="preserve"> </w:t>
            </w:r>
            <w:r w:rsidRPr="008C1ABB">
              <w:rPr>
                <w:rFonts w:ascii="Times New Roman" w:eastAsia="Times New Roman" w:hAnsi="Times New Roman" w:cs="Times New Roman"/>
                <w:color w:val="000000"/>
                <w:lang w:eastAsia="ru-RU"/>
              </w:rPr>
              <w:t xml:space="preserve">отримання механізму реалізації визначеного Законом права на прийняття рішення про </w:t>
            </w:r>
            <w:r w:rsidRPr="008C1ABB">
              <w:rPr>
                <w:rFonts w:ascii="Times New Roman" w:eastAsia="Times New Roman" w:hAnsi="Times New Roman" w:cs="Times New Roman"/>
                <w:color w:val="000000"/>
                <w:lang w:eastAsia="ru-RU"/>
              </w:rPr>
              <w:lastRenderedPageBreak/>
              <w:t>поширення дії Закону</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lang w:eastAsia="ru-RU"/>
              </w:rPr>
              <w:t>-зрозуміле, чітке та прозоре регулювання.</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lang w:eastAsia="ru-RU"/>
              </w:rPr>
              <w:t>-можливе збільшення прибутку за рахунок можливих інвестицій</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color w:val="000000"/>
                <w:lang w:eastAsia="ru-RU"/>
              </w:rPr>
            </w:pP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lang w:eastAsia="ru-RU"/>
              </w:rPr>
              <w:lastRenderedPageBreak/>
              <w:t>Для держави: В межах коштів, передбачених у Державному бюджеті України у відповідному році на фінансування органів влади.</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lang w:eastAsia="ru-RU"/>
              </w:rPr>
              <w:t>Для громадян: не передбачено.</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color w:val="000000"/>
                <w:lang w:eastAsia="ru-RU"/>
              </w:rPr>
            </w:pP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color w:val="000000"/>
                <w:lang w:eastAsia="ru-RU"/>
              </w:rPr>
            </w:pP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color w:val="000000"/>
                <w:lang w:eastAsia="ru-RU"/>
              </w:rPr>
            </w:pP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color w:val="000000"/>
                <w:lang w:eastAsia="ru-RU"/>
              </w:rPr>
            </w:pP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color w:val="000000"/>
                <w:lang w:eastAsia="ru-RU"/>
              </w:rPr>
            </w:pP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lang w:eastAsia="ru-RU"/>
              </w:rPr>
              <w:t>Для суб’єктів господарювання:</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lang w:eastAsia="ru-RU"/>
              </w:rPr>
              <w:t xml:space="preserve">Прогнозуються витрати, виключно у перший рік регулювання, на ознайомлення з </w:t>
            </w:r>
            <w:r w:rsidRPr="008C1ABB">
              <w:rPr>
                <w:rFonts w:ascii="Times New Roman" w:eastAsia="Times New Roman" w:hAnsi="Times New Roman" w:cs="Times New Roman"/>
                <w:color w:val="000000"/>
                <w:lang w:eastAsia="ru-RU"/>
              </w:rPr>
              <w:lastRenderedPageBreak/>
              <w:t>новим регулюванням, а саме: 40, 46 грн. та часові витрати на реалізацію процедури прийняття рішення – не більше 35 робочих днів</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lang w:eastAsia="ru-RU"/>
              </w:rPr>
              <w:t>Інші додаткові адміністративні витрати відсутні</w:t>
            </w:r>
          </w:p>
        </w:tc>
        <w:tc>
          <w:tcPr>
            <w:tcW w:w="2553" w:type="dxa"/>
            <w:tcBorders>
              <w:top w:val="single" w:sz="4" w:space="0" w:color="000000"/>
              <w:left w:val="single" w:sz="4" w:space="0" w:color="000000"/>
              <w:bottom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lastRenderedPageBreak/>
              <w:t xml:space="preserve">У разі прийняття </w:t>
            </w:r>
            <w:proofErr w:type="spellStart"/>
            <w:r w:rsidRPr="008C1ABB">
              <w:rPr>
                <w:rFonts w:ascii="Times New Roman" w:eastAsia="Times New Roman" w:hAnsi="Times New Roman" w:cs="Times New Roman"/>
                <w:color w:val="000000"/>
                <w:sz w:val="24"/>
                <w:szCs w:val="24"/>
                <w:lang w:eastAsia="ru-RU"/>
              </w:rPr>
              <w:t>акта</w:t>
            </w:r>
            <w:proofErr w:type="spellEnd"/>
            <w:r w:rsidRPr="008C1ABB">
              <w:rPr>
                <w:rFonts w:ascii="Times New Roman" w:eastAsia="Times New Roman" w:hAnsi="Times New Roman" w:cs="Times New Roman"/>
                <w:color w:val="000000"/>
                <w:sz w:val="24"/>
                <w:szCs w:val="24"/>
                <w:lang w:eastAsia="ru-RU"/>
              </w:rPr>
              <w:t xml:space="preserve"> задекларовані цілі будуть досягнуті повною мірою, що повністю забезпечить вирішення проблем.</w:t>
            </w:r>
          </w:p>
        </w:tc>
      </w:tr>
      <w:tr w:rsidR="008C1ABB" w:rsidRPr="008C1ABB" w:rsidTr="009D45DB">
        <w:trPr>
          <w:trHeight w:val="150"/>
        </w:trPr>
        <w:tc>
          <w:tcPr>
            <w:tcW w:w="2280" w:type="dxa"/>
            <w:tcBorders>
              <w:top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i/>
                <w:color w:val="000000"/>
                <w:sz w:val="24"/>
                <w:szCs w:val="24"/>
                <w:lang w:eastAsia="ru-RU"/>
              </w:rPr>
              <w:lastRenderedPageBreak/>
              <w:t>Альтернатива 2.</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Не приймати запропонований регуляторний акт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Для держави: відсутні.</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color w:val="000000"/>
                <w:sz w:val="20"/>
                <w:szCs w:val="24"/>
                <w:lang w:eastAsia="ru-RU"/>
              </w:rPr>
            </w:pP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Для громадян: без змін.</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color w:val="000000"/>
                <w:sz w:val="20"/>
                <w:szCs w:val="24"/>
                <w:lang w:eastAsia="ru-RU"/>
              </w:rPr>
            </w:pP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Для суб’єктів господарювання: відсутні.</w:t>
            </w:r>
          </w:p>
        </w:tc>
        <w:tc>
          <w:tcPr>
            <w:tcW w:w="2266" w:type="dxa"/>
            <w:tcBorders>
              <w:top w:val="single" w:sz="4" w:space="0" w:color="000000"/>
              <w:left w:val="single" w:sz="4" w:space="0" w:color="000000"/>
              <w:bottom w:val="single" w:sz="4" w:space="0" w:color="000000"/>
              <w:right w:val="single" w:sz="4" w:space="0" w:color="000000"/>
            </w:tcBorders>
            <w:shd w:val="clear" w:color="auto" w:fill="auto"/>
          </w:tcPr>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color w:val="000000"/>
                <w:sz w:val="24"/>
                <w:szCs w:val="24"/>
                <w:lang w:eastAsia="ru-RU"/>
              </w:rPr>
            </w:pPr>
            <w:r w:rsidRPr="008C1ABB">
              <w:rPr>
                <w:rFonts w:ascii="Times New Roman" w:eastAsia="Times New Roman" w:hAnsi="Times New Roman" w:cs="Times New Roman"/>
                <w:color w:val="000000"/>
                <w:sz w:val="24"/>
                <w:szCs w:val="24"/>
                <w:lang w:eastAsia="ru-RU"/>
              </w:rPr>
              <w:t xml:space="preserve">Для держави: -можливе зменшення надходження коштів до державного бюджету </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Для громадян – додаткові витрати відсутні.</w:t>
            </w:r>
          </w:p>
          <w:p w:rsidR="008C1ABB" w:rsidRPr="008C1ABB" w:rsidRDefault="008C1ABB" w:rsidP="008C1ABB">
            <w:pPr>
              <w:widowControl w:val="0"/>
              <w:suppressAutoHyphens/>
              <w:spacing w:before="120" w:after="120" w:line="240" w:lineRule="auto"/>
              <w:ind w:hanging="2"/>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Для суб’єктів господарювання: можливе зменшення фінансування від інвесторів у об’єкт будівництва</w:t>
            </w:r>
          </w:p>
        </w:tc>
        <w:tc>
          <w:tcPr>
            <w:tcW w:w="2553" w:type="dxa"/>
            <w:tcBorders>
              <w:top w:val="single" w:sz="4" w:space="0" w:color="000000"/>
              <w:left w:val="single" w:sz="4" w:space="0" w:color="000000"/>
              <w:bottom w:val="single" w:sz="4" w:space="0" w:color="000000"/>
            </w:tcBorders>
            <w:shd w:val="clear" w:color="auto" w:fill="auto"/>
          </w:tcPr>
          <w:p w:rsidR="008C1ABB" w:rsidRPr="008C1ABB" w:rsidRDefault="008C1ABB" w:rsidP="008C1ABB">
            <w:pPr>
              <w:widowControl w:val="0"/>
              <w:suppressAutoHyphens/>
              <w:spacing w:before="120" w:after="120" w:line="240" w:lineRule="auto"/>
              <w:ind w:hanging="2"/>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4"/>
                <w:szCs w:val="24"/>
                <w:lang w:eastAsia="ru-RU"/>
              </w:rPr>
              <w:t>У разі залишення наявної ситуації без змін проблеми продовжуватимуть існувати, що не забезпечить досягнення зазначених цілей.</w:t>
            </w:r>
          </w:p>
        </w:tc>
      </w:tr>
    </w:tbl>
    <w:p w:rsidR="008C1ABB" w:rsidRDefault="008C1ABB" w:rsidP="008C1ABB">
      <w:pPr>
        <w:widowControl w:val="0"/>
        <w:suppressAutoHyphens/>
        <w:spacing w:after="0" w:line="240" w:lineRule="auto"/>
        <w:ind w:left="1" w:hanging="3"/>
        <w:jc w:val="both"/>
        <w:textAlignment w:val="top"/>
        <w:outlineLvl w:val="0"/>
        <w:rPr>
          <w:rFonts w:ascii="Times New Roman" w:eastAsia="Times New Roman" w:hAnsi="Times New Roman" w:cs="Times New Roman"/>
          <w:color w:val="000000"/>
          <w:sz w:val="28"/>
          <w:szCs w:val="28"/>
          <w:lang w:eastAsia="ru-RU"/>
        </w:rPr>
      </w:pPr>
    </w:p>
    <w:p w:rsidR="008C1ABB" w:rsidRPr="008C1ABB" w:rsidRDefault="008C1ABB" w:rsidP="008C1ABB">
      <w:pPr>
        <w:shd w:val="clear" w:color="auto" w:fill="FFFFFF"/>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8"/>
          <w:szCs w:val="28"/>
          <w:lang w:eastAsia="ru-RU"/>
        </w:rPr>
        <w:t>V. Механізми та заходи, які забезпечать розв’язання визначеної проблеми</w:t>
      </w:r>
    </w:p>
    <w:p w:rsidR="008C1ABB" w:rsidRPr="008C1ABB" w:rsidRDefault="008C1ABB" w:rsidP="008C1ABB">
      <w:pPr>
        <w:shd w:val="clear" w:color="auto" w:fill="FFFFFF"/>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Основним механізмом у розв’язанні проблеми, визначеної у Розділі І цього аналізу регуляторного впливу, передбачається забезпечення нормативно-правового регулювання в частині визначення особливостей та порядку прийняття замовником рішення про поширення дії Закону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право на виконання будівельних робіт щодо яких набуто до набрання чинності Законом, у тому числі визначення</w:t>
      </w:r>
      <w:r w:rsidRPr="008C1ABB">
        <w:rPr>
          <w:rFonts w:ascii="Times New Roman" w:eastAsia="Times New Roman" w:hAnsi="Times New Roman" w:cs="Times New Roman"/>
          <w:color w:val="000000"/>
          <w:sz w:val="28"/>
          <w:szCs w:val="28"/>
          <w:highlight w:val="white"/>
          <w:lang w:eastAsia="ru-RU"/>
        </w:rPr>
        <w:t>:</w:t>
      </w:r>
    </w:p>
    <w:p w:rsidR="008C1ABB" w:rsidRPr="008C1ABB" w:rsidRDefault="008C1ABB" w:rsidP="008C1ABB">
      <w:pPr>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highlight w:val="white"/>
          <w:lang w:eastAsia="ru-RU"/>
        </w:rPr>
        <w:t>умов, яким має відповідати суб’єкт господарювання (замовник будівництва) для прийняти рішення про поширення дії Закону;</w:t>
      </w:r>
    </w:p>
    <w:p w:rsidR="008C1ABB" w:rsidRPr="008C1ABB" w:rsidRDefault="008C1ABB" w:rsidP="008C1ABB">
      <w:pPr>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highlight w:val="white"/>
          <w:lang w:eastAsia="ru-RU"/>
        </w:rPr>
        <w:t>процедури актуалізації відомостей (даних) в Єдиній державній електронній системи у сфері будівництва (далі - електронна система);</w:t>
      </w:r>
    </w:p>
    <w:p w:rsidR="008C1ABB" w:rsidRPr="008C1ABB" w:rsidRDefault="008C1ABB" w:rsidP="008C1ABB">
      <w:pPr>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highlight w:val="white"/>
          <w:lang w:eastAsia="ru-RU"/>
        </w:rPr>
        <w:t xml:space="preserve">процедури верифікації відомостей про фонди фінансування будівництва, фонди операцій з нерухомістю, інститути спільного інвестування, юридичних осіб, які здійснювали залучення коштів шляхом відчуження майнових прав, </w:t>
      </w:r>
      <w:r w:rsidRPr="008C1ABB">
        <w:rPr>
          <w:rFonts w:ascii="Times New Roman" w:eastAsia="Times New Roman" w:hAnsi="Times New Roman" w:cs="Times New Roman"/>
          <w:color w:val="000000"/>
          <w:sz w:val="28"/>
          <w:szCs w:val="28"/>
          <w:highlight w:val="white"/>
          <w:lang w:eastAsia="ru-RU"/>
        </w:rPr>
        <w:lastRenderedPageBreak/>
        <w:t>емітентів цільових корпоративних облігацій, виконання зобов’язань за якими здійснюється шляхом передачі об’єкта (частини об’єкта) житлового будівництва, через які здійснювалось залучення коштів від фізичних та юридичних осіб,</w:t>
      </w:r>
    </w:p>
    <w:p w:rsidR="008C1ABB" w:rsidRPr="008C1ABB" w:rsidRDefault="008C1ABB" w:rsidP="008C1ABB">
      <w:pPr>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highlight w:val="white"/>
          <w:lang w:eastAsia="ru-RU"/>
        </w:rPr>
        <w:t>процедури верифікації відомостей (даних) про осіб та про укладені з ними правочини, які передбачають  право на отримання об’єкта будівництва або його складових частин у власність після прийняття в експлуатацію закінченого будівництвом об’єкта,</w:t>
      </w:r>
    </w:p>
    <w:p w:rsidR="008C1ABB" w:rsidRPr="008C1ABB" w:rsidRDefault="008C1ABB" w:rsidP="008C1ABB">
      <w:pPr>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highlight w:val="white"/>
          <w:lang w:eastAsia="ru-RU"/>
        </w:rPr>
        <w:t xml:space="preserve">отримання банківської гарантій на користь осіб, які відповідно до укладених (до набрання чинності та після набрання чинності цим регуляторним актом) правочинів набувають право на отримання об’єкта будівництва або його складових частин у власність після прийняття в експлуатацію закінченого будівництвом об’єкта, щодо відсутності прав третіх осіб на такі об’єкти - для юридичних осіб, які здійснювали залучення коштів шляхом відчуження майнових прав а також визначення замовником будівництва переліку майбутніх об’єктів нерухомості, які складатимуть гарантійну частку (крім випадків якщо залучення коштів для фінансування (інвестування) будівництва об'єкта здійснюється через фонди фінансування будівництва). </w:t>
      </w:r>
    </w:p>
    <w:p w:rsidR="008C1ABB" w:rsidRPr="008C1ABB" w:rsidRDefault="008C1ABB" w:rsidP="008C1ABB">
      <w:pPr>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highlight w:val="white"/>
          <w:lang w:eastAsia="ru-RU"/>
        </w:rPr>
        <w:t>прийняття рішення замовником будівництва яке реалізується через подання заяви про державну реєстрацію права.</w:t>
      </w:r>
    </w:p>
    <w:p w:rsidR="008C1ABB" w:rsidRPr="008C1ABB" w:rsidRDefault="008C1ABB" w:rsidP="008C1ABB">
      <w:pPr>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Організаційні заходи для впровадження регулювання</w:t>
      </w:r>
    </w:p>
    <w:p w:rsidR="008C1ABB" w:rsidRPr="008C1ABB" w:rsidRDefault="008C1ABB" w:rsidP="008C1ABB">
      <w:pPr>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Прийняття та оприлюднення регуляторного акту у встановленому порядку забезпечить доведення їх вимог до відома суб’єктів господарювання,  громадян та органів державної влади.</w:t>
      </w:r>
    </w:p>
    <w:p w:rsidR="008C1ABB" w:rsidRPr="008C1ABB" w:rsidRDefault="008C1ABB" w:rsidP="008C1ABB">
      <w:pPr>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Прийняття регуляторного </w:t>
      </w:r>
      <w:proofErr w:type="spellStart"/>
      <w:r w:rsidRPr="008C1ABB">
        <w:rPr>
          <w:rFonts w:ascii="Times New Roman" w:eastAsia="Times New Roman" w:hAnsi="Times New Roman" w:cs="Times New Roman"/>
          <w:color w:val="000000"/>
          <w:sz w:val="28"/>
          <w:szCs w:val="28"/>
          <w:lang w:eastAsia="ru-RU"/>
        </w:rPr>
        <w:t>акт</w:t>
      </w:r>
      <w:r w:rsidR="00D232B1">
        <w:rPr>
          <w:rFonts w:ascii="Times New Roman" w:eastAsia="Times New Roman" w:hAnsi="Times New Roman" w:cs="Times New Roman"/>
          <w:color w:val="000000"/>
          <w:sz w:val="28"/>
          <w:szCs w:val="28"/>
          <w:lang w:eastAsia="ru-RU"/>
        </w:rPr>
        <w:t>а</w:t>
      </w:r>
      <w:proofErr w:type="spellEnd"/>
      <w:r w:rsidRPr="008C1ABB">
        <w:rPr>
          <w:rFonts w:ascii="Times New Roman" w:eastAsia="Times New Roman" w:hAnsi="Times New Roman" w:cs="Times New Roman"/>
          <w:color w:val="000000"/>
          <w:sz w:val="28"/>
          <w:szCs w:val="28"/>
          <w:lang w:eastAsia="ru-RU"/>
        </w:rPr>
        <w:t xml:space="preserve"> забезпечує досягнення визначених цілей та сприятиме поліпшенню регуляторного середовища та інвестиційного клімату в Україні. </w:t>
      </w:r>
    </w:p>
    <w:p w:rsidR="008C1ABB" w:rsidRPr="008C1ABB" w:rsidRDefault="008C1ABB" w:rsidP="008C1ABB">
      <w:pPr>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Заходи, які необхідно здійснити суб’єктам господарювання:</w:t>
      </w:r>
    </w:p>
    <w:p w:rsidR="008C1ABB" w:rsidRPr="008C1ABB" w:rsidRDefault="008C1ABB" w:rsidP="008C1ABB">
      <w:pPr>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ознайомитися з новим регулюванням (пошук та опрацювання регуляторного акту в мережі Інтернет) </w:t>
      </w:r>
    </w:p>
    <w:p w:rsidR="008C1ABB" w:rsidRPr="008C1ABB" w:rsidRDefault="008C1ABB" w:rsidP="008C1ABB">
      <w:pPr>
        <w:suppressAutoHyphens/>
        <w:spacing w:after="0" w:line="240" w:lineRule="auto"/>
        <w:ind w:firstLine="566"/>
        <w:jc w:val="both"/>
        <w:textAlignment w:val="top"/>
        <w:outlineLvl w:val="0"/>
        <w:rPr>
          <w:rFonts w:ascii="Times New Roman" w:eastAsia="Times New Roman" w:hAnsi="Times New Roman" w:cs="Times New Roman"/>
          <w:color w:val="000000"/>
          <w:sz w:val="28"/>
          <w:szCs w:val="28"/>
          <w:lang w:eastAsia="ru-RU"/>
        </w:rPr>
      </w:pPr>
      <w:r w:rsidRPr="008C1ABB">
        <w:rPr>
          <w:rFonts w:ascii="Times New Roman" w:eastAsia="Times New Roman" w:hAnsi="Times New Roman" w:cs="Times New Roman"/>
          <w:color w:val="000000"/>
          <w:sz w:val="28"/>
          <w:szCs w:val="28"/>
          <w:lang w:eastAsia="ru-RU"/>
        </w:rPr>
        <w:t>за умови добровільного виявлення бажання щодо прийняття рішення про поширення дії Закону на об’єкти будівництва та їх складові частини, які після прийняття в експлуатацію закінченого будівництвом об’єкта стануть самостійними об’єктами нерухомого майна, право на виконання будівельних робіт щодо яких набуто до набрання чинності Законом, витрати час (не більше 35 робочих днів) на проходження процедур, а саме:</w:t>
      </w:r>
    </w:p>
    <w:p w:rsidR="008C1ABB" w:rsidRPr="008C1ABB" w:rsidRDefault="008C1ABB" w:rsidP="009D45DB">
      <w:pPr>
        <w:numPr>
          <w:ilvl w:val="0"/>
          <w:numId w:val="1"/>
        </w:numPr>
        <w:tabs>
          <w:tab w:val="left" w:pos="993"/>
        </w:tabs>
        <w:suppressAutoHyphens/>
        <w:spacing w:after="0" w:line="240" w:lineRule="auto"/>
        <w:ind w:left="0" w:firstLine="566"/>
        <w:jc w:val="both"/>
        <w:textAlignment w:val="top"/>
        <w:outlineLvl w:val="0"/>
        <w:rPr>
          <w:rFonts w:ascii="Times New Roman" w:eastAsia="Times New Roman" w:hAnsi="Times New Roman" w:cs="Times New Roman"/>
          <w:sz w:val="28"/>
          <w:szCs w:val="28"/>
          <w:lang w:eastAsia="ru-RU"/>
        </w:rPr>
      </w:pPr>
      <w:r w:rsidRPr="008C1ABB">
        <w:rPr>
          <w:rFonts w:ascii="Times New Roman" w:eastAsia="Times New Roman" w:hAnsi="Times New Roman" w:cs="Times New Roman"/>
          <w:sz w:val="28"/>
          <w:szCs w:val="28"/>
          <w:lang w:eastAsia="ru-RU"/>
        </w:rPr>
        <w:t>актуалізація відомостей (даних) в Єдиній державній електронній системі у сфері будівництва про:</w:t>
      </w:r>
    </w:p>
    <w:p w:rsidR="008C1ABB" w:rsidRPr="008C1ABB" w:rsidRDefault="008C1ABB" w:rsidP="008C1ABB">
      <w:pPr>
        <w:suppressAutoHyphens/>
        <w:spacing w:after="0" w:line="240" w:lineRule="auto"/>
        <w:ind w:firstLine="566"/>
        <w:jc w:val="both"/>
        <w:textAlignment w:val="top"/>
        <w:outlineLvl w:val="0"/>
        <w:rPr>
          <w:rFonts w:ascii="Times New Roman" w:eastAsia="Times New Roman" w:hAnsi="Times New Roman" w:cs="Times New Roman"/>
          <w:sz w:val="28"/>
          <w:szCs w:val="28"/>
          <w:lang w:eastAsia="ru-RU"/>
        </w:rPr>
      </w:pPr>
      <w:r w:rsidRPr="008C1ABB">
        <w:rPr>
          <w:rFonts w:ascii="Times New Roman" w:eastAsia="Times New Roman" w:hAnsi="Times New Roman" w:cs="Times New Roman"/>
          <w:sz w:val="28"/>
          <w:szCs w:val="28"/>
          <w:lang w:eastAsia="ru-RU"/>
        </w:rPr>
        <w:t>а) містобудівні умови та обмеження забудови земельної ділянки (далі - містобудівні умови та обмеження) (або зазначення підстави, за якої будівництво об’єктів може здійснюватися за відсутності містобудівних умов та обмежень);</w:t>
      </w:r>
    </w:p>
    <w:p w:rsidR="008C1ABB" w:rsidRPr="008C1ABB" w:rsidRDefault="008C1ABB" w:rsidP="008C1ABB">
      <w:pPr>
        <w:suppressAutoHyphens/>
        <w:spacing w:after="0" w:line="240" w:lineRule="auto"/>
        <w:ind w:firstLine="566"/>
        <w:jc w:val="both"/>
        <w:textAlignment w:val="top"/>
        <w:outlineLvl w:val="0"/>
        <w:rPr>
          <w:rFonts w:ascii="Times New Roman" w:eastAsia="Times New Roman" w:hAnsi="Times New Roman" w:cs="Times New Roman"/>
          <w:sz w:val="28"/>
          <w:szCs w:val="28"/>
          <w:lang w:eastAsia="ru-RU"/>
        </w:rPr>
      </w:pPr>
      <w:r w:rsidRPr="008C1ABB">
        <w:rPr>
          <w:rFonts w:ascii="Times New Roman" w:eastAsia="Times New Roman" w:hAnsi="Times New Roman" w:cs="Times New Roman"/>
          <w:sz w:val="28"/>
          <w:szCs w:val="28"/>
          <w:lang w:eastAsia="ru-RU"/>
        </w:rPr>
        <w:t>б) технічні умови (для об’єктів, будівництво яких може здійснюватися за відсутності технічних умов (за наявності);</w:t>
      </w:r>
    </w:p>
    <w:p w:rsidR="008C1ABB" w:rsidRPr="008C1ABB" w:rsidRDefault="008C1ABB" w:rsidP="008C1ABB">
      <w:pPr>
        <w:suppressAutoHyphens/>
        <w:spacing w:after="0" w:line="240" w:lineRule="auto"/>
        <w:ind w:firstLine="566"/>
        <w:jc w:val="both"/>
        <w:textAlignment w:val="top"/>
        <w:outlineLvl w:val="0"/>
        <w:rPr>
          <w:rFonts w:ascii="Times New Roman" w:eastAsia="Times New Roman" w:hAnsi="Times New Roman" w:cs="Times New Roman"/>
          <w:sz w:val="28"/>
          <w:szCs w:val="28"/>
          <w:lang w:eastAsia="ru-RU"/>
        </w:rPr>
      </w:pPr>
      <w:r w:rsidRPr="008C1ABB">
        <w:rPr>
          <w:rFonts w:ascii="Times New Roman" w:eastAsia="Times New Roman" w:hAnsi="Times New Roman" w:cs="Times New Roman"/>
          <w:sz w:val="28"/>
          <w:szCs w:val="28"/>
          <w:lang w:eastAsia="ru-RU"/>
        </w:rPr>
        <w:lastRenderedPageBreak/>
        <w:t>в) проектну документацію на будівництво, на підставі якої отримано право на виконання будівельних робіт;</w:t>
      </w:r>
    </w:p>
    <w:p w:rsidR="008C1ABB" w:rsidRPr="008C1ABB" w:rsidRDefault="008C1ABB" w:rsidP="008C1ABB">
      <w:pPr>
        <w:suppressAutoHyphens/>
        <w:spacing w:after="0" w:line="240" w:lineRule="auto"/>
        <w:ind w:firstLine="566"/>
        <w:jc w:val="both"/>
        <w:textAlignment w:val="top"/>
        <w:outlineLvl w:val="0"/>
        <w:rPr>
          <w:rFonts w:ascii="Times New Roman" w:eastAsia="Times New Roman" w:hAnsi="Times New Roman" w:cs="Times New Roman"/>
          <w:sz w:val="28"/>
          <w:szCs w:val="28"/>
          <w:lang w:eastAsia="ru-RU"/>
        </w:rPr>
      </w:pPr>
      <w:r w:rsidRPr="008C1ABB">
        <w:rPr>
          <w:rFonts w:ascii="Times New Roman" w:eastAsia="Times New Roman" w:hAnsi="Times New Roman" w:cs="Times New Roman"/>
          <w:sz w:val="28"/>
          <w:szCs w:val="28"/>
          <w:lang w:eastAsia="ru-RU"/>
        </w:rPr>
        <w:t>г) звіт про результати експертизи проектної документації на будівництво з позитивним висновком;</w:t>
      </w:r>
    </w:p>
    <w:p w:rsidR="008C1ABB" w:rsidRPr="008C1ABB" w:rsidRDefault="008C1ABB" w:rsidP="008C1ABB">
      <w:pPr>
        <w:suppressAutoHyphens/>
        <w:spacing w:after="0" w:line="240" w:lineRule="auto"/>
        <w:ind w:firstLine="566"/>
        <w:jc w:val="both"/>
        <w:textAlignment w:val="top"/>
        <w:outlineLvl w:val="0"/>
        <w:rPr>
          <w:rFonts w:ascii="Times New Roman" w:eastAsia="Times New Roman" w:hAnsi="Times New Roman" w:cs="Times New Roman"/>
          <w:sz w:val="28"/>
          <w:szCs w:val="28"/>
          <w:lang w:eastAsia="ru-RU"/>
        </w:rPr>
      </w:pPr>
      <w:r w:rsidRPr="008C1ABB">
        <w:rPr>
          <w:rFonts w:ascii="Times New Roman" w:eastAsia="Times New Roman" w:hAnsi="Times New Roman" w:cs="Times New Roman"/>
          <w:sz w:val="28"/>
          <w:szCs w:val="28"/>
          <w:lang w:eastAsia="ru-RU"/>
        </w:rPr>
        <w:t>ґ) процедура права виконання будівельних робіт</w:t>
      </w:r>
    </w:p>
    <w:p w:rsidR="008C1ABB" w:rsidRPr="008C1ABB" w:rsidRDefault="008C1ABB" w:rsidP="008C1ABB">
      <w:pPr>
        <w:suppressAutoHyphens/>
        <w:spacing w:after="0" w:line="240" w:lineRule="auto"/>
        <w:ind w:firstLine="566"/>
        <w:jc w:val="both"/>
        <w:textAlignment w:val="top"/>
        <w:outlineLvl w:val="0"/>
        <w:rPr>
          <w:rFonts w:ascii="Times New Roman" w:eastAsia="Times New Roman" w:hAnsi="Times New Roman" w:cs="Times New Roman"/>
          <w:sz w:val="28"/>
          <w:szCs w:val="28"/>
          <w:lang w:eastAsia="ru-RU"/>
        </w:rPr>
      </w:pPr>
      <w:r w:rsidRPr="008C1ABB">
        <w:rPr>
          <w:rFonts w:ascii="Times New Roman" w:eastAsia="Times New Roman" w:hAnsi="Times New Roman" w:cs="Times New Roman"/>
          <w:sz w:val="28"/>
          <w:szCs w:val="28"/>
          <w:lang w:eastAsia="ru-RU"/>
        </w:rPr>
        <w:t>2) проходження процедури верифікації відомостей</w:t>
      </w:r>
    </w:p>
    <w:p w:rsidR="008C1ABB" w:rsidRPr="008C1ABB" w:rsidRDefault="008C1ABB" w:rsidP="008C1ABB">
      <w:pPr>
        <w:suppressAutoHyphens/>
        <w:spacing w:after="0" w:line="240" w:lineRule="auto"/>
        <w:ind w:firstLine="566"/>
        <w:jc w:val="both"/>
        <w:textAlignment w:val="top"/>
        <w:outlineLvl w:val="0"/>
        <w:rPr>
          <w:rFonts w:ascii="Times New Roman" w:eastAsia="Times New Roman" w:hAnsi="Times New Roman" w:cs="Times New Roman"/>
          <w:sz w:val="28"/>
          <w:szCs w:val="28"/>
          <w:lang w:eastAsia="ru-RU"/>
        </w:rPr>
      </w:pPr>
      <w:r w:rsidRPr="008C1ABB">
        <w:rPr>
          <w:rFonts w:ascii="Times New Roman" w:eastAsia="Times New Roman" w:hAnsi="Times New Roman" w:cs="Times New Roman"/>
          <w:sz w:val="28"/>
          <w:szCs w:val="28"/>
          <w:lang w:eastAsia="ru-RU"/>
        </w:rPr>
        <w:t xml:space="preserve">3) отримання банківської гарантії; </w:t>
      </w:r>
    </w:p>
    <w:p w:rsidR="008C1ABB" w:rsidRPr="008C1ABB" w:rsidRDefault="008C1ABB" w:rsidP="008C1ABB">
      <w:pPr>
        <w:suppressAutoHyphens/>
        <w:spacing w:after="0" w:line="240" w:lineRule="auto"/>
        <w:ind w:firstLine="566"/>
        <w:jc w:val="both"/>
        <w:textAlignment w:val="top"/>
        <w:outlineLvl w:val="0"/>
        <w:rPr>
          <w:rFonts w:ascii="Times New Roman" w:eastAsia="Times New Roman" w:hAnsi="Times New Roman" w:cs="Times New Roman"/>
          <w:sz w:val="28"/>
          <w:szCs w:val="28"/>
          <w:lang w:eastAsia="ru-RU"/>
        </w:rPr>
      </w:pPr>
      <w:r w:rsidRPr="008C1ABB">
        <w:rPr>
          <w:rFonts w:ascii="Times New Roman" w:eastAsia="Times New Roman" w:hAnsi="Times New Roman" w:cs="Times New Roman"/>
          <w:sz w:val="28"/>
          <w:szCs w:val="28"/>
          <w:lang w:eastAsia="ru-RU"/>
        </w:rPr>
        <w:t>4) визначення переліку майбутніх об’єктів нерухомості які складатимуть гарантійну частку</w:t>
      </w:r>
    </w:p>
    <w:p w:rsidR="008C1ABB" w:rsidRPr="008C1ABB" w:rsidRDefault="008C1ABB" w:rsidP="008C1ABB">
      <w:pPr>
        <w:suppressAutoHyphens/>
        <w:spacing w:after="0" w:line="240" w:lineRule="auto"/>
        <w:ind w:firstLine="566"/>
        <w:jc w:val="both"/>
        <w:textAlignment w:val="top"/>
        <w:outlineLvl w:val="0"/>
        <w:rPr>
          <w:rFonts w:ascii="Times New Roman" w:eastAsia="Times New Roman" w:hAnsi="Times New Roman" w:cs="Times New Roman"/>
          <w:sz w:val="28"/>
          <w:szCs w:val="28"/>
          <w:lang w:eastAsia="ru-RU"/>
        </w:rPr>
      </w:pPr>
      <w:r w:rsidRPr="008C1ABB">
        <w:rPr>
          <w:rFonts w:ascii="Times New Roman" w:eastAsia="Times New Roman" w:hAnsi="Times New Roman" w:cs="Times New Roman"/>
          <w:sz w:val="28"/>
          <w:szCs w:val="28"/>
          <w:lang w:eastAsia="ru-RU"/>
        </w:rPr>
        <w:t>5) подання заяви на державну реєстрацію.</w:t>
      </w:r>
    </w:p>
    <w:p w:rsidR="008C1ABB" w:rsidRPr="008C1ABB" w:rsidRDefault="008C1ABB" w:rsidP="008C1ABB">
      <w:pPr>
        <w:suppressAutoHyphens/>
        <w:spacing w:after="0" w:line="240" w:lineRule="auto"/>
        <w:ind w:firstLine="566"/>
        <w:jc w:val="both"/>
        <w:textAlignment w:val="top"/>
        <w:outlineLvl w:val="0"/>
        <w:rPr>
          <w:rFonts w:ascii="Times New Roman" w:eastAsia="Times New Roman" w:hAnsi="Times New Roman" w:cs="Times New Roman"/>
          <w:sz w:val="28"/>
          <w:szCs w:val="28"/>
          <w:lang w:eastAsia="ru-RU"/>
        </w:rPr>
      </w:pPr>
    </w:p>
    <w:p w:rsidR="008C1ABB" w:rsidRPr="008C1ABB" w:rsidRDefault="008C1ABB" w:rsidP="008C1ABB">
      <w:pPr>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8"/>
          <w:szCs w:val="28"/>
          <w:lang w:eastAsia="ru-RU"/>
        </w:rPr>
        <w:t xml:space="preserve">VI. Оцінка виконання вимог регуляторного </w:t>
      </w:r>
      <w:proofErr w:type="spellStart"/>
      <w:r w:rsidRPr="008C1ABB">
        <w:rPr>
          <w:rFonts w:ascii="Times New Roman" w:eastAsia="Times New Roman" w:hAnsi="Times New Roman" w:cs="Times New Roman"/>
          <w:b/>
          <w:color w:val="000000"/>
          <w:sz w:val="28"/>
          <w:szCs w:val="28"/>
          <w:lang w:eastAsia="ru-RU"/>
        </w:rPr>
        <w:t>акта</w:t>
      </w:r>
      <w:proofErr w:type="spellEnd"/>
      <w:r w:rsidRPr="008C1ABB">
        <w:rPr>
          <w:rFonts w:ascii="Times New Roman" w:eastAsia="Times New Roman" w:hAnsi="Times New Roman" w:cs="Times New Roman"/>
          <w:b/>
          <w:color w:val="000000"/>
          <w:sz w:val="28"/>
          <w:szCs w:val="28"/>
          <w:lang w:eastAsia="ru-RU"/>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8C1ABB" w:rsidRPr="008C1ABB" w:rsidRDefault="008C1ABB" w:rsidP="008C1ABB">
      <w:pPr>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Реалізація регуляторного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 xml:space="preserve"> не потребуватиме додаткових бюджетних витрат і ресурсів для органів виконавчої влади чи органів місцевого самоврядування. </w:t>
      </w:r>
    </w:p>
    <w:p w:rsidR="008C1ABB" w:rsidRPr="008C1ABB" w:rsidRDefault="008C1ABB" w:rsidP="008C1ABB">
      <w:pPr>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Державне регулювання не передбачає утворення нового державного органу (або нового структурного підрозділу діючого органу). </w:t>
      </w:r>
    </w:p>
    <w:p w:rsidR="008C1ABB" w:rsidRPr="008C1ABB" w:rsidRDefault="008C1ABB" w:rsidP="008C1ABB">
      <w:pPr>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Розрахунок витрат на виконання вимог регуляторного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 xml:space="preserve"> для органу виконавчої влади (</w:t>
      </w:r>
      <w:proofErr w:type="spellStart"/>
      <w:r w:rsidRPr="008C1ABB">
        <w:rPr>
          <w:rFonts w:ascii="Times New Roman" w:eastAsia="Times New Roman" w:hAnsi="Times New Roman" w:cs="Times New Roman"/>
          <w:color w:val="000000"/>
          <w:sz w:val="28"/>
          <w:szCs w:val="28"/>
          <w:lang w:eastAsia="ru-RU"/>
        </w:rPr>
        <w:t>Мінінфраструктури</w:t>
      </w:r>
      <w:proofErr w:type="spellEnd"/>
      <w:r w:rsidRPr="008C1ABB">
        <w:rPr>
          <w:rFonts w:ascii="Times New Roman" w:eastAsia="Times New Roman" w:hAnsi="Times New Roman" w:cs="Times New Roman"/>
          <w:color w:val="000000"/>
          <w:sz w:val="28"/>
          <w:szCs w:val="28"/>
          <w:lang w:eastAsia="ru-RU"/>
        </w:rPr>
        <w:t xml:space="preserve">) згідно з Додатком 3 до Методики проведення аналізу впливу регуляторного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 xml:space="preserve"> не проводився, оскільки нове регулювання не передбачає додаткових витрат для органу.</w:t>
      </w:r>
    </w:p>
    <w:p w:rsidR="00914EE3" w:rsidRPr="008C1ABB" w:rsidRDefault="00914EE3" w:rsidP="00914EE3">
      <w:pPr>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Досягнення цілей не передбачає додаткових організаційних заходів.</w:t>
      </w:r>
    </w:p>
    <w:p w:rsidR="00914EE3" w:rsidRPr="008C1ABB" w:rsidRDefault="00914EE3" w:rsidP="00914EE3">
      <w:pPr>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bookmarkStart w:id="3" w:name="bookmark=id.2et92p0"/>
      <w:bookmarkEnd w:id="3"/>
      <w:r w:rsidRPr="008C1ABB">
        <w:rPr>
          <w:rFonts w:ascii="Times New Roman" w:eastAsia="Times New Roman" w:hAnsi="Times New Roman" w:cs="Times New Roman"/>
          <w:color w:val="000000"/>
          <w:sz w:val="28"/>
          <w:szCs w:val="28"/>
          <w:lang w:eastAsia="ru-RU"/>
        </w:rPr>
        <w:t xml:space="preserve">Можлива шкода у разі очікуваних наслідків дії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 xml:space="preserve"> не прогнозується.</w:t>
      </w:r>
    </w:p>
    <w:p w:rsidR="00914EE3" w:rsidRDefault="008C1ABB" w:rsidP="008C1ABB">
      <w:pPr>
        <w:shd w:val="clear" w:color="auto" w:fill="FFFFFF"/>
        <w:tabs>
          <w:tab w:val="left" w:pos="9214"/>
        </w:tabs>
        <w:suppressAutoHyphens/>
        <w:spacing w:after="0" w:line="1" w:lineRule="atLeast"/>
        <w:ind w:left="1" w:firstLine="566"/>
        <w:jc w:val="both"/>
        <w:textAlignment w:val="top"/>
        <w:outlineLvl w:val="0"/>
        <w:rPr>
          <w:rFonts w:ascii="Times New Roman" w:eastAsia="Times New Roman" w:hAnsi="Times New Roman" w:cs="Times New Roman"/>
          <w:sz w:val="28"/>
          <w:szCs w:val="28"/>
          <w:lang w:eastAsia="ru-RU"/>
        </w:rPr>
      </w:pPr>
      <w:r w:rsidRPr="008C1ABB">
        <w:rPr>
          <w:rFonts w:ascii="Times New Roman" w:eastAsia="Times New Roman" w:hAnsi="Times New Roman" w:cs="Times New Roman"/>
          <w:sz w:val="28"/>
          <w:szCs w:val="28"/>
          <w:lang w:eastAsia="ru-RU"/>
        </w:rPr>
        <w:t xml:space="preserve">Враховуючи, що кількість суб’єктів господарювання визначити неможливо здійснено розрахунок витрат на запровадження державного регулювання умовного на одного суб’єкта малого підприємництва згідно з Додатком 4 до Методики проведення аналізу впливу регуляторного </w:t>
      </w:r>
      <w:proofErr w:type="spellStart"/>
      <w:r w:rsidRPr="008C1ABB">
        <w:rPr>
          <w:rFonts w:ascii="Times New Roman" w:eastAsia="Times New Roman" w:hAnsi="Times New Roman" w:cs="Times New Roman"/>
          <w:sz w:val="28"/>
          <w:szCs w:val="28"/>
          <w:lang w:eastAsia="ru-RU"/>
        </w:rPr>
        <w:t>акта</w:t>
      </w:r>
      <w:proofErr w:type="spellEnd"/>
      <w:r w:rsidR="00914EE3">
        <w:rPr>
          <w:rFonts w:ascii="Times New Roman" w:eastAsia="Times New Roman" w:hAnsi="Times New Roman" w:cs="Times New Roman"/>
          <w:sz w:val="28"/>
          <w:szCs w:val="28"/>
          <w:lang w:eastAsia="ru-RU"/>
        </w:rPr>
        <w:t>:</w:t>
      </w:r>
    </w:p>
    <w:p w:rsidR="00914EE3" w:rsidRDefault="008C1ABB" w:rsidP="00914EE3">
      <w:pPr>
        <w:widowControl w:val="0"/>
        <w:suppressAutoHyphens/>
        <w:spacing w:after="0" w:line="240" w:lineRule="auto"/>
        <w:ind w:left="1" w:right="-1" w:hanging="3"/>
        <w:jc w:val="center"/>
        <w:textAlignment w:val="top"/>
        <w:outlineLvl w:val="0"/>
        <w:rPr>
          <w:rFonts w:ascii="Times New Roman" w:eastAsia="Times New Roman" w:hAnsi="Times New Roman" w:cs="Times New Roman"/>
          <w:sz w:val="28"/>
          <w:szCs w:val="28"/>
          <w:lang w:eastAsia="ru-RU"/>
        </w:rPr>
      </w:pPr>
      <w:r w:rsidRPr="008C1ABB">
        <w:rPr>
          <w:rFonts w:ascii="Times New Roman" w:eastAsia="Times New Roman" w:hAnsi="Times New Roman" w:cs="Times New Roman"/>
          <w:sz w:val="28"/>
          <w:szCs w:val="28"/>
          <w:lang w:eastAsia="ru-RU"/>
        </w:rPr>
        <w:t xml:space="preserve"> </w:t>
      </w:r>
    </w:p>
    <w:p w:rsidR="00914EE3" w:rsidRPr="009D45DB" w:rsidRDefault="00914EE3" w:rsidP="00914EE3">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bCs/>
          <w:color w:val="000000"/>
          <w:sz w:val="24"/>
          <w:szCs w:val="24"/>
          <w:lang w:eastAsia="ru-RU"/>
        </w:rPr>
        <w:t>ТЕСТ</w:t>
      </w:r>
    </w:p>
    <w:p w:rsidR="00914EE3" w:rsidRPr="009D45DB" w:rsidRDefault="00914EE3" w:rsidP="00914EE3">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bCs/>
          <w:color w:val="000000"/>
          <w:sz w:val="24"/>
          <w:szCs w:val="24"/>
          <w:lang w:eastAsia="ru-RU"/>
        </w:rPr>
        <w:t>малого підприємництва (М-Тест)</w:t>
      </w:r>
    </w:p>
    <w:p w:rsidR="00914EE3" w:rsidRPr="009D45DB"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p>
    <w:p w:rsidR="00914EE3" w:rsidRPr="009D45DB"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p>
    <w:p w:rsidR="00914EE3" w:rsidRPr="00914EE3" w:rsidRDefault="00914EE3" w:rsidP="00914EE3">
      <w:pPr>
        <w:widowControl w:val="0"/>
        <w:suppressAutoHyphens/>
        <w:spacing w:after="0" w:line="240" w:lineRule="auto"/>
        <w:ind w:left="1" w:right="-1" w:firstLine="425"/>
        <w:jc w:val="both"/>
        <w:textAlignment w:val="top"/>
        <w:outlineLvl w:val="0"/>
        <w:rPr>
          <w:rFonts w:ascii="Times New Roman" w:eastAsia="Times New Roman" w:hAnsi="Times New Roman" w:cs="Times New Roman"/>
          <w:color w:val="000000"/>
          <w:sz w:val="26"/>
          <w:szCs w:val="26"/>
          <w:vertAlign w:val="subscript"/>
          <w:lang w:eastAsia="ru-RU"/>
        </w:rPr>
      </w:pPr>
      <w:bookmarkStart w:id="4" w:name="n132"/>
      <w:bookmarkEnd w:id="4"/>
      <w:r w:rsidRPr="00914EE3">
        <w:rPr>
          <w:rFonts w:ascii="Times New Roman" w:eastAsia="Times New Roman" w:hAnsi="Times New Roman" w:cs="Times New Roman"/>
          <w:bCs/>
          <w:color w:val="000000"/>
          <w:sz w:val="26"/>
          <w:szCs w:val="26"/>
          <w:lang w:eastAsia="ru-RU"/>
        </w:rPr>
        <w:t>1. Консультації з представниками мікро- та малого підприємництва щодо оцінки впливу регулювання</w:t>
      </w:r>
    </w:p>
    <w:p w:rsidR="00914EE3" w:rsidRPr="00914EE3" w:rsidRDefault="00914EE3" w:rsidP="00914EE3">
      <w:pPr>
        <w:widowControl w:val="0"/>
        <w:suppressAutoHyphens/>
        <w:spacing w:after="0" w:line="240" w:lineRule="auto"/>
        <w:ind w:left="1" w:right="-1" w:firstLine="425"/>
        <w:jc w:val="both"/>
        <w:textAlignment w:val="top"/>
        <w:outlineLvl w:val="0"/>
        <w:rPr>
          <w:rFonts w:ascii="Times New Roman" w:eastAsia="Times New Roman" w:hAnsi="Times New Roman" w:cs="Times New Roman"/>
          <w:color w:val="000000"/>
          <w:sz w:val="26"/>
          <w:szCs w:val="26"/>
          <w:lang w:eastAsia="ru-RU"/>
        </w:rPr>
      </w:pPr>
      <w:bookmarkStart w:id="5" w:name="n133"/>
      <w:bookmarkEnd w:id="5"/>
    </w:p>
    <w:p w:rsidR="00914EE3" w:rsidRPr="00914EE3" w:rsidRDefault="00914EE3" w:rsidP="00914EE3">
      <w:pPr>
        <w:widowControl w:val="0"/>
        <w:suppressAutoHyphens/>
        <w:spacing w:after="0" w:line="240" w:lineRule="auto"/>
        <w:ind w:left="1" w:right="-1" w:firstLine="425"/>
        <w:jc w:val="both"/>
        <w:textAlignment w:val="top"/>
        <w:outlineLvl w:val="0"/>
        <w:rPr>
          <w:rFonts w:ascii="Times New Roman" w:eastAsia="Times New Roman" w:hAnsi="Times New Roman" w:cs="Times New Roman"/>
          <w:color w:val="000000"/>
          <w:sz w:val="26"/>
          <w:szCs w:val="26"/>
          <w:vertAlign w:val="subscript"/>
          <w:lang w:eastAsia="ru-RU"/>
        </w:rPr>
      </w:pPr>
      <w:r w:rsidRPr="00914EE3">
        <w:rPr>
          <w:rFonts w:ascii="Times New Roman" w:eastAsia="Times New Roman" w:hAnsi="Times New Roman" w:cs="Times New Roman"/>
          <w:color w:val="000000"/>
          <w:sz w:val="26"/>
          <w:szCs w:val="26"/>
          <w:lang w:eastAsia="ru-RU"/>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27.01.2023 - 28.02.2023.</w:t>
      </w:r>
    </w:p>
    <w:p w:rsidR="00914EE3" w:rsidRPr="009D45DB"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p>
    <w:tbl>
      <w:tblPr>
        <w:tblW w:w="9530" w:type="dxa"/>
        <w:tblInd w:w="99" w:type="dxa"/>
        <w:tblLayout w:type="fixed"/>
        <w:tblCellMar>
          <w:top w:w="100" w:type="dxa"/>
          <w:left w:w="100" w:type="dxa"/>
          <w:bottom w:w="100" w:type="dxa"/>
          <w:right w:w="100" w:type="dxa"/>
        </w:tblCellMar>
        <w:tblLook w:val="0000" w:firstRow="0" w:lastRow="0" w:firstColumn="0" w:lastColumn="0" w:noHBand="0" w:noVBand="0"/>
      </w:tblPr>
      <w:tblGrid>
        <w:gridCol w:w="710"/>
        <w:gridCol w:w="2977"/>
        <w:gridCol w:w="1559"/>
        <w:gridCol w:w="4284"/>
      </w:tblGrid>
      <w:tr w:rsidR="00914EE3" w:rsidRPr="009D45DB" w:rsidTr="00401018">
        <w:trPr>
          <w:trHeight w:val="904"/>
        </w:trPr>
        <w:tc>
          <w:tcPr>
            <w:tcW w:w="710" w:type="dxa"/>
            <w:tcBorders>
              <w:top w:val="single" w:sz="8" w:space="0" w:color="000000"/>
              <w:left w:val="single" w:sz="8" w:space="0" w:color="000000"/>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lastRenderedPageBreak/>
              <w:t>№ п/п</w:t>
            </w:r>
          </w:p>
        </w:tc>
        <w:tc>
          <w:tcPr>
            <w:tcW w:w="2977" w:type="dxa"/>
            <w:tcBorders>
              <w:top w:val="single" w:sz="8" w:space="0" w:color="000000"/>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Вид консультацій</w:t>
            </w:r>
          </w:p>
        </w:tc>
        <w:tc>
          <w:tcPr>
            <w:tcW w:w="1559" w:type="dxa"/>
            <w:tcBorders>
              <w:top w:val="single" w:sz="8" w:space="0" w:color="000000"/>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Кількість учасників консультацій</w:t>
            </w:r>
          </w:p>
        </w:tc>
        <w:tc>
          <w:tcPr>
            <w:tcW w:w="4284" w:type="dxa"/>
            <w:tcBorders>
              <w:top w:val="single" w:sz="8" w:space="0" w:color="000000"/>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Основні результати консультацій</w:t>
            </w:r>
          </w:p>
        </w:tc>
      </w:tr>
      <w:tr w:rsidR="00914EE3" w:rsidRPr="009D45DB" w:rsidTr="00401018">
        <w:trPr>
          <w:trHeight w:val="1477"/>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Телефонні та письмові консультації із суб’єктами господарювання.</w:t>
            </w:r>
          </w:p>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p>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b/>
                <w:i/>
                <w:color w:val="000000"/>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35</w:t>
            </w: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Регулювання підтримується та вважається доцільним.</w:t>
            </w:r>
          </w:p>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Отримано інформацію щодо переліку процедур, які необхідно виконати у зв’язку із запровадженням нового регулювання:</w:t>
            </w:r>
          </w:p>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 xml:space="preserve">ознайомитися з новим регулюванням – </w:t>
            </w:r>
            <w:r w:rsidRPr="009D45DB">
              <w:rPr>
                <w:rFonts w:ascii="Times New Roman" w:eastAsia="Times New Roman" w:hAnsi="Times New Roman" w:cs="Times New Roman"/>
                <w:color w:val="000000"/>
                <w:sz w:val="24"/>
                <w:szCs w:val="24"/>
                <w:lang w:eastAsia="ru-RU"/>
              </w:rPr>
              <w:br/>
            </w:r>
            <w:r w:rsidRPr="009D45DB">
              <w:rPr>
                <w:rFonts w:ascii="Times New Roman" w:eastAsia="Times New Roman" w:hAnsi="Times New Roman" w:cs="Times New Roman"/>
                <w:bCs/>
                <w:color w:val="000000"/>
                <w:sz w:val="24"/>
                <w:szCs w:val="24"/>
                <w:lang w:eastAsia="ru-RU"/>
              </w:rPr>
              <w:t>1 год.</w:t>
            </w:r>
          </w:p>
        </w:tc>
      </w:tr>
    </w:tbl>
    <w:p w:rsidR="00914EE3" w:rsidRPr="009D45DB"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p>
    <w:p w:rsidR="00914EE3" w:rsidRPr="00914EE3" w:rsidRDefault="00914EE3" w:rsidP="00914EE3">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6"/>
          <w:szCs w:val="26"/>
          <w:vertAlign w:val="subscript"/>
          <w:lang w:eastAsia="ru-RU"/>
        </w:rPr>
      </w:pPr>
      <w:r w:rsidRPr="00914EE3">
        <w:rPr>
          <w:rFonts w:ascii="Times New Roman" w:eastAsia="Times New Roman" w:hAnsi="Times New Roman" w:cs="Times New Roman"/>
          <w:color w:val="000000"/>
          <w:sz w:val="26"/>
          <w:szCs w:val="26"/>
          <w:lang w:eastAsia="ru-RU"/>
        </w:rPr>
        <w:t>2. Вимірювання впливу регулювання на суб’єктів малого підприємництва:</w:t>
      </w:r>
    </w:p>
    <w:p w:rsidR="00914EE3" w:rsidRPr="00914EE3" w:rsidRDefault="00914EE3" w:rsidP="00914EE3">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6"/>
          <w:szCs w:val="26"/>
          <w:lang w:eastAsia="ru-RU"/>
        </w:rPr>
      </w:pPr>
    </w:p>
    <w:p w:rsidR="00914EE3" w:rsidRPr="00914EE3" w:rsidRDefault="00914EE3" w:rsidP="00914EE3">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6"/>
          <w:szCs w:val="26"/>
          <w:vertAlign w:val="subscript"/>
          <w:lang w:eastAsia="ru-RU"/>
        </w:rPr>
      </w:pPr>
      <w:r w:rsidRPr="00914EE3">
        <w:rPr>
          <w:rFonts w:ascii="Times New Roman" w:eastAsia="Times New Roman" w:hAnsi="Times New Roman" w:cs="Times New Roman"/>
          <w:color w:val="000000"/>
          <w:sz w:val="26"/>
          <w:szCs w:val="26"/>
          <w:lang w:eastAsia="ru-RU"/>
        </w:rPr>
        <w:t>Кількість суб’єктів малого (мікро) підприємництва, на яких поширюється регулювання – умовно 1.</w:t>
      </w:r>
    </w:p>
    <w:p w:rsidR="00914EE3" w:rsidRPr="00914EE3" w:rsidRDefault="00914EE3" w:rsidP="00914EE3">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6"/>
          <w:szCs w:val="26"/>
          <w:vertAlign w:val="subscript"/>
          <w:lang w:eastAsia="ru-RU"/>
        </w:rPr>
      </w:pPr>
      <w:r w:rsidRPr="00914EE3">
        <w:rPr>
          <w:rFonts w:ascii="Times New Roman" w:eastAsia="Times New Roman" w:hAnsi="Times New Roman" w:cs="Times New Roman"/>
          <w:color w:val="000000"/>
          <w:sz w:val="26"/>
          <w:szCs w:val="26"/>
          <w:lang w:eastAsia="ru-RU"/>
        </w:rPr>
        <w:t>Зважаючи на те, що не можливо встановити точну кількість об’єктів будівництва та їх складових частин, які після прийняття в експлуатацію закінченого будівництвом об’єкта стануть самостійними об’єктами нерухомого майна право на виконання будівельних робіт щодо яких набуто до набрання чинності Законом, тому розрахунок витрат здійснюватиметься на одного умовного суб’єкта господарювання малого підприємництва.</w:t>
      </w:r>
    </w:p>
    <w:p w:rsidR="00914EE3" w:rsidRPr="00914EE3"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6"/>
          <w:szCs w:val="26"/>
          <w:lang w:eastAsia="ru-RU"/>
        </w:rPr>
      </w:pPr>
    </w:p>
    <w:p w:rsidR="00914EE3" w:rsidRPr="00914EE3" w:rsidRDefault="00914EE3" w:rsidP="00914EE3">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6"/>
          <w:szCs w:val="26"/>
          <w:vertAlign w:val="subscript"/>
          <w:lang w:eastAsia="ru-RU"/>
        </w:rPr>
      </w:pPr>
      <w:r w:rsidRPr="00914EE3">
        <w:rPr>
          <w:rFonts w:ascii="Times New Roman" w:eastAsia="Times New Roman" w:hAnsi="Times New Roman" w:cs="Times New Roman"/>
          <w:color w:val="000000"/>
          <w:sz w:val="26"/>
          <w:szCs w:val="26"/>
          <w:lang w:eastAsia="ru-RU"/>
        </w:rPr>
        <w:t>3. Розрахунок витрат суб’єкта малого підприємництва на виконання вимог регулювання.</w:t>
      </w:r>
    </w:p>
    <w:p w:rsidR="00914EE3" w:rsidRPr="00914EE3" w:rsidRDefault="00914EE3" w:rsidP="00914EE3">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6"/>
          <w:szCs w:val="26"/>
          <w:vertAlign w:val="subscript"/>
          <w:lang w:eastAsia="ru-RU"/>
        </w:rPr>
      </w:pPr>
      <w:r w:rsidRPr="00914EE3">
        <w:rPr>
          <w:rFonts w:ascii="Times New Roman" w:eastAsia="Times New Roman" w:hAnsi="Times New Roman" w:cs="Times New Roman"/>
          <w:color w:val="000000"/>
          <w:sz w:val="26"/>
          <w:szCs w:val="26"/>
          <w:lang w:eastAsia="ru-RU"/>
        </w:rPr>
        <w:t xml:space="preserve">У розрахунку вартості 1 години роботи використано вартість 1 години роботи, яка відповідно до Закону України «Про Державний бюджет України на 2023 рік», з 1 січня 2023 року становить – </w:t>
      </w:r>
      <w:r w:rsidRPr="00914EE3">
        <w:rPr>
          <w:rFonts w:ascii="Times New Roman" w:eastAsia="Times New Roman" w:hAnsi="Times New Roman" w:cs="Times New Roman"/>
          <w:bCs/>
          <w:color w:val="000000"/>
          <w:sz w:val="26"/>
          <w:szCs w:val="26"/>
          <w:lang w:eastAsia="ru-RU"/>
        </w:rPr>
        <w:t>40,46 грн.</w:t>
      </w:r>
    </w:p>
    <w:p w:rsidR="00914EE3" w:rsidRPr="00914EE3" w:rsidRDefault="00914EE3" w:rsidP="00914EE3">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6"/>
          <w:szCs w:val="26"/>
          <w:vertAlign w:val="subscript"/>
          <w:lang w:eastAsia="ru-RU"/>
        </w:rPr>
      </w:pPr>
      <w:r w:rsidRPr="00914EE3">
        <w:rPr>
          <w:rFonts w:ascii="Times New Roman" w:eastAsia="Times New Roman" w:hAnsi="Times New Roman" w:cs="Times New Roman"/>
          <w:color w:val="000000"/>
          <w:sz w:val="26"/>
          <w:szCs w:val="26"/>
          <w:lang w:eastAsia="ru-RU"/>
        </w:rPr>
        <w:t xml:space="preserve">Первинна інформація про вимоги регулювання може бути отримана за результатами пошуку </w:t>
      </w:r>
      <w:proofErr w:type="spellStart"/>
      <w:r w:rsidRPr="00914EE3">
        <w:rPr>
          <w:rFonts w:ascii="Times New Roman" w:eastAsia="Times New Roman" w:hAnsi="Times New Roman" w:cs="Times New Roman"/>
          <w:color w:val="000000"/>
          <w:sz w:val="26"/>
          <w:szCs w:val="26"/>
          <w:lang w:eastAsia="ru-RU"/>
        </w:rPr>
        <w:t>проєкту</w:t>
      </w:r>
      <w:proofErr w:type="spellEnd"/>
      <w:r w:rsidRPr="00914EE3">
        <w:rPr>
          <w:rFonts w:ascii="Times New Roman" w:eastAsia="Times New Roman" w:hAnsi="Times New Roman" w:cs="Times New Roman"/>
          <w:color w:val="000000"/>
          <w:sz w:val="26"/>
          <w:szCs w:val="26"/>
          <w:lang w:eastAsia="ru-RU"/>
        </w:rPr>
        <w:t xml:space="preserve"> постанови Кабінету Міністрів України “Деякі питання реалізації Закону України “Про гарантування речових прав на об’єкти нерухомого майна, які будуть споруджені в майбутньому” на офіційному веб-порталі </w:t>
      </w:r>
      <w:proofErr w:type="spellStart"/>
      <w:r w:rsidRPr="00914EE3">
        <w:rPr>
          <w:rFonts w:ascii="Times New Roman" w:eastAsia="Times New Roman" w:hAnsi="Times New Roman" w:cs="Times New Roman"/>
          <w:color w:val="000000"/>
          <w:sz w:val="26"/>
          <w:szCs w:val="26"/>
          <w:lang w:eastAsia="ru-RU"/>
        </w:rPr>
        <w:t>Мінінфраструктури</w:t>
      </w:r>
      <w:proofErr w:type="spellEnd"/>
      <w:r w:rsidRPr="00914EE3">
        <w:rPr>
          <w:rFonts w:ascii="Times New Roman" w:eastAsia="Times New Roman" w:hAnsi="Times New Roman" w:cs="Times New Roman"/>
          <w:color w:val="000000"/>
          <w:sz w:val="26"/>
          <w:szCs w:val="26"/>
          <w:lang w:eastAsia="ru-RU"/>
        </w:rPr>
        <w:t>.</w:t>
      </w:r>
    </w:p>
    <w:p w:rsidR="00914EE3" w:rsidRPr="00914EE3"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6"/>
          <w:szCs w:val="26"/>
          <w:vertAlign w:val="subscript"/>
          <w:lang w:eastAsia="ru-RU"/>
        </w:rPr>
      </w:pPr>
      <w:r w:rsidRPr="00914EE3">
        <w:rPr>
          <w:rFonts w:ascii="Times New Roman" w:eastAsia="Times New Roman" w:hAnsi="Times New Roman" w:cs="Times New Roman"/>
          <w:color w:val="000000"/>
          <w:sz w:val="26"/>
          <w:szCs w:val="26"/>
          <w:lang w:eastAsia="ru-RU"/>
        </w:rPr>
        <w:t>Інформація про розмір часу, який витрачається суб’єктами на отримання зазначеної інформації є оціночною.</w:t>
      </w:r>
    </w:p>
    <w:p w:rsidR="00914EE3" w:rsidRPr="009D45DB"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color w:val="000000"/>
          <w:sz w:val="24"/>
          <w:szCs w:val="24"/>
          <w:lang w:eastAsia="ru-RU"/>
        </w:rPr>
        <w:t xml:space="preserve"> </w:t>
      </w:r>
    </w:p>
    <w:p w:rsidR="00914EE3" w:rsidRPr="00914EE3" w:rsidRDefault="00914EE3" w:rsidP="00914EE3">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6"/>
          <w:szCs w:val="26"/>
          <w:vertAlign w:val="subscript"/>
          <w:lang w:eastAsia="ru-RU"/>
        </w:rPr>
      </w:pPr>
      <w:r w:rsidRPr="00914EE3">
        <w:rPr>
          <w:rFonts w:ascii="Times New Roman" w:eastAsia="Times New Roman" w:hAnsi="Times New Roman" w:cs="Times New Roman"/>
          <w:color w:val="000000"/>
          <w:sz w:val="26"/>
          <w:szCs w:val="26"/>
          <w:lang w:eastAsia="ru-RU"/>
        </w:rPr>
        <w:t>Розрахунок витрат суб’єктів малого підприємництва на виконання вимог регулювання</w:t>
      </w:r>
    </w:p>
    <w:p w:rsidR="00914EE3" w:rsidRPr="009D45DB"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p>
    <w:tbl>
      <w:tblPr>
        <w:tblW w:w="9672" w:type="dxa"/>
        <w:tblInd w:w="-11" w:type="dxa"/>
        <w:tblLayout w:type="fixed"/>
        <w:tblCellMar>
          <w:top w:w="100" w:type="dxa"/>
          <w:left w:w="100" w:type="dxa"/>
          <w:bottom w:w="100" w:type="dxa"/>
          <w:right w:w="100" w:type="dxa"/>
        </w:tblCellMar>
        <w:tblLook w:val="0000" w:firstRow="0" w:lastRow="0" w:firstColumn="0" w:lastColumn="0" w:noHBand="0" w:noVBand="0"/>
      </w:tblPr>
      <w:tblGrid>
        <w:gridCol w:w="1169"/>
        <w:gridCol w:w="3053"/>
        <w:gridCol w:w="2016"/>
        <w:gridCol w:w="1711"/>
        <w:gridCol w:w="138"/>
        <w:gridCol w:w="1557"/>
        <w:gridCol w:w="28"/>
      </w:tblGrid>
      <w:tr w:rsidR="00914EE3" w:rsidRPr="009D45DB" w:rsidTr="00914EE3">
        <w:trPr>
          <w:gridAfter w:val="1"/>
          <w:wAfter w:w="28" w:type="dxa"/>
          <w:trHeight w:val="1158"/>
        </w:trPr>
        <w:tc>
          <w:tcPr>
            <w:tcW w:w="1169" w:type="dxa"/>
            <w:tcBorders>
              <w:top w:val="single" w:sz="8" w:space="0" w:color="000000"/>
              <w:left w:val="single" w:sz="8" w:space="0" w:color="000000"/>
              <w:bottom w:val="single" w:sz="4" w:space="0" w:color="auto"/>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 з/п</w:t>
            </w:r>
          </w:p>
        </w:tc>
        <w:tc>
          <w:tcPr>
            <w:tcW w:w="3053" w:type="dxa"/>
            <w:tcBorders>
              <w:top w:val="single" w:sz="8" w:space="0" w:color="000000"/>
              <w:bottom w:val="single" w:sz="4" w:space="0" w:color="auto"/>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Найменування оцінки</w:t>
            </w:r>
          </w:p>
        </w:tc>
        <w:tc>
          <w:tcPr>
            <w:tcW w:w="2016" w:type="dxa"/>
            <w:tcBorders>
              <w:top w:val="single" w:sz="8" w:space="0" w:color="000000"/>
              <w:bottom w:val="single" w:sz="4" w:space="0" w:color="auto"/>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У перший рік (стартовий рік впровадження регулювання)</w:t>
            </w:r>
          </w:p>
        </w:tc>
        <w:tc>
          <w:tcPr>
            <w:tcW w:w="1711" w:type="dxa"/>
            <w:tcBorders>
              <w:top w:val="single" w:sz="8" w:space="0" w:color="000000"/>
              <w:bottom w:val="single" w:sz="4" w:space="0" w:color="auto"/>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Періодичні (за наступний рік)</w:t>
            </w:r>
          </w:p>
        </w:tc>
        <w:tc>
          <w:tcPr>
            <w:tcW w:w="1695" w:type="dxa"/>
            <w:gridSpan w:val="2"/>
            <w:tcBorders>
              <w:top w:val="single" w:sz="8" w:space="0" w:color="000000"/>
              <w:bottom w:val="single" w:sz="4" w:space="0" w:color="auto"/>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Витрати за п’ять років</w:t>
            </w:r>
          </w:p>
        </w:tc>
      </w:tr>
      <w:tr w:rsidR="00914EE3" w:rsidRPr="009D45DB" w:rsidTr="00914EE3">
        <w:trPr>
          <w:gridAfter w:val="1"/>
          <w:wAfter w:w="28" w:type="dxa"/>
          <w:trHeight w:val="329"/>
        </w:trPr>
        <w:tc>
          <w:tcPr>
            <w:tcW w:w="9644" w:type="dxa"/>
            <w:gridSpan w:val="6"/>
            <w:tcBorders>
              <w:top w:val="single" w:sz="4" w:space="0" w:color="auto"/>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color w:val="000000"/>
                <w:sz w:val="24"/>
                <w:szCs w:val="24"/>
                <w:lang w:eastAsia="ru-RU"/>
              </w:rPr>
              <w:lastRenderedPageBreak/>
              <w:t>Оцінка «прямих» витрат суб’єктів малого підприємництва на виконання регулювання</w:t>
            </w:r>
          </w:p>
        </w:tc>
      </w:tr>
      <w:tr w:rsidR="00914EE3" w:rsidRPr="009D45DB" w:rsidTr="00401018">
        <w:trPr>
          <w:trHeight w:val="916"/>
        </w:trPr>
        <w:tc>
          <w:tcPr>
            <w:tcW w:w="1169" w:type="dxa"/>
            <w:tcBorders>
              <w:left w:val="single" w:sz="8" w:space="0" w:color="000000"/>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1.</w:t>
            </w:r>
          </w:p>
        </w:tc>
        <w:tc>
          <w:tcPr>
            <w:tcW w:w="3053" w:type="dxa"/>
            <w:tcBorders>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Придбання необхідного обладнання (пристроїв, машин, механізмів)</w:t>
            </w:r>
          </w:p>
        </w:tc>
        <w:tc>
          <w:tcPr>
            <w:tcW w:w="2016" w:type="dxa"/>
            <w:tcBorders>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849" w:type="dxa"/>
            <w:gridSpan w:val="2"/>
            <w:tcBorders>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585" w:type="dxa"/>
            <w:gridSpan w:val="2"/>
            <w:tcBorders>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r>
      <w:tr w:rsidR="00914EE3" w:rsidRPr="009D45DB" w:rsidTr="00401018">
        <w:trPr>
          <w:trHeight w:val="136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2.</w:t>
            </w:r>
          </w:p>
        </w:tc>
        <w:tc>
          <w:tcPr>
            <w:tcW w:w="3053" w:type="dxa"/>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Процедури повірки та/або постановки на відповідний облік у визначеному органі державної влади чи місцевого самоврядування</w:t>
            </w: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color w:val="000000"/>
                <w:sz w:val="24"/>
                <w:szCs w:val="24"/>
                <w:lang w:eastAsia="ru-RU"/>
              </w:rPr>
              <w:t>-</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color w:val="000000"/>
                <w:sz w:val="24"/>
                <w:szCs w:val="24"/>
                <w:lang w:eastAsia="ru-RU"/>
              </w:rPr>
              <w:t>-</w:t>
            </w:r>
          </w:p>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 xml:space="preserve"> </w:t>
            </w:r>
          </w:p>
        </w:tc>
      </w:tr>
      <w:tr w:rsidR="00914EE3" w:rsidRPr="009D45DB" w:rsidTr="00401018">
        <w:trPr>
          <w:trHeight w:val="1055"/>
        </w:trPr>
        <w:tc>
          <w:tcPr>
            <w:tcW w:w="1169" w:type="dxa"/>
            <w:tcBorders>
              <w:top w:val="single" w:sz="4" w:space="0" w:color="000000"/>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3.</w:t>
            </w:r>
          </w:p>
        </w:tc>
        <w:tc>
          <w:tcPr>
            <w:tcW w:w="3053" w:type="dxa"/>
            <w:tcBorders>
              <w:top w:val="single" w:sz="4"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Процедури експлуатації обладнання (експлуатаційні витрати - витратні матеріали)</w:t>
            </w:r>
          </w:p>
        </w:tc>
        <w:tc>
          <w:tcPr>
            <w:tcW w:w="2016" w:type="dxa"/>
            <w:tcBorders>
              <w:top w:val="single" w:sz="4"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849" w:type="dxa"/>
            <w:gridSpan w:val="2"/>
            <w:tcBorders>
              <w:top w:val="single" w:sz="4"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585" w:type="dxa"/>
            <w:gridSpan w:val="2"/>
            <w:tcBorders>
              <w:top w:val="single" w:sz="4"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r>
      <w:tr w:rsidR="00914EE3" w:rsidRPr="009D45DB" w:rsidTr="00401018">
        <w:trPr>
          <w:trHeight w:val="1055"/>
        </w:trPr>
        <w:tc>
          <w:tcPr>
            <w:tcW w:w="1169" w:type="dxa"/>
            <w:tcBorders>
              <w:left w:val="single" w:sz="8" w:space="0" w:color="000000"/>
              <w:bottom w:val="single" w:sz="4" w:space="0" w:color="auto"/>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4.</w:t>
            </w:r>
          </w:p>
        </w:tc>
        <w:tc>
          <w:tcPr>
            <w:tcW w:w="3053" w:type="dxa"/>
            <w:tcBorders>
              <w:bottom w:val="single" w:sz="4" w:space="0" w:color="auto"/>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Процедури обслуговування обладнання (технічне обслуговування)</w:t>
            </w:r>
          </w:p>
        </w:tc>
        <w:tc>
          <w:tcPr>
            <w:tcW w:w="2016" w:type="dxa"/>
            <w:tcBorders>
              <w:bottom w:val="single" w:sz="4" w:space="0" w:color="auto"/>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849" w:type="dxa"/>
            <w:gridSpan w:val="2"/>
            <w:tcBorders>
              <w:bottom w:val="single" w:sz="4" w:space="0" w:color="auto"/>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585" w:type="dxa"/>
            <w:gridSpan w:val="2"/>
            <w:tcBorders>
              <w:bottom w:val="single" w:sz="4" w:space="0" w:color="auto"/>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color w:val="000000"/>
                <w:sz w:val="24"/>
                <w:szCs w:val="24"/>
                <w:lang w:eastAsia="ru-RU"/>
              </w:rPr>
              <w:t>-</w:t>
            </w:r>
          </w:p>
        </w:tc>
      </w:tr>
      <w:tr w:rsidR="00914EE3" w:rsidRPr="009D45DB" w:rsidTr="00401018">
        <w:trPr>
          <w:trHeight w:val="312"/>
        </w:trPr>
        <w:tc>
          <w:tcPr>
            <w:tcW w:w="1169" w:type="dxa"/>
            <w:tcBorders>
              <w:top w:val="single" w:sz="4" w:space="0" w:color="auto"/>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5.</w:t>
            </w:r>
          </w:p>
        </w:tc>
        <w:tc>
          <w:tcPr>
            <w:tcW w:w="3053"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Інші процедури:</w:t>
            </w:r>
          </w:p>
        </w:tc>
        <w:tc>
          <w:tcPr>
            <w:tcW w:w="2016"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849" w:type="dxa"/>
            <w:gridSpan w:val="2"/>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585" w:type="dxa"/>
            <w:gridSpan w:val="2"/>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r>
      <w:tr w:rsidR="00914EE3" w:rsidRPr="009D45DB" w:rsidTr="00401018">
        <w:trPr>
          <w:trHeight w:val="1169"/>
        </w:trPr>
        <w:tc>
          <w:tcPr>
            <w:tcW w:w="1169" w:type="dxa"/>
            <w:tcBorders>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6.</w:t>
            </w:r>
          </w:p>
        </w:tc>
        <w:tc>
          <w:tcPr>
            <w:tcW w:w="3053"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Разом, гривень</w:t>
            </w:r>
          </w:p>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Формула:</w:t>
            </w:r>
          </w:p>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(сума рядків 1 + 2 + 3 + 4 + 5)</w:t>
            </w:r>
          </w:p>
        </w:tc>
        <w:tc>
          <w:tcPr>
            <w:tcW w:w="2016"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849" w:type="dxa"/>
            <w:gridSpan w:val="2"/>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585" w:type="dxa"/>
            <w:gridSpan w:val="2"/>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color w:val="000000"/>
                <w:sz w:val="24"/>
                <w:szCs w:val="24"/>
                <w:lang w:eastAsia="ru-RU"/>
              </w:rPr>
              <w:t>-</w:t>
            </w:r>
          </w:p>
        </w:tc>
      </w:tr>
      <w:tr w:rsidR="00914EE3" w:rsidRPr="009D45DB" w:rsidTr="00401018">
        <w:trPr>
          <w:trHeight w:val="1018"/>
        </w:trPr>
        <w:tc>
          <w:tcPr>
            <w:tcW w:w="1169" w:type="dxa"/>
            <w:tcBorders>
              <w:left w:val="single" w:sz="8" w:space="0" w:color="000000"/>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7.</w:t>
            </w:r>
          </w:p>
        </w:tc>
        <w:tc>
          <w:tcPr>
            <w:tcW w:w="3053" w:type="dxa"/>
            <w:tcBorders>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Кількість суб’єктів господарювання, що повинні виконати вимоги регулювання, одиниць.</w:t>
            </w:r>
          </w:p>
        </w:tc>
        <w:tc>
          <w:tcPr>
            <w:tcW w:w="2016" w:type="dxa"/>
            <w:tcBorders>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color w:val="000000"/>
                <w:sz w:val="24"/>
                <w:szCs w:val="24"/>
                <w:lang w:eastAsia="ru-RU"/>
              </w:rPr>
              <w:t>1</w:t>
            </w:r>
          </w:p>
        </w:tc>
        <w:tc>
          <w:tcPr>
            <w:tcW w:w="1849" w:type="dxa"/>
            <w:gridSpan w:val="2"/>
            <w:tcBorders>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color w:val="000000"/>
                <w:sz w:val="24"/>
                <w:szCs w:val="24"/>
                <w:lang w:eastAsia="ru-RU"/>
              </w:rPr>
              <w:t>Х</w:t>
            </w:r>
          </w:p>
        </w:tc>
        <w:tc>
          <w:tcPr>
            <w:tcW w:w="1585" w:type="dxa"/>
            <w:gridSpan w:val="2"/>
            <w:tcBorders>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color w:val="000000"/>
                <w:sz w:val="24"/>
                <w:szCs w:val="24"/>
                <w:lang w:eastAsia="ru-RU"/>
              </w:rPr>
              <w:t>Х</w:t>
            </w:r>
          </w:p>
        </w:tc>
      </w:tr>
      <w:tr w:rsidR="00914EE3" w:rsidRPr="009D45DB" w:rsidTr="00401018">
        <w:trPr>
          <w:trHeight w:val="2401"/>
        </w:trPr>
        <w:tc>
          <w:tcPr>
            <w:tcW w:w="1169" w:type="dxa"/>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8.</w:t>
            </w:r>
          </w:p>
        </w:tc>
        <w:tc>
          <w:tcPr>
            <w:tcW w:w="3053" w:type="dxa"/>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Сумарно, гривень</w:t>
            </w:r>
          </w:p>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Формула:</w:t>
            </w:r>
          </w:p>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відповідний стовпчик “разом” Х  кількість суб’єктів малого підприємництва, що повинні виконати вимоги регулювання (рядок 6 Х рядок 7)</w:t>
            </w: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849" w:type="dxa"/>
            <w:gridSpan w:val="2"/>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585" w:type="dxa"/>
            <w:gridSpan w:val="2"/>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color w:val="000000"/>
                <w:sz w:val="24"/>
                <w:szCs w:val="24"/>
                <w:lang w:eastAsia="ru-RU"/>
              </w:rPr>
              <w:t>-</w:t>
            </w:r>
          </w:p>
        </w:tc>
      </w:tr>
    </w:tbl>
    <w:p w:rsidR="00914EE3"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p>
    <w:p w:rsidR="00914EE3"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p>
    <w:p w:rsidR="00914EE3"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p>
    <w:p w:rsidR="00914EE3"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p>
    <w:p w:rsidR="00914EE3" w:rsidRPr="009D45DB"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p>
    <w:tbl>
      <w:tblPr>
        <w:tblW w:w="9640" w:type="dxa"/>
        <w:tblInd w:w="-11" w:type="dxa"/>
        <w:tblLayout w:type="fixed"/>
        <w:tblCellMar>
          <w:top w:w="100" w:type="dxa"/>
          <w:left w:w="100" w:type="dxa"/>
          <w:bottom w:w="100" w:type="dxa"/>
          <w:right w:w="100" w:type="dxa"/>
        </w:tblCellMar>
        <w:tblLook w:val="0000" w:firstRow="0" w:lastRow="0" w:firstColumn="0" w:lastColumn="0" w:noHBand="0" w:noVBand="0"/>
      </w:tblPr>
      <w:tblGrid>
        <w:gridCol w:w="1104"/>
        <w:gridCol w:w="3113"/>
        <w:gridCol w:w="2273"/>
        <w:gridCol w:w="1776"/>
        <w:gridCol w:w="1374"/>
      </w:tblGrid>
      <w:tr w:rsidR="00914EE3" w:rsidRPr="009D45DB" w:rsidTr="00914EE3">
        <w:trPr>
          <w:trHeight w:val="652"/>
        </w:trPr>
        <w:tc>
          <w:tcPr>
            <w:tcW w:w="9640" w:type="dxa"/>
            <w:gridSpan w:val="5"/>
            <w:tcBorders>
              <w:top w:val="single" w:sz="8" w:space="0" w:color="000000"/>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color w:val="000000"/>
                <w:sz w:val="24"/>
                <w:szCs w:val="24"/>
                <w:lang w:eastAsia="ru-RU"/>
              </w:rPr>
              <w:lastRenderedPageBreak/>
              <w:t>Оцінка вартості адміністративних процедур суб’єктів малого підприємництва щодо виконання регулювання</w:t>
            </w:r>
          </w:p>
        </w:tc>
      </w:tr>
      <w:tr w:rsidR="00914EE3" w:rsidRPr="009D45DB" w:rsidTr="00401018">
        <w:trPr>
          <w:trHeight w:val="3164"/>
        </w:trPr>
        <w:tc>
          <w:tcPr>
            <w:tcW w:w="1104" w:type="dxa"/>
            <w:tcBorders>
              <w:top w:val="single" w:sz="4" w:space="0" w:color="auto"/>
              <w:left w:val="single" w:sz="8" w:space="0" w:color="000000"/>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9.</w:t>
            </w:r>
          </w:p>
        </w:tc>
        <w:tc>
          <w:tcPr>
            <w:tcW w:w="3113" w:type="dxa"/>
            <w:tcBorders>
              <w:top w:val="single" w:sz="4" w:space="0" w:color="auto"/>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Процедури отримання первинної інформації про вимоги регулювання</w:t>
            </w:r>
          </w:p>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Формула:</w:t>
            </w:r>
          </w:p>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витрати часу на отримання інформації про регулювання Х вартість часу суб’єкта малого підприємництва (заробітна плата) Х оціночна кількість форм</w:t>
            </w:r>
          </w:p>
        </w:tc>
        <w:tc>
          <w:tcPr>
            <w:tcW w:w="2273" w:type="dxa"/>
            <w:tcBorders>
              <w:top w:val="single" w:sz="4" w:space="0" w:color="auto"/>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color w:val="000000"/>
                <w:sz w:val="24"/>
                <w:szCs w:val="24"/>
                <w:lang w:eastAsia="ru-RU"/>
              </w:rPr>
              <w:t>1 год.</w:t>
            </w:r>
            <w:r w:rsidRPr="009D45DB">
              <w:rPr>
                <w:rFonts w:ascii="Times New Roman" w:eastAsia="Times New Roman" w:hAnsi="Times New Roman" w:cs="Times New Roman"/>
                <w:color w:val="000000"/>
                <w:sz w:val="24"/>
                <w:szCs w:val="24"/>
                <w:lang w:eastAsia="ru-RU"/>
              </w:rPr>
              <w:t xml:space="preserve"> (час, який витрачається с/г на пошук нормативно-правового акту в мережі Інтернет та ознайомлення з ним; за результатами консультацій) Х 40,46 грн. = </w:t>
            </w:r>
            <w:r w:rsidRPr="009D45DB">
              <w:rPr>
                <w:rFonts w:ascii="Times New Roman" w:eastAsia="Times New Roman" w:hAnsi="Times New Roman" w:cs="Times New Roman"/>
                <w:b/>
                <w:color w:val="000000"/>
                <w:sz w:val="24"/>
                <w:szCs w:val="24"/>
                <w:lang w:eastAsia="ru-RU"/>
              </w:rPr>
              <w:t>40,46 грн.</w:t>
            </w:r>
          </w:p>
        </w:tc>
        <w:tc>
          <w:tcPr>
            <w:tcW w:w="1776" w:type="dxa"/>
            <w:tcBorders>
              <w:top w:val="single" w:sz="4" w:space="0" w:color="auto"/>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color w:val="000000"/>
                <w:sz w:val="24"/>
                <w:szCs w:val="24"/>
                <w:lang w:eastAsia="ru-RU"/>
              </w:rPr>
              <w:t>0,00 грн.</w:t>
            </w:r>
          </w:p>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(припущено, що суб’єкт повинен виконувати вимоги регулювання лише в перший рік; за результатами консультацій)</w:t>
            </w:r>
          </w:p>
        </w:tc>
        <w:tc>
          <w:tcPr>
            <w:tcW w:w="1374" w:type="dxa"/>
            <w:tcBorders>
              <w:top w:val="single" w:sz="4" w:space="0" w:color="auto"/>
              <w:bottom w:val="single" w:sz="4"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40,46 грн.</w:t>
            </w:r>
          </w:p>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 xml:space="preserve"> </w:t>
            </w:r>
          </w:p>
        </w:tc>
      </w:tr>
      <w:tr w:rsidR="00914EE3" w:rsidRPr="009D45DB" w:rsidTr="00401018">
        <w:trPr>
          <w:trHeight w:val="4260"/>
        </w:trPr>
        <w:tc>
          <w:tcPr>
            <w:tcW w:w="1104" w:type="dxa"/>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10.</w:t>
            </w:r>
          </w:p>
        </w:tc>
        <w:tc>
          <w:tcPr>
            <w:tcW w:w="3113" w:type="dxa"/>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Процедури організації виконання вимог регулювання</w:t>
            </w:r>
          </w:p>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Формула:</w:t>
            </w:r>
          </w:p>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витрати часу на 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tc>
        <w:tc>
          <w:tcPr>
            <w:tcW w:w="2273" w:type="dxa"/>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r>
      <w:tr w:rsidR="00914EE3" w:rsidRPr="009D45DB" w:rsidTr="00401018">
        <w:trPr>
          <w:trHeight w:val="770"/>
        </w:trPr>
        <w:tc>
          <w:tcPr>
            <w:tcW w:w="1104" w:type="dxa"/>
            <w:tcBorders>
              <w:top w:val="single" w:sz="4" w:space="0" w:color="000000"/>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10.1.</w:t>
            </w:r>
          </w:p>
        </w:tc>
        <w:tc>
          <w:tcPr>
            <w:tcW w:w="3113" w:type="dxa"/>
            <w:tcBorders>
              <w:top w:val="single" w:sz="4"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актуалізація відомостей (даних) в Єдиній державній електронній системі у сфері будівництва</w:t>
            </w:r>
          </w:p>
        </w:tc>
        <w:tc>
          <w:tcPr>
            <w:tcW w:w="2273" w:type="dxa"/>
            <w:tcBorders>
              <w:top w:val="single" w:sz="4"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b/>
                <w:bCs/>
                <w:color w:val="000000"/>
                <w:sz w:val="24"/>
                <w:szCs w:val="24"/>
                <w:lang w:eastAsia="ru-RU"/>
              </w:rPr>
            </w:pPr>
            <w:r w:rsidRPr="009D45DB">
              <w:rPr>
                <w:rFonts w:ascii="Times New Roman" w:eastAsia="Times New Roman" w:hAnsi="Times New Roman" w:cs="Times New Roman"/>
                <w:color w:val="000000"/>
                <w:sz w:val="24"/>
                <w:szCs w:val="24"/>
                <w:lang w:eastAsia="ru-RU"/>
              </w:rPr>
              <w:t>10 години-(час, який витрачається с/г на підготовку документів необхідних для проходження процедури) Х 40,46 грн. =</w:t>
            </w:r>
            <w:r w:rsidRPr="009D45DB">
              <w:rPr>
                <w:rFonts w:ascii="Times New Roman" w:eastAsia="Times New Roman" w:hAnsi="Times New Roman" w:cs="Times New Roman"/>
                <w:b/>
                <w:bCs/>
                <w:color w:val="000000"/>
                <w:sz w:val="24"/>
                <w:szCs w:val="24"/>
                <w:lang w:eastAsia="ru-RU"/>
              </w:rPr>
              <w:t>404,60 грн.</w:t>
            </w:r>
          </w:p>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p>
        </w:tc>
        <w:tc>
          <w:tcPr>
            <w:tcW w:w="1776" w:type="dxa"/>
            <w:tcBorders>
              <w:top w:val="single" w:sz="4"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374" w:type="dxa"/>
            <w:tcBorders>
              <w:top w:val="single" w:sz="4"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r>
      <w:tr w:rsidR="00914EE3" w:rsidRPr="009D45DB" w:rsidTr="00401018">
        <w:trPr>
          <w:trHeight w:val="1055"/>
        </w:trPr>
        <w:tc>
          <w:tcPr>
            <w:tcW w:w="1104" w:type="dxa"/>
            <w:tcBorders>
              <w:top w:val="single" w:sz="4" w:space="0" w:color="auto"/>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10.2.</w:t>
            </w:r>
          </w:p>
        </w:tc>
        <w:tc>
          <w:tcPr>
            <w:tcW w:w="3113"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проходження процедури верифікації відомостей</w:t>
            </w:r>
          </w:p>
        </w:tc>
        <w:tc>
          <w:tcPr>
            <w:tcW w:w="2273"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 xml:space="preserve">2 години -(час, який витрачається с/г на підготовку документів необхідних для проходження процедури) Х 40,46 </w:t>
            </w:r>
            <w:r w:rsidRPr="009D45DB">
              <w:rPr>
                <w:rFonts w:ascii="Times New Roman" w:eastAsia="Times New Roman" w:hAnsi="Times New Roman" w:cs="Times New Roman"/>
                <w:color w:val="000000"/>
                <w:sz w:val="24"/>
                <w:szCs w:val="24"/>
                <w:lang w:eastAsia="ru-RU"/>
              </w:rPr>
              <w:lastRenderedPageBreak/>
              <w:t>=</w:t>
            </w:r>
            <w:r w:rsidRPr="009D45DB">
              <w:rPr>
                <w:rFonts w:ascii="Times New Roman" w:eastAsia="Times New Roman" w:hAnsi="Times New Roman" w:cs="Times New Roman"/>
                <w:b/>
                <w:bCs/>
                <w:color w:val="000000"/>
                <w:sz w:val="24"/>
                <w:szCs w:val="24"/>
                <w:lang w:eastAsia="ru-RU"/>
              </w:rPr>
              <w:t>80,92 грн</w:t>
            </w:r>
            <w:r w:rsidRPr="009D45DB">
              <w:rPr>
                <w:rFonts w:ascii="Times New Roman" w:eastAsia="Times New Roman" w:hAnsi="Times New Roman" w:cs="Times New Roman"/>
                <w:color w:val="000000"/>
                <w:sz w:val="24"/>
                <w:szCs w:val="24"/>
                <w:lang w:eastAsia="ru-RU"/>
              </w:rPr>
              <w:t>.</w:t>
            </w:r>
          </w:p>
        </w:tc>
        <w:tc>
          <w:tcPr>
            <w:tcW w:w="1776"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vertAlign w:val="subscript"/>
                <w:lang w:eastAsia="ru-RU"/>
              </w:rPr>
              <w:lastRenderedPageBreak/>
              <w:t>-</w:t>
            </w:r>
          </w:p>
        </w:tc>
        <w:tc>
          <w:tcPr>
            <w:tcW w:w="1374"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vertAlign w:val="subscript"/>
                <w:lang w:eastAsia="ru-RU"/>
              </w:rPr>
              <w:t>-</w:t>
            </w:r>
          </w:p>
        </w:tc>
      </w:tr>
      <w:tr w:rsidR="00914EE3" w:rsidRPr="009D45DB" w:rsidTr="00401018">
        <w:trPr>
          <w:trHeight w:val="1055"/>
        </w:trPr>
        <w:tc>
          <w:tcPr>
            <w:tcW w:w="1104" w:type="dxa"/>
            <w:tcBorders>
              <w:left w:val="single" w:sz="8" w:space="0" w:color="000000"/>
              <w:bottom w:val="single" w:sz="4" w:space="0" w:color="auto"/>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10.3.</w:t>
            </w:r>
          </w:p>
        </w:tc>
        <w:tc>
          <w:tcPr>
            <w:tcW w:w="3113" w:type="dxa"/>
            <w:tcBorders>
              <w:bottom w:val="single" w:sz="4" w:space="0" w:color="auto"/>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отримання банківської гарантії;</w:t>
            </w:r>
          </w:p>
        </w:tc>
        <w:tc>
          <w:tcPr>
            <w:tcW w:w="2273" w:type="dxa"/>
            <w:tcBorders>
              <w:bottom w:val="single" w:sz="4" w:space="0" w:color="auto"/>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2 години -(час, який витрачається с/г на підготовку документів необхідних для проходження процедури) Х 40,46 =</w:t>
            </w:r>
            <w:r w:rsidRPr="009D45DB">
              <w:rPr>
                <w:rFonts w:ascii="Times New Roman" w:eastAsia="Times New Roman" w:hAnsi="Times New Roman" w:cs="Times New Roman"/>
                <w:b/>
                <w:bCs/>
                <w:color w:val="000000"/>
                <w:sz w:val="24"/>
                <w:szCs w:val="24"/>
                <w:lang w:eastAsia="ru-RU"/>
              </w:rPr>
              <w:t>80,92 грн.</w:t>
            </w:r>
          </w:p>
        </w:tc>
        <w:tc>
          <w:tcPr>
            <w:tcW w:w="1776" w:type="dxa"/>
            <w:tcBorders>
              <w:bottom w:val="single" w:sz="4" w:space="0" w:color="auto"/>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vertAlign w:val="subscript"/>
                <w:lang w:eastAsia="ru-RU"/>
              </w:rPr>
              <w:t>-</w:t>
            </w:r>
          </w:p>
        </w:tc>
        <w:tc>
          <w:tcPr>
            <w:tcW w:w="1374" w:type="dxa"/>
            <w:tcBorders>
              <w:bottom w:val="single" w:sz="4" w:space="0" w:color="auto"/>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vertAlign w:val="subscript"/>
                <w:lang w:eastAsia="ru-RU"/>
              </w:rPr>
              <w:t>-</w:t>
            </w:r>
          </w:p>
        </w:tc>
      </w:tr>
      <w:tr w:rsidR="00914EE3" w:rsidRPr="009D45DB" w:rsidTr="00401018">
        <w:trPr>
          <w:trHeight w:val="1055"/>
        </w:trPr>
        <w:tc>
          <w:tcPr>
            <w:tcW w:w="1104" w:type="dxa"/>
            <w:tcBorders>
              <w:top w:val="single" w:sz="4" w:space="0" w:color="auto"/>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10.4.</w:t>
            </w:r>
          </w:p>
        </w:tc>
        <w:tc>
          <w:tcPr>
            <w:tcW w:w="3113"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визначення переліку майбутніх об’єктів нерухомості які складатимуть гарантійну частку</w:t>
            </w:r>
          </w:p>
        </w:tc>
        <w:tc>
          <w:tcPr>
            <w:tcW w:w="2273"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1 година -(час, який витрачається с/г на визначення) Х 40,46 =</w:t>
            </w:r>
            <w:r w:rsidRPr="009D45DB">
              <w:rPr>
                <w:rFonts w:ascii="Times New Roman" w:eastAsia="Times New Roman" w:hAnsi="Times New Roman" w:cs="Times New Roman"/>
                <w:b/>
                <w:bCs/>
                <w:color w:val="000000"/>
                <w:sz w:val="24"/>
                <w:szCs w:val="24"/>
                <w:lang w:eastAsia="ru-RU"/>
              </w:rPr>
              <w:t>40,46 грн</w:t>
            </w:r>
            <w:r w:rsidRPr="009D45DB">
              <w:rPr>
                <w:rFonts w:ascii="Times New Roman" w:eastAsia="Times New Roman" w:hAnsi="Times New Roman" w:cs="Times New Roman"/>
                <w:color w:val="000000"/>
                <w:sz w:val="24"/>
                <w:szCs w:val="24"/>
                <w:lang w:eastAsia="ru-RU"/>
              </w:rPr>
              <w:t>.</w:t>
            </w:r>
          </w:p>
        </w:tc>
        <w:tc>
          <w:tcPr>
            <w:tcW w:w="1776"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vertAlign w:val="subscript"/>
                <w:lang w:eastAsia="ru-RU"/>
              </w:rPr>
              <w:t>-</w:t>
            </w:r>
          </w:p>
        </w:tc>
        <w:tc>
          <w:tcPr>
            <w:tcW w:w="1374"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vertAlign w:val="subscript"/>
                <w:lang w:eastAsia="ru-RU"/>
              </w:rPr>
              <w:t>-</w:t>
            </w:r>
          </w:p>
        </w:tc>
      </w:tr>
      <w:tr w:rsidR="00914EE3" w:rsidRPr="009D45DB" w:rsidTr="00401018">
        <w:trPr>
          <w:trHeight w:val="1055"/>
        </w:trPr>
        <w:tc>
          <w:tcPr>
            <w:tcW w:w="1104" w:type="dxa"/>
            <w:tcBorders>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10.5.</w:t>
            </w:r>
          </w:p>
        </w:tc>
        <w:tc>
          <w:tcPr>
            <w:tcW w:w="3113"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подання заяви на державну реєстрацію</w:t>
            </w:r>
          </w:p>
        </w:tc>
        <w:tc>
          <w:tcPr>
            <w:tcW w:w="2273"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1 година -(час, який витрачається с/г на підготовку заяви) Х 40,46 =</w:t>
            </w:r>
            <w:r w:rsidRPr="009D45DB">
              <w:rPr>
                <w:rFonts w:ascii="Times New Roman" w:eastAsia="Times New Roman" w:hAnsi="Times New Roman" w:cs="Times New Roman"/>
                <w:b/>
                <w:bCs/>
                <w:color w:val="000000"/>
                <w:sz w:val="24"/>
                <w:szCs w:val="24"/>
                <w:lang w:eastAsia="ru-RU"/>
              </w:rPr>
              <w:t>40,46 грн.</w:t>
            </w:r>
          </w:p>
        </w:tc>
        <w:tc>
          <w:tcPr>
            <w:tcW w:w="1776"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374"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r>
      <w:tr w:rsidR="00914EE3" w:rsidRPr="009D45DB" w:rsidTr="00401018">
        <w:trPr>
          <w:trHeight w:val="500"/>
        </w:trPr>
        <w:tc>
          <w:tcPr>
            <w:tcW w:w="1104" w:type="dxa"/>
            <w:tcBorders>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11.</w:t>
            </w:r>
          </w:p>
        </w:tc>
        <w:tc>
          <w:tcPr>
            <w:tcW w:w="3113"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Інші процедури:</w:t>
            </w:r>
          </w:p>
        </w:tc>
        <w:tc>
          <w:tcPr>
            <w:tcW w:w="2273"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776"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c>
          <w:tcPr>
            <w:tcW w:w="1374"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w:t>
            </w:r>
          </w:p>
        </w:tc>
      </w:tr>
      <w:tr w:rsidR="00914EE3" w:rsidRPr="009D45DB" w:rsidTr="00401018">
        <w:trPr>
          <w:trHeight w:val="420"/>
        </w:trPr>
        <w:tc>
          <w:tcPr>
            <w:tcW w:w="1104" w:type="dxa"/>
            <w:tcBorders>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12.</w:t>
            </w:r>
          </w:p>
        </w:tc>
        <w:tc>
          <w:tcPr>
            <w:tcW w:w="3113"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Разом, гривень</w:t>
            </w:r>
          </w:p>
        </w:tc>
        <w:tc>
          <w:tcPr>
            <w:tcW w:w="2273"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687,82 грн.</w:t>
            </w:r>
          </w:p>
        </w:tc>
        <w:tc>
          <w:tcPr>
            <w:tcW w:w="1776"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Х</w:t>
            </w:r>
          </w:p>
        </w:tc>
        <w:tc>
          <w:tcPr>
            <w:tcW w:w="1374"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Х</w:t>
            </w:r>
          </w:p>
        </w:tc>
      </w:tr>
      <w:tr w:rsidR="00914EE3" w:rsidRPr="009D45DB" w:rsidTr="00401018">
        <w:trPr>
          <w:trHeight w:val="1340"/>
        </w:trPr>
        <w:tc>
          <w:tcPr>
            <w:tcW w:w="1104" w:type="dxa"/>
            <w:tcBorders>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13.</w:t>
            </w:r>
          </w:p>
        </w:tc>
        <w:tc>
          <w:tcPr>
            <w:tcW w:w="3113"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Кількість суб’єктів малого підприємництва, що повинні виконати вимоги регулювання, одиниць.</w:t>
            </w:r>
          </w:p>
        </w:tc>
        <w:tc>
          <w:tcPr>
            <w:tcW w:w="2273"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1</w:t>
            </w:r>
          </w:p>
        </w:tc>
        <w:tc>
          <w:tcPr>
            <w:tcW w:w="1776"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Х</w:t>
            </w:r>
          </w:p>
        </w:tc>
        <w:tc>
          <w:tcPr>
            <w:tcW w:w="1374"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Х</w:t>
            </w:r>
          </w:p>
        </w:tc>
      </w:tr>
      <w:tr w:rsidR="00914EE3" w:rsidRPr="009D45DB" w:rsidTr="00401018">
        <w:trPr>
          <w:trHeight w:val="480"/>
        </w:trPr>
        <w:tc>
          <w:tcPr>
            <w:tcW w:w="1104" w:type="dxa"/>
            <w:tcBorders>
              <w:top w:val="single" w:sz="4" w:space="0" w:color="auto"/>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14.</w:t>
            </w:r>
          </w:p>
        </w:tc>
        <w:tc>
          <w:tcPr>
            <w:tcW w:w="3113"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Сумарно, гривень</w:t>
            </w:r>
          </w:p>
        </w:tc>
        <w:tc>
          <w:tcPr>
            <w:tcW w:w="2273"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color w:val="000000"/>
                <w:sz w:val="24"/>
                <w:szCs w:val="24"/>
                <w:lang w:eastAsia="ru-RU"/>
              </w:rPr>
              <w:t>687,82 грн.</w:t>
            </w:r>
          </w:p>
        </w:tc>
        <w:tc>
          <w:tcPr>
            <w:tcW w:w="1776"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Х</w:t>
            </w:r>
          </w:p>
        </w:tc>
        <w:tc>
          <w:tcPr>
            <w:tcW w:w="1374"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
                <w:bCs/>
                <w:color w:val="000000"/>
                <w:sz w:val="24"/>
                <w:szCs w:val="24"/>
                <w:lang w:eastAsia="ru-RU"/>
              </w:rPr>
              <w:t>40,46 грн.</w:t>
            </w:r>
          </w:p>
        </w:tc>
      </w:tr>
    </w:tbl>
    <w:p w:rsidR="00914EE3" w:rsidRPr="00914EE3"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p>
    <w:p w:rsidR="00914EE3" w:rsidRPr="00914EE3" w:rsidRDefault="00914EE3" w:rsidP="00914EE3">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6"/>
          <w:szCs w:val="26"/>
          <w:lang w:eastAsia="ru-RU"/>
        </w:rPr>
      </w:pPr>
      <w:r w:rsidRPr="00914EE3">
        <w:rPr>
          <w:rFonts w:ascii="Times New Roman" w:eastAsia="Times New Roman" w:hAnsi="Times New Roman" w:cs="Times New Roman"/>
          <w:color w:val="000000"/>
          <w:sz w:val="26"/>
          <w:szCs w:val="26"/>
          <w:lang w:eastAsia="ru-RU"/>
        </w:rPr>
        <w:t>4. Бюджетні витрати на адміністрування регулювання суб’єктів малого підприємництва.</w:t>
      </w:r>
    </w:p>
    <w:p w:rsidR="00914EE3" w:rsidRPr="00914EE3" w:rsidRDefault="00914EE3" w:rsidP="00914EE3">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6"/>
          <w:szCs w:val="26"/>
          <w:vertAlign w:val="subscript"/>
          <w:lang w:eastAsia="ru-RU"/>
        </w:rPr>
      </w:pPr>
      <w:r w:rsidRPr="00914EE3">
        <w:rPr>
          <w:rFonts w:ascii="Times New Roman" w:eastAsia="Times New Roman" w:hAnsi="Times New Roman" w:cs="Times New Roman"/>
          <w:color w:val="000000"/>
          <w:sz w:val="26"/>
          <w:szCs w:val="26"/>
          <w:lang w:eastAsia="ru-RU"/>
        </w:rPr>
        <w:t>Додаткові витрати на виконання вимог регуляторного акту з боку органів виконавчої влади або органів місцевого самоврядування відсутні.</w:t>
      </w:r>
    </w:p>
    <w:p w:rsidR="00914EE3" w:rsidRPr="00914EE3" w:rsidRDefault="00914EE3" w:rsidP="00914EE3">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6"/>
          <w:szCs w:val="26"/>
          <w:vertAlign w:val="subscript"/>
          <w:lang w:eastAsia="ru-RU"/>
        </w:rPr>
      </w:pPr>
      <w:r w:rsidRPr="00914EE3">
        <w:rPr>
          <w:rFonts w:ascii="Times New Roman" w:eastAsia="Times New Roman" w:hAnsi="Times New Roman" w:cs="Times New Roman"/>
          <w:color w:val="000000"/>
          <w:sz w:val="26"/>
          <w:szCs w:val="26"/>
          <w:lang w:eastAsia="ru-RU"/>
        </w:rPr>
        <w:t>Витрати на виконання вимог регуляторного акту з боку органів виконавчої влади або органів місцевого самоврядування будуть відповідати витратам на заробітну плату співробітників, які за функціональними обов’язками уже здійснюють та в подальшому здійснюватимуть відповідні заходи.</w:t>
      </w:r>
    </w:p>
    <w:p w:rsidR="00914EE3" w:rsidRPr="00914EE3" w:rsidRDefault="00914EE3" w:rsidP="00914EE3">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6"/>
          <w:szCs w:val="26"/>
          <w:vertAlign w:val="subscript"/>
          <w:lang w:eastAsia="ru-RU"/>
        </w:rPr>
      </w:pPr>
      <w:r w:rsidRPr="00914EE3">
        <w:rPr>
          <w:rFonts w:ascii="Times New Roman" w:eastAsia="Times New Roman" w:hAnsi="Times New Roman" w:cs="Times New Roman"/>
          <w:color w:val="000000"/>
          <w:sz w:val="26"/>
          <w:szCs w:val="26"/>
          <w:lang w:eastAsia="ru-RU"/>
        </w:rPr>
        <w:t>Державне регулювання не передбачає утворення нового державного органу або нового структурного підрозділу діючого органу.</w:t>
      </w:r>
    </w:p>
    <w:p w:rsidR="00914EE3" w:rsidRPr="00914EE3"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6"/>
          <w:szCs w:val="26"/>
          <w:vertAlign w:val="subscript"/>
          <w:lang w:eastAsia="ru-RU"/>
        </w:rPr>
      </w:pPr>
    </w:p>
    <w:p w:rsidR="00914EE3" w:rsidRPr="00914EE3" w:rsidRDefault="00914EE3" w:rsidP="00914EE3">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6"/>
          <w:szCs w:val="26"/>
          <w:vertAlign w:val="subscript"/>
          <w:lang w:eastAsia="ru-RU"/>
        </w:rPr>
      </w:pPr>
      <w:r w:rsidRPr="00914EE3">
        <w:rPr>
          <w:rFonts w:ascii="Times New Roman" w:eastAsia="Times New Roman" w:hAnsi="Times New Roman" w:cs="Times New Roman"/>
          <w:color w:val="000000"/>
          <w:sz w:val="26"/>
          <w:szCs w:val="26"/>
          <w:lang w:eastAsia="ru-RU"/>
        </w:rPr>
        <w:lastRenderedPageBreak/>
        <w:t>5. Розрахунок сумарних витрат суб’єктів малого підприємництва, що виникають на виконання вимог регулювання</w:t>
      </w:r>
    </w:p>
    <w:tbl>
      <w:tblPr>
        <w:tblW w:w="9417" w:type="dxa"/>
        <w:tblInd w:w="190" w:type="dxa"/>
        <w:tblLayout w:type="fixed"/>
        <w:tblCellMar>
          <w:top w:w="100" w:type="dxa"/>
          <w:left w:w="100" w:type="dxa"/>
          <w:bottom w:w="100" w:type="dxa"/>
          <w:right w:w="100" w:type="dxa"/>
        </w:tblCellMar>
        <w:tblLook w:val="0000" w:firstRow="0" w:lastRow="0" w:firstColumn="0" w:lastColumn="0" w:noHBand="0" w:noVBand="0"/>
      </w:tblPr>
      <w:tblGrid>
        <w:gridCol w:w="1785"/>
        <w:gridCol w:w="3544"/>
        <w:gridCol w:w="2144"/>
        <w:gridCol w:w="1944"/>
      </w:tblGrid>
      <w:tr w:rsidR="00914EE3" w:rsidRPr="009D45DB" w:rsidTr="00401018">
        <w:trPr>
          <w:trHeight w:val="1055"/>
        </w:trPr>
        <w:tc>
          <w:tcPr>
            <w:tcW w:w="1785" w:type="dxa"/>
            <w:tcBorders>
              <w:top w:val="single" w:sz="8" w:space="0" w:color="000000"/>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Порядковий номер</w:t>
            </w:r>
          </w:p>
        </w:tc>
        <w:tc>
          <w:tcPr>
            <w:tcW w:w="3544" w:type="dxa"/>
            <w:tcBorders>
              <w:top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Показник</w:t>
            </w:r>
          </w:p>
        </w:tc>
        <w:tc>
          <w:tcPr>
            <w:tcW w:w="2144" w:type="dxa"/>
            <w:tcBorders>
              <w:top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Перший рік регулювання (стартовий)</w:t>
            </w:r>
          </w:p>
        </w:tc>
        <w:tc>
          <w:tcPr>
            <w:tcW w:w="1944" w:type="dxa"/>
            <w:tcBorders>
              <w:top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За п’ять років</w:t>
            </w:r>
          </w:p>
        </w:tc>
      </w:tr>
      <w:tr w:rsidR="00914EE3" w:rsidRPr="009D45DB" w:rsidTr="00401018">
        <w:trPr>
          <w:trHeight w:val="1256"/>
        </w:trPr>
        <w:tc>
          <w:tcPr>
            <w:tcW w:w="1785" w:type="dxa"/>
            <w:tcBorders>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1</w:t>
            </w:r>
          </w:p>
        </w:tc>
        <w:tc>
          <w:tcPr>
            <w:tcW w:w="3544"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Оцінка “прямих” витрат суб’єктів малого підприємництва на виконання регулювання</w:t>
            </w:r>
          </w:p>
        </w:tc>
        <w:tc>
          <w:tcPr>
            <w:tcW w:w="2144"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0,00 грн.</w:t>
            </w:r>
          </w:p>
        </w:tc>
        <w:tc>
          <w:tcPr>
            <w:tcW w:w="1944"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0,00 грн.</w:t>
            </w:r>
          </w:p>
        </w:tc>
      </w:tr>
      <w:tr w:rsidR="00914EE3" w:rsidRPr="009D45DB" w:rsidTr="00401018">
        <w:trPr>
          <w:trHeight w:val="1126"/>
        </w:trPr>
        <w:tc>
          <w:tcPr>
            <w:tcW w:w="1785" w:type="dxa"/>
            <w:tcBorders>
              <w:top w:val="single" w:sz="4" w:space="0" w:color="000000"/>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2</w:t>
            </w:r>
          </w:p>
        </w:tc>
        <w:tc>
          <w:tcPr>
            <w:tcW w:w="3544" w:type="dxa"/>
            <w:tcBorders>
              <w:top w:val="single" w:sz="4"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 xml:space="preserve">Оцінка вартості процедур для суб’єктів малого підприємництва щодо виконання регулювання </w:t>
            </w:r>
          </w:p>
        </w:tc>
        <w:tc>
          <w:tcPr>
            <w:tcW w:w="2144" w:type="dxa"/>
            <w:tcBorders>
              <w:top w:val="single" w:sz="4"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687,82 грн.</w:t>
            </w:r>
          </w:p>
        </w:tc>
        <w:tc>
          <w:tcPr>
            <w:tcW w:w="1944" w:type="dxa"/>
            <w:tcBorders>
              <w:top w:val="single" w:sz="4"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0,00 грн</w:t>
            </w:r>
          </w:p>
        </w:tc>
      </w:tr>
      <w:tr w:rsidR="00914EE3" w:rsidRPr="009D45DB" w:rsidTr="00401018">
        <w:trPr>
          <w:trHeight w:val="740"/>
        </w:trPr>
        <w:tc>
          <w:tcPr>
            <w:tcW w:w="1785" w:type="dxa"/>
            <w:tcBorders>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3</w:t>
            </w:r>
          </w:p>
        </w:tc>
        <w:tc>
          <w:tcPr>
            <w:tcW w:w="3544"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Сумарні витрати малого підприємництва на виконання запланованого  регулювання</w:t>
            </w:r>
          </w:p>
        </w:tc>
        <w:tc>
          <w:tcPr>
            <w:tcW w:w="2144"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687,82 грн.</w:t>
            </w:r>
          </w:p>
        </w:tc>
        <w:tc>
          <w:tcPr>
            <w:tcW w:w="1944"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9D45DB">
              <w:rPr>
                <w:rFonts w:ascii="Times New Roman" w:eastAsia="Times New Roman" w:hAnsi="Times New Roman" w:cs="Times New Roman"/>
                <w:color w:val="000000"/>
                <w:sz w:val="24"/>
                <w:szCs w:val="24"/>
                <w:lang w:eastAsia="ru-RU"/>
              </w:rPr>
              <w:t>Х</w:t>
            </w:r>
          </w:p>
        </w:tc>
      </w:tr>
      <w:tr w:rsidR="00914EE3" w:rsidRPr="009D45DB" w:rsidTr="00401018">
        <w:trPr>
          <w:trHeight w:val="1183"/>
        </w:trPr>
        <w:tc>
          <w:tcPr>
            <w:tcW w:w="1785" w:type="dxa"/>
            <w:tcBorders>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4</w:t>
            </w:r>
          </w:p>
        </w:tc>
        <w:tc>
          <w:tcPr>
            <w:tcW w:w="3544"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Бюджетні витрати  на адміністрування регулювання суб’єктів малого підприємництва</w:t>
            </w:r>
          </w:p>
        </w:tc>
        <w:tc>
          <w:tcPr>
            <w:tcW w:w="2144"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Cs/>
                <w:color w:val="000000"/>
                <w:sz w:val="24"/>
                <w:szCs w:val="24"/>
                <w:lang w:eastAsia="ru-RU"/>
              </w:rPr>
              <w:t>0,00 грн.</w:t>
            </w:r>
          </w:p>
        </w:tc>
        <w:tc>
          <w:tcPr>
            <w:tcW w:w="1944" w:type="dxa"/>
            <w:tcBorders>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Cs/>
                <w:color w:val="000000"/>
                <w:sz w:val="24"/>
                <w:szCs w:val="24"/>
                <w:lang w:eastAsia="ru-RU"/>
              </w:rPr>
              <w:t>0,00 грн.</w:t>
            </w:r>
          </w:p>
        </w:tc>
      </w:tr>
      <w:tr w:rsidR="00914EE3" w:rsidRPr="009D45DB" w:rsidTr="00401018">
        <w:trPr>
          <w:trHeight w:val="614"/>
        </w:trPr>
        <w:tc>
          <w:tcPr>
            <w:tcW w:w="1785" w:type="dxa"/>
            <w:tcBorders>
              <w:top w:val="single" w:sz="4" w:space="0" w:color="auto"/>
              <w:left w:val="single" w:sz="8" w:space="0" w:color="000000"/>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center"/>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5</w:t>
            </w:r>
          </w:p>
        </w:tc>
        <w:tc>
          <w:tcPr>
            <w:tcW w:w="3544"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Сумарні витрати на виконання запланованого регулювання</w:t>
            </w:r>
          </w:p>
        </w:tc>
        <w:tc>
          <w:tcPr>
            <w:tcW w:w="2144"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color w:val="000000"/>
                <w:sz w:val="24"/>
                <w:szCs w:val="24"/>
                <w:lang w:eastAsia="ru-RU"/>
              </w:rPr>
              <w:t>687,82 грн.</w:t>
            </w:r>
          </w:p>
        </w:tc>
        <w:tc>
          <w:tcPr>
            <w:tcW w:w="1944" w:type="dxa"/>
            <w:tcBorders>
              <w:top w:val="single" w:sz="4" w:space="0" w:color="auto"/>
              <w:bottom w:val="single" w:sz="8" w:space="0" w:color="000000"/>
              <w:right w:val="single" w:sz="8" w:space="0" w:color="000000"/>
            </w:tcBorders>
            <w:shd w:val="clear" w:color="auto" w:fill="auto"/>
          </w:tcPr>
          <w:p w:rsidR="00914EE3" w:rsidRPr="009D45DB" w:rsidRDefault="00914EE3" w:rsidP="00401018">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vertAlign w:val="subscript"/>
                <w:lang w:eastAsia="ru-RU"/>
              </w:rPr>
            </w:pPr>
            <w:r w:rsidRPr="009D45DB">
              <w:rPr>
                <w:rFonts w:ascii="Times New Roman" w:eastAsia="Times New Roman" w:hAnsi="Times New Roman" w:cs="Times New Roman"/>
                <w:bCs/>
                <w:color w:val="000000"/>
                <w:sz w:val="24"/>
                <w:szCs w:val="24"/>
                <w:lang w:eastAsia="ru-RU"/>
              </w:rPr>
              <w:t>0,00 грн.</w:t>
            </w:r>
          </w:p>
        </w:tc>
      </w:tr>
    </w:tbl>
    <w:p w:rsidR="00914EE3" w:rsidRPr="009D45DB"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b/>
          <w:bCs/>
          <w:color w:val="000000"/>
          <w:sz w:val="24"/>
          <w:szCs w:val="24"/>
          <w:lang w:eastAsia="ru-RU"/>
        </w:rPr>
      </w:pPr>
    </w:p>
    <w:p w:rsidR="00914EE3" w:rsidRPr="00914EE3" w:rsidRDefault="00914EE3" w:rsidP="00914EE3">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6"/>
          <w:szCs w:val="26"/>
          <w:vertAlign w:val="subscript"/>
          <w:lang w:eastAsia="ru-RU"/>
        </w:rPr>
      </w:pPr>
      <w:r w:rsidRPr="00914EE3">
        <w:rPr>
          <w:rFonts w:ascii="Times New Roman" w:eastAsia="Times New Roman" w:hAnsi="Times New Roman" w:cs="Times New Roman"/>
          <w:bCs/>
          <w:color w:val="000000"/>
          <w:sz w:val="26"/>
          <w:szCs w:val="26"/>
          <w:lang w:eastAsia="ru-RU"/>
        </w:rPr>
        <w:t>6. Розроблення коригуючих (пом’якшувальних) заходів для малого підприємництва щодо запропонованого регулювання</w:t>
      </w:r>
    </w:p>
    <w:p w:rsidR="00914EE3" w:rsidRPr="00914EE3" w:rsidRDefault="00914EE3" w:rsidP="00914EE3">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6"/>
          <w:szCs w:val="26"/>
          <w:vertAlign w:val="subscript"/>
          <w:lang w:eastAsia="ru-RU"/>
        </w:rPr>
      </w:pPr>
      <w:r w:rsidRPr="00914EE3">
        <w:rPr>
          <w:rFonts w:ascii="Times New Roman" w:eastAsia="Times New Roman" w:hAnsi="Times New Roman" w:cs="Times New Roman"/>
          <w:color w:val="000000"/>
          <w:sz w:val="26"/>
          <w:szCs w:val="26"/>
          <w:lang w:eastAsia="ru-RU"/>
        </w:rPr>
        <w:t>Не передбачається розроблення коригуючих заходів, оскільки нове регулювання застосовується у добровільному порядку.</w:t>
      </w:r>
    </w:p>
    <w:p w:rsidR="00914EE3" w:rsidRPr="008C1ABB" w:rsidRDefault="00914EE3" w:rsidP="00914EE3">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p>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8"/>
          <w:szCs w:val="28"/>
          <w:lang w:eastAsia="ru-RU"/>
        </w:rPr>
        <w:t xml:space="preserve">VII. Обґрунтування запропонованого строку дії регуляторного </w:t>
      </w:r>
      <w:proofErr w:type="spellStart"/>
      <w:r w:rsidRPr="008C1ABB">
        <w:rPr>
          <w:rFonts w:ascii="Times New Roman" w:eastAsia="Times New Roman" w:hAnsi="Times New Roman" w:cs="Times New Roman"/>
          <w:b/>
          <w:color w:val="000000"/>
          <w:sz w:val="28"/>
          <w:szCs w:val="28"/>
          <w:lang w:eastAsia="ru-RU"/>
        </w:rPr>
        <w:t>акта</w:t>
      </w:r>
      <w:proofErr w:type="spellEnd"/>
    </w:p>
    <w:p w:rsidR="008C1ABB" w:rsidRPr="008C1ABB" w:rsidRDefault="008C1ABB" w:rsidP="008C1ABB">
      <w:pPr>
        <w:shd w:val="clear" w:color="auto" w:fill="FFFFFF"/>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Строк дії цього регуляторного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 xml:space="preserve"> встановлюється на необмежений строк, оскільки він регулює відносини, які мають пролонгований характер. Зміна строку дії регуляторного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 xml:space="preserve"> можлива в разі зміни міжнародно-правових актів чи законодавчих актів України вищої юридичної сили на виконання яких розроблений цей проект регуляторного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w:t>
      </w:r>
    </w:p>
    <w:p w:rsidR="008C1ABB" w:rsidRPr="008C1ABB" w:rsidRDefault="008C1ABB" w:rsidP="008C1ABB">
      <w:pPr>
        <w:shd w:val="clear" w:color="auto" w:fill="FFFFFF"/>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Строк набрання чинності регуляторним актом – відповідно до законодавства після його офіційного оприлюднення.</w:t>
      </w:r>
    </w:p>
    <w:p w:rsidR="008C1ABB" w:rsidRPr="008C1ABB" w:rsidRDefault="008C1ABB" w:rsidP="008C1ABB">
      <w:pPr>
        <w:shd w:val="clear" w:color="auto" w:fill="FFFFFF"/>
        <w:suppressAutoHyphens/>
        <w:spacing w:after="0" w:line="240" w:lineRule="auto"/>
        <w:ind w:left="1" w:firstLine="566"/>
        <w:jc w:val="both"/>
        <w:textAlignment w:val="top"/>
        <w:outlineLvl w:val="0"/>
        <w:rPr>
          <w:rFonts w:ascii="Times New Roman" w:eastAsia="Times New Roman" w:hAnsi="Times New Roman" w:cs="Times New Roman"/>
          <w:color w:val="000000"/>
          <w:sz w:val="28"/>
          <w:szCs w:val="28"/>
          <w:lang w:eastAsia="ru-RU"/>
        </w:rPr>
      </w:pPr>
    </w:p>
    <w:p w:rsidR="008C1ABB" w:rsidRPr="008C1ABB" w:rsidRDefault="008C1ABB" w:rsidP="008C1ABB">
      <w:pPr>
        <w:shd w:val="clear" w:color="auto" w:fill="FFFFFF"/>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8"/>
          <w:szCs w:val="28"/>
          <w:lang w:eastAsia="ru-RU"/>
        </w:rPr>
        <w:t xml:space="preserve">VIII. Визначення показників результативності дії регуляторного </w:t>
      </w:r>
      <w:proofErr w:type="spellStart"/>
      <w:r w:rsidRPr="008C1ABB">
        <w:rPr>
          <w:rFonts w:ascii="Times New Roman" w:eastAsia="Times New Roman" w:hAnsi="Times New Roman" w:cs="Times New Roman"/>
          <w:b/>
          <w:color w:val="000000"/>
          <w:sz w:val="28"/>
          <w:szCs w:val="28"/>
          <w:lang w:eastAsia="ru-RU"/>
        </w:rPr>
        <w:t>акта</w:t>
      </w:r>
      <w:proofErr w:type="spellEnd"/>
    </w:p>
    <w:p w:rsidR="008C1ABB" w:rsidRPr="008C1ABB" w:rsidRDefault="008C1ABB" w:rsidP="008C1ABB">
      <w:pPr>
        <w:tabs>
          <w:tab w:val="left" w:pos="993"/>
        </w:tabs>
        <w:spacing w:after="0" w:line="1" w:lineRule="atLeast"/>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sz w:val="28"/>
          <w:szCs w:val="28"/>
          <w:lang w:eastAsia="ru-RU"/>
        </w:rPr>
        <w:t xml:space="preserve">Прогнозними значеннями показників результативності регуляторного </w:t>
      </w:r>
      <w:proofErr w:type="spellStart"/>
      <w:r w:rsidRPr="008C1ABB">
        <w:rPr>
          <w:rFonts w:ascii="Times New Roman" w:eastAsia="Times New Roman" w:hAnsi="Times New Roman" w:cs="Times New Roman"/>
          <w:sz w:val="28"/>
          <w:szCs w:val="28"/>
          <w:lang w:eastAsia="ru-RU"/>
        </w:rPr>
        <w:t>акта</w:t>
      </w:r>
      <w:proofErr w:type="spellEnd"/>
      <w:r w:rsidRPr="008C1ABB">
        <w:rPr>
          <w:rFonts w:ascii="Times New Roman" w:eastAsia="Times New Roman" w:hAnsi="Times New Roman" w:cs="Times New Roman"/>
          <w:sz w:val="28"/>
          <w:szCs w:val="28"/>
          <w:lang w:eastAsia="ru-RU"/>
        </w:rPr>
        <w:t xml:space="preserve"> є:</w:t>
      </w:r>
    </w:p>
    <w:p w:rsidR="008C1ABB" w:rsidRPr="008C1ABB" w:rsidRDefault="008C1ABB" w:rsidP="008C1ABB">
      <w:pPr>
        <w:tabs>
          <w:tab w:val="left" w:pos="993"/>
        </w:tabs>
        <w:spacing w:after="0" w:line="1" w:lineRule="atLeast"/>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sz w:val="28"/>
          <w:szCs w:val="28"/>
          <w:lang w:eastAsia="ru-RU"/>
        </w:rPr>
        <w:lastRenderedPageBreak/>
        <w:t xml:space="preserve">1. Розмір надходжень до державного та місцевих бюджетів і державних цільових фондів, пов’язаних із дією </w:t>
      </w:r>
      <w:proofErr w:type="spellStart"/>
      <w:r w:rsidRPr="008C1ABB">
        <w:rPr>
          <w:rFonts w:ascii="Times New Roman" w:eastAsia="Times New Roman" w:hAnsi="Times New Roman" w:cs="Times New Roman"/>
          <w:sz w:val="28"/>
          <w:szCs w:val="28"/>
          <w:lang w:eastAsia="ru-RU"/>
        </w:rPr>
        <w:t>акта</w:t>
      </w:r>
      <w:proofErr w:type="spellEnd"/>
      <w:r w:rsidRPr="008C1ABB">
        <w:rPr>
          <w:rFonts w:ascii="Times New Roman" w:eastAsia="Times New Roman" w:hAnsi="Times New Roman" w:cs="Times New Roman"/>
          <w:sz w:val="28"/>
          <w:szCs w:val="28"/>
          <w:lang w:eastAsia="ru-RU"/>
        </w:rPr>
        <w:t xml:space="preserve"> – прямих надходжень до державного бюджету не передбачається.</w:t>
      </w:r>
    </w:p>
    <w:p w:rsidR="008C1ABB" w:rsidRPr="008C1ABB" w:rsidRDefault="008C1ABB" w:rsidP="008C1ABB">
      <w:pPr>
        <w:tabs>
          <w:tab w:val="left" w:pos="993"/>
        </w:tabs>
        <w:spacing w:after="0" w:line="1" w:lineRule="atLeast"/>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sz w:val="28"/>
          <w:szCs w:val="28"/>
          <w:lang w:eastAsia="ru-RU"/>
        </w:rPr>
        <w:t xml:space="preserve">2. Кількість суб’єктів господарювання (замовників будівництва) на яких поширюватиметься дія </w:t>
      </w:r>
      <w:proofErr w:type="spellStart"/>
      <w:r w:rsidRPr="008C1ABB">
        <w:rPr>
          <w:rFonts w:ascii="Times New Roman" w:eastAsia="Times New Roman" w:hAnsi="Times New Roman" w:cs="Times New Roman"/>
          <w:sz w:val="28"/>
          <w:szCs w:val="28"/>
          <w:lang w:eastAsia="ru-RU"/>
        </w:rPr>
        <w:t>акта</w:t>
      </w:r>
      <w:proofErr w:type="spellEnd"/>
      <w:r w:rsidRPr="008C1ABB">
        <w:rPr>
          <w:rFonts w:ascii="Times New Roman" w:eastAsia="Times New Roman" w:hAnsi="Times New Roman" w:cs="Times New Roman"/>
          <w:sz w:val="28"/>
          <w:szCs w:val="28"/>
          <w:lang w:eastAsia="ru-RU"/>
        </w:rPr>
        <w:t>: суб’єкти господарювання (замовники будівництва) які скористаються правом прийняття рішення про поширення дії Закону на об’єкти будівництва та їх складові частини, право на виконання будівельних робіт щодо яких набуто до набрання чинності Законом.</w:t>
      </w:r>
    </w:p>
    <w:p w:rsidR="008C1ABB" w:rsidRPr="008C1ABB" w:rsidRDefault="008C1ABB" w:rsidP="008C1ABB">
      <w:pPr>
        <w:tabs>
          <w:tab w:val="left" w:pos="993"/>
        </w:tabs>
        <w:spacing w:after="0" w:line="1" w:lineRule="atLeast"/>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sz w:val="28"/>
          <w:szCs w:val="28"/>
          <w:lang w:eastAsia="ru-RU"/>
        </w:rPr>
        <w:t xml:space="preserve">3. Розмір коштів і час, які витрачаються суб’єктами господарювання у зв’язку із виконанням вимог </w:t>
      </w:r>
      <w:proofErr w:type="spellStart"/>
      <w:r w:rsidRPr="008C1ABB">
        <w:rPr>
          <w:rFonts w:ascii="Times New Roman" w:eastAsia="Times New Roman" w:hAnsi="Times New Roman" w:cs="Times New Roman"/>
          <w:sz w:val="28"/>
          <w:szCs w:val="28"/>
          <w:lang w:eastAsia="ru-RU"/>
        </w:rPr>
        <w:t>акта</w:t>
      </w:r>
      <w:proofErr w:type="spellEnd"/>
      <w:r w:rsidRPr="008C1ABB">
        <w:rPr>
          <w:rFonts w:ascii="Times New Roman" w:eastAsia="Times New Roman" w:hAnsi="Times New Roman" w:cs="Times New Roman"/>
          <w:sz w:val="28"/>
          <w:szCs w:val="28"/>
          <w:lang w:eastAsia="ru-RU"/>
        </w:rPr>
        <w:t xml:space="preserve"> – 687,82 грн.; 17 год. (35 робочих днів з урахування, що потрібно чекати відповідь)</w:t>
      </w:r>
    </w:p>
    <w:p w:rsidR="008C1ABB" w:rsidRPr="008C1ABB" w:rsidRDefault="008C1ABB" w:rsidP="008C1ABB">
      <w:pPr>
        <w:tabs>
          <w:tab w:val="left" w:pos="993"/>
        </w:tabs>
        <w:spacing w:after="0" w:line="1" w:lineRule="atLeast"/>
        <w:ind w:left="1" w:firstLine="566"/>
        <w:jc w:val="both"/>
        <w:textAlignment w:val="top"/>
        <w:outlineLvl w:val="0"/>
        <w:rPr>
          <w:rFonts w:ascii="Times New Roman" w:eastAsia="Times New Roman" w:hAnsi="Times New Roman" w:cs="Times New Roman"/>
          <w:sz w:val="28"/>
          <w:szCs w:val="28"/>
          <w:vertAlign w:val="subscript"/>
          <w:lang w:eastAsia="ru-RU"/>
        </w:rPr>
      </w:pPr>
      <w:r w:rsidRPr="008C1ABB">
        <w:rPr>
          <w:rFonts w:ascii="Times New Roman" w:eastAsia="Times New Roman" w:hAnsi="Times New Roman" w:cs="Times New Roman"/>
          <w:sz w:val="28"/>
          <w:szCs w:val="28"/>
          <w:lang w:eastAsia="ru-RU"/>
        </w:rPr>
        <w:t xml:space="preserve">4. Рівень поінформованості суб’єктів господарювання з основних положень </w:t>
      </w:r>
      <w:proofErr w:type="spellStart"/>
      <w:r w:rsidRPr="008C1ABB">
        <w:rPr>
          <w:rFonts w:ascii="Times New Roman" w:eastAsia="Times New Roman" w:hAnsi="Times New Roman" w:cs="Times New Roman"/>
          <w:sz w:val="28"/>
          <w:szCs w:val="28"/>
          <w:lang w:eastAsia="ru-RU"/>
        </w:rPr>
        <w:t>акта</w:t>
      </w:r>
      <w:proofErr w:type="spellEnd"/>
      <w:r w:rsidRPr="008C1ABB">
        <w:rPr>
          <w:rFonts w:ascii="Times New Roman" w:eastAsia="Times New Roman" w:hAnsi="Times New Roman" w:cs="Times New Roman"/>
          <w:sz w:val="28"/>
          <w:szCs w:val="28"/>
          <w:lang w:eastAsia="ru-RU"/>
        </w:rPr>
        <w:t xml:space="preserve"> – середній. Регуляторний акт та аналіз регуляторного впливу оприлюднено на офіційному </w:t>
      </w:r>
      <w:proofErr w:type="spellStart"/>
      <w:r w:rsidRPr="008C1ABB">
        <w:rPr>
          <w:rFonts w:ascii="Times New Roman" w:eastAsia="Times New Roman" w:hAnsi="Times New Roman" w:cs="Times New Roman"/>
          <w:sz w:val="28"/>
          <w:szCs w:val="28"/>
          <w:lang w:eastAsia="ru-RU"/>
        </w:rPr>
        <w:t>вебсайті</w:t>
      </w:r>
      <w:proofErr w:type="spellEnd"/>
      <w:r w:rsidRPr="008C1ABB">
        <w:rPr>
          <w:rFonts w:ascii="Times New Roman" w:eastAsia="Times New Roman" w:hAnsi="Times New Roman" w:cs="Times New Roman"/>
          <w:sz w:val="28"/>
          <w:szCs w:val="28"/>
          <w:lang w:eastAsia="ru-RU"/>
        </w:rPr>
        <w:t xml:space="preserve"> </w:t>
      </w:r>
      <w:proofErr w:type="spellStart"/>
      <w:r w:rsidRPr="008C1ABB">
        <w:rPr>
          <w:rFonts w:ascii="Times New Roman" w:eastAsia="Times New Roman" w:hAnsi="Times New Roman" w:cs="Times New Roman"/>
          <w:sz w:val="28"/>
          <w:szCs w:val="28"/>
          <w:lang w:eastAsia="ru-RU"/>
        </w:rPr>
        <w:t>Мінінфраструктури</w:t>
      </w:r>
      <w:proofErr w:type="spellEnd"/>
      <w:r w:rsidRPr="008C1ABB">
        <w:rPr>
          <w:rFonts w:ascii="Times New Roman" w:eastAsia="Times New Roman" w:hAnsi="Times New Roman" w:cs="Times New Roman"/>
          <w:sz w:val="28"/>
          <w:szCs w:val="28"/>
          <w:lang w:eastAsia="ru-RU"/>
        </w:rPr>
        <w:t>.</w:t>
      </w:r>
    </w:p>
    <w:p w:rsidR="008C1ABB" w:rsidRPr="008C1ABB" w:rsidRDefault="008C1ABB" w:rsidP="008C1ABB">
      <w:pPr>
        <w:tabs>
          <w:tab w:val="left" w:pos="567"/>
        </w:tabs>
        <w:spacing w:after="0" w:line="1" w:lineRule="atLeast"/>
        <w:ind w:firstLine="567"/>
        <w:jc w:val="both"/>
        <w:textAlignment w:val="top"/>
        <w:outlineLvl w:val="0"/>
        <w:rPr>
          <w:rFonts w:ascii="Times New Roman" w:eastAsia="Times New Roman" w:hAnsi="Times New Roman" w:cs="Times New Roman"/>
          <w:sz w:val="28"/>
          <w:szCs w:val="28"/>
          <w:lang w:eastAsia="ru-RU"/>
        </w:rPr>
      </w:pPr>
      <w:r w:rsidRPr="008C1ABB">
        <w:rPr>
          <w:rFonts w:ascii="Times New Roman" w:eastAsia="Times New Roman" w:hAnsi="Times New Roman" w:cs="Times New Roman"/>
          <w:sz w:val="28"/>
          <w:szCs w:val="28"/>
          <w:lang w:eastAsia="ru-RU"/>
        </w:rPr>
        <w:t xml:space="preserve">Після набрання чинності регуляторним актом його результативність визначатиметься такими показниками: </w:t>
      </w:r>
    </w:p>
    <w:p w:rsidR="008C1ABB" w:rsidRPr="008C1ABB" w:rsidRDefault="008C1ABB" w:rsidP="008C1ABB">
      <w:pPr>
        <w:tabs>
          <w:tab w:val="left" w:pos="993"/>
        </w:tabs>
        <w:spacing w:after="0" w:line="1" w:lineRule="atLeast"/>
        <w:ind w:left="1" w:firstLine="566"/>
        <w:jc w:val="both"/>
        <w:textAlignment w:val="top"/>
        <w:outlineLvl w:val="0"/>
        <w:rPr>
          <w:rFonts w:ascii="Times New Roman" w:eastAsia="Times New Roman" w:hAnsi="Times New Roman" w:cs="Times New Roman"/>
          <w:sz w:val="28"/>
          <w:szCs w:val="28"/>
          <w:lang w:eastAsia="ru-RU"/>
        </w:rPr>
      </w:pPr>
      <w:r w:rsidRPr="008C1ABB">
        <w:rPr>
          <w:rFonts w:ascii="Times New Roman" w:eastAsia="Times New Roman" w:hAnsi="Times New Roman" w:cs="Times New Roman"/>
          <w:sz w:val="28"/>
          <w:szCs w:val="28"/>
          <w:lang w:eastAsia="ru-RU"/>
        </w:rPr>
        <w:t>1.</w:t>
      </w:r>
      <w:r w:rsidRPr="008C1ABB">
        <w:rPr>
          <w:rFonts w:ascii="Times New Roman" w:eastAsia="Times New Roman" w:hAnsi="Times New Roman" w:cs="Times New Roman"/>
          <w:sz w:val="28"/>
          <w:szCs w:val="28"/>
          <w:lang w:eastAsia="ru-RU"/>
        </w:rPr>
        <w:tab/>
        <w:t>Кількість заяв /скарг від суб’єктів господарювання (замовників будівництва) щодо даного регулювання.</w:t>
      </w:r>
    </w:p>
    <w:p w:rsidR="008C1ABB" w:rsidRPr="008C1ABB" w:rsidRDefault="008C1ABB" w:rsidP="008C1ABB">
      <w:pPr>
        <w:tabs>
          <w:tab w:val="left" w:pos="993"/>
        </w:tabs>
        <w:spacing w:after="0" w:line="1" w:lineRule="atLeast"/>
        <w:ind w:left="1" w:firstLine="566"/>
        <w:jc w:val="both"/>
        <w:textAlignment w:val="top"/>
        <w:outlineLvl w:val="0"/>
        <w:rPr>
          <w:rFonts w:ascii="Times New Roman" w:eastAsia="Times New Roman" w:hAnsi="Times New Roman" w:cs="Times New Roman"/>
          <w:sz w:val="28"/>
          <w:szCs w:val="28"/>
          <w:vertAlign w:val="subscript"/>
          <w:lang w:eastAsia="ru-RU"/>
        </w:rPr>
      </w:pPr>
      <w:r w:rsidRPr="008C1ABB">
        <w:rPr>
          <w:rFonts w:ascii="Times New Roman" w:eastAsia="Times New Roman" w:hAnsi="Times New Roman" w:cs="Times New Roman"/>
          <w:sz w:val="28"/>
          <w:szCs w:val="28"/>
          <w:lang w:eastAsia="ru-RU"/>
        </w:rPr>
        <w:t>2. Кількість прийнятих рішень про поширення дії Закону на об’єкти будівництва та їх складові частини, право на виконання будівельних робіт щодо яких набуто до набрання чинності Законом через подання заяви на державну реєстрацію.</w:t>
      </w:r>
    </w:p>
    <w:p w:rsidR="008C1ABB" w:rsidRPr="008C1ABB" w:rsidRDefault="008C1ABB" w:rsidP="008C1ABB">
      <w:pPr>
        <w:tabs>
          <w:tab w:val="left" w:pos="993"/>
        </w:tabs>
        <w:spacing w:after="0" w:line="1" w:lineRule="atLeast"/>
        <w:ind w:left="1" w:firstLine="566"/>
        <w:jc w:val="both"/>
        <w:textAlignment w:val="top"/>
        <w:outlineLvl w:val="0"/>
        <w:rPr>
          <w:rFonts w:ascii="Times New Roman" w:eastAsia="Times New Roman" w:hAnsi="Times New Roman" w:cs="Times New Roman"/>
          <w:sz w:val="28"/>
          <w:szCs w:val="28"/>
          <w:vertAlign w:val="subscript"/>
          <w:lang w:eastAsia="ru-RU"/>
        </w:rPr>
      </w:pPr>
      <w:r w:rsidRPr="008C1ABB">
        <w:rPr>
          <w:rFonts w:ascii="Times New Roman" w:eastAsia="Times New Roman" w:hAnsi="Times New Roman" w:cs="Times New Roman"/>
          <w:sz w:val="28"/>
          <w:szCs w:val="28"/>
          <w:lang w:eastAsia="ru-RU"/>
        </w:rPr>
        <w:t>3.</w:t>
      </w:r>
      <w:r w:rsidRPr="008C1ABB">
        <w:rPr>
          <w:rFonts w:ascii="Times New Roman" w:eastAsia="Times New Roman" w:hAnsi="Times New Roman" w:cs="Times New Roman"/>
          <w:sz w:val="28"/>
          <w:szCs w:val="28"/>
          <w:lang w:eastAsia="ru-RU"/>
        </w:rPr>
        <w:tab/>
        <w:t>Кількість проведених державним реєстратором державних реєстрацій відповідного права.</w:t>
      </w:r>
    </w:p>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b/>
          <w:color w:val="000000"/>
          <w:sz w:val="28"/>
          <w:szCs w:val="28"/>
          <w:lang w:eastAsia="ru-RU"/>
        </w:rPr>
      </w:pPr>
    </w:p>
    <w:p w:rsidR="008C1ABB" w:rsidRPr="008C1ABB" w:rsidRDefault="008C1ABB" w:rsidP="008C1ABB">
      <w:pPr>
        <w:widowControl w:val="0"/>
        <w:suppressAutoHyphens/>
        <w:spacing w:after="0" w:line="240" w:lineRule="auto"/>
        <w:ind w:left="1" w:hanging="3"/>
        <w:jc w:val="center"/>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b/>
          <w:color w:val="000000"/>
          <w:sz w:val="28"/>
          <w:szCs w:val="28"/>
          <w:lang w:eastAsia="ru-RU"/>
        </w:rPr>
        <w:t xml:space="preserve">IX. Визначення заходів, за допомогою яких здійснюватиметься відстеження результативності дії регуляторного </w:t>
      </w:r>
      <w:proofErr w:type="spellStart"/>
      <w:r w:rsidRPr="008C1ABB">
        <w:rPr>
          <w:rFonts w:ascii="Times New Roman" w:eastAsia="Times New Roman" w:hAnsi="Times New Roman" w:cs="Times New Roman"/>
          <w:b/>
          <w:color w:val="000000"/>
          <w:sz w:val="28"/>
          <w:szCs w:val="28"/>
          <w:lang w:eastAsia="ru-RU"/>
        </w:rPr>
        <w:t>акта</w:t>
      </w:r>
      <w:proofErr w:type="spellEnd"/>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Стосовно цього регуляторного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 xml:space="preserve"> буде послідовно здійснюватися базове, повторне та періодичне відстеження його результативності:</w:t>
      </w:r>
    </w:p>
    <w:p w:rsidR="008C1ABB" w:rsidRPr="008C1ABB" w:rsidRDefault="008C1ABB" w:rsidP="008C1ABB">
      <w:pPr>
        <w:widowControl w:val="0"/>
        <w:suppressAutoHyphens/>
        <w:spacing w:after="0" w:line="240" w:lineRule="auto"/>
        <w:ind w:lef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базове відстеження результативності регуляторного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 xml:space="preserve"> буде проведено після набрання чинності цим регуляторним актом, але не пізніше дня, з якого починається проведення повторного відстеження результативності цього регуляторного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w:t>
      </w:r>
    </w:p>
    <w:p w:rsidR="008C1ABB" w:rsidRPr="008C1ABB" w:rsidRDefault="008C1ABB" w:rsidP="008C1ABB">
      <w:pPr>
        <w:widowControl w:val="0"/>
        <w:suppressAutoHyphens/>
        <w:spacing w:after="0" w:line="240" w:lineRule="auto"/>
        <w:ind w:left="1" w:righ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повторне відстеження результативності регуляторного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 xml:space="preserve"> здійснюватиметься через рік з дня набрання ним чинності, але не пізніше двох років після набрання ним чинності;</w:t>
      </w:r>
    </w:p>
    <w:p w:rsidR="008C1ABB" w:rsidRPr="008C1ABB" w:rsidRDefault="008C1ABB" w:rsidP="008C1ABB">
      <w:pPr>
        <w:widowControl w:val="0"/>
        <w:suppressAutoHyphens/>
        <w:spacing w:after="0" w:line="240" w:lineRule="auto"/>
        <w:ind w:left="1" w:righ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періодичне відстеження результативності регуляторного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 xml:space="preserve"> здійснюватиметься через кожні три роки  починаючи з дня виконання заходів із повторного відстеження. </w:t>
      </w:r>
    </w:p>
    <w:p w:rsidR="008C1ABB" w:rsidRPr="008C1ABB" w:rsidRDefault="008C1ABB" w:rsidP="008C1ABB">
      <w:pPr>
        <w:widowControl w:val="0"/>
        <w:suppressAutoHyphens/>
        <w:spacing w:after="0" w:line="240" w:lineRule="auto"/>
        <w:ind w:left="1" w:righ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Вид даних, за допомогою яких здійснюватиметься відстеження результативності – статистичні.</w:t>
      </w:r>
    </w:p>
    <w:p w:rsidR="008C1ABB" w:rsidRPr="008C1ABB" w:rsidRDefault="008C1ABB" w:rsidP="008C1ABB">
      <w:pPr>
        <w:widowControl w:val="0"/>
        <w:suppressAutoHyphens/>
        <w:spacing w:after="0" w:line="240" w:lineRule="auto"/>
        <w:ind w:left="1" w:righ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У разі надходження пропозицій та зауважень щодо вирішення </w:t>
      </w:r>
      <w:r w:rsidRPr="008C1ABB">
        <w:rPr>
          <w:rFonts w:ascii="Times New Roman" w:eastAsia="Times New Roman" w:hAnsi="Times New Roman" w:cs="Times New Roman"/>
          <w:color w:val="000000"/>
          <w:sz w:val="28"/>
          <w:szCs w:val="28"/>
          <w:lang w:eastAsia="ru-RU"/>
        </w:rPr>
        <w:lastRenderedPageBreak/>
        <w:t>неврегульованих або проблемних питань буде розглядатись необхідність внесення відповідних змін.</w:t>
      </w:r>
    </w:p>
    <w:p w:rsidR="008C1ABB" w:rsidRPr="008C1ABB" w:rsidRDefault="008C1ABB" w:rsidP="008C1ABB">
      <w:pPr>
        <w:widowControl w:val="0"/>
        <w:suppressAutoHyphens/>
        <w:spacing w:after="0" w:line="240" w:lineRule="auto"/>
        <w:ind w:left="1" w:right="-1" w:firstLine="566"/>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Відстеження результативності регуляторного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 xml:space="preserve"> буде здійснювати </w:t>
      </w:r>
      <w:proofErr w:type="spellStart"/>
      <w:r w:rsidRPr="008C1ABB">
        <w:rPr>
          <w:rFonts w:ascii="Times New Roman" w:eastAsia="Times New Roman" w:hAnsi="Times New Roman" w:cs="Times New Roman"/>
          <w:color w:val="000000"/>
          <w:sz w:val="28"/>
          <w:szCs w:val="28"/>
          <w:highlight w:val="white"/>
          <w:lang w:eastAsia="ru-RU"/>
        </w:rPr>
        <w:t>Мінінфраструктури</w:t>
      </w:r>
      <w:proofErr w:type="spellEnd"/>
      <w:r w:rsidRPr="008C1ABB">
        <w:rPr>
          <w:rFonts w:ascii="Times New Roman" w:eastAsia="Times New Roman" w:hAnsi="Times New Roman" w:cs="Times New Roman"/>
          <w:color w:val="000000"/>
          <w:sz w:val="28"/>
          <w:szCs w:val="28"/>
          <w:highlight w:val="white"/>
          <w:lang w:eastAsia="ru-RU"/>
        </w:rPr>
        <w:t>. Відст</w:t>
      </w:r>
      <w:r w:rsidRPr="008C1ABB">
        <w:rPr>
          <w:rFonts w:ascii="Times New Roman" w:eastAsia="Times New Roman" w:hAnsi="Times New Roman" w:cs="Times New Roman"/>
          <w:color w:val="000000"/>
          <w:sz w:val="28"/>
          <w:szCs w:val="28"/>
          <w:lang w:eastAsia="ru-RU"/>
        </w:rPr>
        <w:t xml:space="preserve">еження здійснюватиметься протягом усього строку дії регуляторного </w:t>
      </w:r>
      <w:proofErr w:type="spellStart"/>
      <w:r w:rsidRPr="008C1ABB">
        <w:rPr>
          <w:rFonts w:ascii="Times New Roman" w:eastAsia="Times New Roman" w:hAnsi="Times New Roman" w:cs="Times New Roman"/>
          <w:color w:val="000000"/>
          <w:sz w:val="28"/>
          <w:szCs w:val="28"/>
          <w:lang w:eastAsia="ru-RU"/>
        </w:rPr>
        <w:t>акта</w:t>
      </w:r>
      <w:proofErr w:type="spellEnd"/>
      <w:r w:rsidRPr="008C1ABB">
        <w:rPr>
          <w:rFonts w:ascii="Times New Roman" w:eastAsia="Times New Roman" w:hAnsi="Times New Roman" w:cs="Times New Roman"/>
          <w:color w:val="000000"/>
          <w:sz w:val="28"/>
          <w:szCs w:val="28"/>
          <w:lang w:eastAsia="ru-RU"/>
        </w:rPr>
        <w:t xml:space="preserve">. </w:t>
      </w:r>
    </w:p>
    <w:p w:rsidR="008C1ABB" w:rsidRPr="008C1ABB" w:rsidRDefault="008C1ABB" w:rsidP="008C1ABB">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8"/>
          <w:szCs w:val="28"/>
          <w:lang w:eastAsia="ru-RU"/>
        </w:rPr>
      </w:pPr>
      <w:r w:rsidRPr="008C1ABB">
        <w:rPr>
          <w:rFonts w:ascii="Times New Roman" w:eastAsia="Times New Roman" w:hAnsi="Times New Roman" w:cs="Times New Roman"/>
          <w:color w:val="000000"/>
          <w:sz w:val="28"/>
          <w:szCs w:val="28"/>
          <w:lang w:eastAsia="ru-RU"/>
        </w:rPr>
        <w:t>Строк виконання заходів 30 робочих днів.</w:t>
      </w:r>
    </w:p>
    <w:p w:rsidR="008C1ABB" w:rsidRPr="008C1ABB" w:rsidRDefault="008C1ABB" w:rsidP="008C1ABB">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8"/>
          <w:szCs w:val="28"/>
          <w:lang w:eastAsia="ru-RU"/>
        </w:rPr>
      </w:pPr>
    </w:p>
    <w:p w:rsidR="008C1ABB" w:rsidRPr="008C1ABB" w:rsidRDefault="008C1ABB" w:rsidP="008C1ABB">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8"/>
          <w:szCs w:val="28"/>
          <w:lang w:eastAsia="ru-RU"/>
        </w:rPr>
      </w:pPr>
    </w:p>
    <w:p w:rsidR="008C1ABB" w:rsidRPr="008C1ABB" w:rsidRDefault="008C1ABB" w:rsidP="008C1ABB">
      <w:pPr>
        <w:widowControl w:val="0"/>
        <w:suppressAutoHyphens/>
        <w:spacing w:after="0" w:line="240" w:lineRule="auto"/>
        <w:ind w:left="1" w:right="-1" w:hanging="1"/>
        <w:jc w:val="both"/>
        <w:textAlignment w:val="top"/>
        <w:outlineLvl w:val="0"/>
        <w:rPr>
          <w:rFonts w:ascii="Times New Roman" w:eastAsia="Times New Roman" w:hAnsi="Times New Roman" w:cs="Times New Roman"/>
          <w:color w:val="000000"/>
          <w:sz w:val="28"/>
          <w:szCs w:val="28"/>
          <w:lang w:eastAsia="ru-RU"/>
        </w:rPr>
      </w:pPr>
      <w:r w:rsidRPr="008C1ABB">
        <w:rPr>
          <w:rFonts w:ascii="Times New Roman" w:eastAsia="Times New Roman" w:hAnsi="Times New Roman" w:cs="Times New Roman"/>
          <w:color w:val="000000"/>
          <w:sz w:val="28"/>
          <w:szCs w:val="28"/>
          <w:lang w:eastAsia="ru-RU"/>
        </w:rPr>
        <w:t xml:space="preserve">Віце-прем’єр-міністр </w:t>
      </w:r>
    </w:p>
    <w:p w:rsidR="008C1ABB" w:rsidRPr="008C1ABB" w:rsidRDefault="008C1ABB" w:rsidP="008C1ABB">
      <w:pPr>
        <w:widowControl w:val="0"/>
        <w:suppressAutoHyphens/>
        <w:spacing w:after="0" w:line="240" w:lineRule="auto"/>
        <w:ind w:left="1" w:right="-1" w:hanging="1"/>
        <w:jc w:val="both"/>
        <w:textAlignment w:val="top"/>
        <w:outlineLvl w:val="0"/>
        <w:rPr>
          <w:rFonts w:ascii="Times New Roman" w:eastAsia="Times New Roman" w:hAnsi="Times New Roman" w:cs="Times New Roman"/>
          <w:color w:val="000000"/>
          <w:sz w:val="28"/>
          <w:szCs w:val="28"/>
          <w:lang w:eastAsia="ru-RU"/>
        </w:rPr>
      </w:pPr>
      <w:r w:rsidRPr="008C1ABB">
        <w:rPr>
          <w:rFonts w:ascii="Times New Roman" w:eastAsia="Times New Roman" w:hAnsi="Times New Roman" w:cs="Times New Roman"/>
          <w:color w:val="000000"/>
          <w:sz w:val="28"/>
          <w:szCs w:val="28"/>
          <w:lang w:eastAsia="ru-RU"/>
        </w:rPr>
        <w:t xml:space="preserve">з відновлення України – </w:t>
      </w:r>
    </w:p>
    <w:p w:rsidR="008C1ABB" w:rsidRPr="008C1ABB" w:rsidRDefault="008C1ABB" w:rsidP="008C1ABB">
      <w:pPr>
        <w:widowControl w:val="0"/>
        <w:suppressAutoHyphens/>
        <w:spacing w:after="0" w:line="240" w:lineRule="auto"/>
        <w:ind w:left="1" w:right="-1" w:hanging="1"/>
        <w:jc w:val="both"/>
        <w:textAlignment w:val="top"/>
        <w:outlineLvl w:val="0"/>
        <w:rPr>
          <w:rFonts w:ascii="Times New Roman" w:eastAsia="Times New Roman" w:hAnsi="Times New Roman" w:cs="Times New Roman"/>
          <w:color w:val="000000"/>
          <w:sz w:val="28"/>
          <w:szCs w:val="28"/>
          <w:lang w:eastAsia="ru-RU"/>
        </w:rPr>
      </w:pPr>
      <w:r w:rsidRPr="008C1ABB">
        <w:rPr>
          <w:rFonts w:ascii="Times New Roman" w:eastAsia="Times New Roman" w:hAnsi="Times New Roman" w:cs="Times New Roman"/>
          <w:color w:val="000000"/>
          <w:sz w:val="28"/>
          <w:szCs w:val="28"/>
          <w:lang w:eastAsia="ru-RU"/>
        </w:rPr>
        <w:t xml:space="preserve">Міністр розвитку громад, </w:t>
      </w:r>
    </w:p>
    <w:p w:rsidR="008C1ABB" w:rsidRPr="008C1ABB" w:rsidRDefault="008C1ABB" w:rsidP="008C1ABB">
      <w:pPr>
        <w:widowControl w:val="0"/>
        <w:suppressAutoHyphens/>
        <w:spacing w:after="0" w:line="240" w:lineRule="auto"/>
        <w:ind w:left="1" w:right="-1" w:hanging="1"/>
        <w:jc w:val="both"/>
        <w:textAlignment w:val="top"/>
        <w:outlineLvl w:val="0"/>
        <w:rPr>
          <w:rFonts w:ascii="Times New Roman" w:eastAsia="Times New Roman" w:hAnsi="Times New Roman" w:cs="Times New Roman"/>
          <w:sz w:val="24"/>
          <w:szCs w:val="24"/>
          <w:vertAlign w:val="subscript"/>
          <w:lang w:eastAsia="ru-RU"/>
        </w:rPr>
      </w:pPr>
      <w:r w:rsidRPr="008C1ABB">
        <w:rPr>
          <w:rFonts w:ascii="Times New Roman" w:eastAsia="Times New Roman" w:hAnsi="Times New Roman" w:cs="Times New Roman"/>
          <w:color w:val="000000"/>
          <w:sz w:val="28"/>
          <w:szCs w:val="28"/>
          <w:lang w:eastAsia="ru-RU"/>
        </w:rPr>
        <w:t xml:space="preserve">територій та інфраструктури України </w:t>
      </w:r>
      <w:r w:rsidRPr="008C1ABB">
        <w:rPr>
          <w:rFonts w:ascii="Times New Roman" w:eastAsia="Times New Roman" w:hAnsi="Times New Roman" w:cs="Times New Roman"/>
          <w:color w:val="000000"/>
          <w:sz w:val="28"/>
          <w:szCs w:val="28"/>
          <w:lang w:eastAsia="ru-RU"/>
        </w:rPr>
        <w:tab/>
      </w:r>
      <w:r w:rsidRPr="008C1ABB">
        <w:rPr>
          <w:rFonts w:ascii="Times New Roman" w:eastAsia="Times New Roman" w:hAnsi="Times New Roman" w:cs="Times New Roman"/>
          <w:color w:val="000000"/>
          <w:sz w:val="28"/>
          <w:szCs w:val="28"/>
          <w:lang w:eastAsia="ru-RU"/>
        </w:rPr>
        <w:tab/>
      </w:r>
      <w:r w:rsidRPr="008C1ABB">
        <w:rPr>
          <w:rFonts w:ascii="Times New Roman" w:eastAsia="Times New Roman" w:hAnsi="Times New Roman" w:cs="Times New Roman"/>
          <w:color w:val="000000"/>
          <w:sz w:val="28"/>
          <w:szCs w:val="28"/>
          <w:lang w:eastAsia="ru-RU"/>
        </w:rPr>
        <w:tab/>
        <w:t xml:space="preserve">Олександр КУБРАКОВ </w:t>
      </w:r>
    </w:p>
    <w:p w:rsidR="008C1ABB" w:rsidRPr="008C1ABB" w:rsidRDefault="008C1ABB" w:rsidP="008C1ABB">
      <w:pPr>
        <w:widowControl w:val="0"/>
        <w:suppressAutoHyphens/>
        <w:spacing w:after="0" w:line="240" w:lineRule="auto"/>
        <w:ind w:left="1" w:right="-1" w:firstLine="566"/>
        <w:jc w:val="both"/>
        <w:textAlignment w:val="top"/>
        <w:outlineLvl w:val="0"/>
        <w:rPr>
          <w:rFonts w:ascii="Times New Roman" w:eastAsia="Times New Roman" w:hAnsi="Times New Roman" w:cs="Times New Roman"/>
          <w:color w:val="000000"/>
          <w:sz w:val="28"/>
          <w:szCs w:val="28"/>
          <w:lang w:eastAsia="ru-RU"/>
        </w:rPr>
      </w:pPr>
    </w:p>
    <w:p w:rsidR="008C1ABB" w:rsidRDefault="008C1ABB" w:rsidP="008C1ABB">
      <w:pPr>
        <w:widowControl w:val="0"/>
        <w:suppressAutoHyphens/>
        <w:spacing w:after="0" w:line="240" w:lineRule="auto"/>
        <w:ind w:left="1" w:right="-1" w:hanging="3"/>
        <w:jc w:val="both"/>
        <w:textAlignment w:val="top"/>
        <w:outlineLvl w:val="0"/>
        <w:rPr>
          <w:rFonts w:ascii="Times New Roman" w:eastAsia="Times New Roman" w:hAnsi="Times New Roman" w:cs="Times New Roman"/>
          <w:color w:val="000000"/>
          <w:sz w:val="24"/>
          <w:szCs w:val="24"/>
          <w:lang w:eastAsia="ru-RU"/>
        </w:rPr>
      </w:pPr>
      <w:r w:rsidRPr="008C1ABB">
        <w:rPr>
          <w:rFonts w:ascii="Times New Roman" w:eastAsia="Times New Roman" w:hAnsi="Times New Roman" w:cs="Times New Roman"/>
          <w:color w:val="000000"/>
          <w:sz w:val="24"/>
          <w:szCs w:val="24"/>
          <w:lang w:eastAsia="ru-RU"/>
        </w:rPr>
        <w:t>« ___ » ___________ 2023 р.</w:t>
      </w:r>
      <w:bookmarkStart w:id="6" w:name="_GoBack"/>
      <w:bookmarkEnd w:id="6"/>
    </w:p>
    <w:sectPr w:rsidR="008C1ABB" w:rsidSect="00914EE3">
      <w:headerReference w:type="default" r:id="rId7"/>
      <w:pgSz w:w="11906" w:h="16838"/>
      <w:pgMar w:top="1135" w:right="566" w:bottom="184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DC2" w:rsidRDefault="00A85DC2" w:rsidP="009D45DB">
      <w:pPr>
        <w:spacing w:after="0" w:line="240" w:lineRule="auto"/>
      </w:pPr>
      <w:r>
        <w:separator/>
      </w:r>
    </w:p>
  </w:endnote>
  <w:endnote w:type="continuationSeparator" w:id="0">
    <w:p w:rsidR="00A85DC2" w:rsidRDefault="00A85DC2" w:rsidP="009D4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DC2" w:rsidRDefault="00A85DC2" w:rsidP="009D45DB">
      <w:pPr>
        <w:spacing w:after="0" w:line="240" w:lineRule="auto"/>
      </w:pPr>
      <w:r>
        <w:separator/>
      </w:r>
    </w:p>
  </w:footnote>
  <w:footnote w:type="continuationSeparator" w:id="0">
    <w:p w:rsidR="00A85DC2" w:rsidRDefault="00A85DC2" w:rsidP="009D45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146335"/>
      <w:docPartObj>
        <w:docPartGallery w:val="Page Numbers (Top of Page)"/>
        <w:docPartUnique/>
      </w:docPartObj>
    </w:sdtPr>
    <w:sdtEndPr>
      <w:rPr>
        <w:rFonts w:ascii="Times New Roman" w:hAnsi="Times New Roman" w:cs="Times New Roman"/>
      </w:rPr>
    </w:sdtEndPr>
    <w:sdtContent>
      <w:p w:rsidR="009D45DB" w:rsidRPr="00D232B1" w:rsidRDefault="009D45DB">
        <w:pPr>
          <w:pStyle w:val="a3"/>
          <w:jc w:val="center"/>
          <w:rPr>
            <w:rFonts w:ascii="Times New Roman" w:hAnsi="Times New Roman" w:cs="Times New Roman"/>
          </w:rPr>
        </w:pPr>
        <w:r w:rsidRPr="00233F5F">
          <w:rPr>
            <w:rFonts w:ascii="Times New Roman" w:hAnsi="Times New Roman" w:cs="Times New Roman"/>
          </w:rPr>
          <w:fldChar w:fldCharType="begin"/>
        </w:r>
        <w:r w:rsidRPr="00233F5F">
          <w:rPr>
            <w:rFonts w:ascii="Times New Roman" w:hAnsi="Times New Roman" w:cs="Times New Roman"/>
          </w:rPr>
          <w:instrText>PAGE   \* MERGEFORMAT</w:instrText>
        </w:r>
        <w:r w:rsidRPr="00233F5F">
          <w:rPr>
            <w:rFonts w:ascii="Times New Roman" w:hAnsi="Times New Roman" w:cs="Times New Roman"/>
          </w:rPr>
          <w:fldChar w:fldCharType="separate"/>
        </w:r>
        <w:r w:rsidR="002F304F" w:rsidRPr="002F304F">
          <w:rPr>
            <w:rFonts w:ascii="Times New Roman" w:hAnsi="Times New Roman" w:cs="Times New Roman"/>
            <w:noProof/>
            <w:lang w:val="ru-RU"/>
          </w:rPr>
          <w:t>18</w:t>
        </w:r>
        <w:r w:rsidRPr="00233F5F">
          <w:rPr>
            <w:rFonts w:ascii="Times New Roman" w:hAnsi="Times New Roman" w:cs="Times New Roman"/>
          </w:rPr>
          <w:fldChar w:fldCharType="end"/>
        </w:r>
      </w:p>
    </w:sdtContent>
  </w:sdt>
  <w:p w:rsidR="009D45DB" w:rsidRDefault="009D45D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116C5"/>
    <w:multiLevelType w:val="hybridMultilevel"/>
    <w:tmpl w:val="954E550C"/>
    <w:lvl w:ilvl="0" w:tplc="5140700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8C2"/>
    <w:rsid w:val="001318C2"/>
    <w:rsid w:val="00233F5F"/>
    <w:rsid w:val="002F304F"/>
    <w:rsid w:val="00856AFE"/>
    <w:rsid w:val="008C1ABB"/>
    <w:rsid w:val="00914EE3"/>
    <w:rsid w:val="009D45DB"/>
    <w:rsid w:val="00A85DC2"/>
    <w:rsid w:val="00D232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03125A-C5E2-4716-8A01-2A96CD13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45DB"/>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D45DB"/>
  </w:style>
  <w:style w:type="paragraph" w:styleId="a5">
    <w:name w:val="footer"/>
    <w:basedOn w:val="a"/>
    <w:link w:val="a6"/>
    <w:uiPriority w:val="99"/>
    <w:unhideWhenUsed/>
    <w:rsid w:val="009D45DB"/>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D4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18</Pages>
  <Words>21443</Words>
  <Characters>12224</Characters>
  <Application>Microsoft Office Word</Application>
  <DocSecurity>0</DocSecurity>
  <Lines>101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7</cp:revision>
  <dcterms:created xsi:type="dcterms:W3CDTF">2023-03-17T17:01:00Z</dcterms:created>
  <dcterms:modified xsi:type="dcterms:W3CDTF">2023-03-17T17:22:00Z</dcterms:modified>
</cp:coreProperties>
</file>