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307"/>
      </w:tblGrid>
      <w:tr w:rsidR="00FE2D17" w:rsidRPr="006F0489">
        <w:tc>
          <w:tcPr>
            <w:tcW w:w="5048" w:type="dxa"/>
          </w:tcPr>
          <w:p w:rsidR="00DA575C" w:rsidRPr="006F0489" w:rsidRDefault="00DA575C" w:rsidP="00FE2D17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307" w:type="dxa"/>
          </w:tcPr>
          <w:p w:rsidR="00DA575C" w:rsidRPr="006F0489" w:rsidRDefault="00DA575C" w:rsidP="00FE2D17">
            <w:pPr>
              <w:spacing w:line="360" w:lineRule="auto"/>
              <w:ind w:left="1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0489">
              <w:rPr>
                <w:color w:val="000000"/>
                <w:sz w:val="28"/>
                <w:szCs w:val="28"/>
                <w:lang w:val="uk-UA"/>
              </w:rPr>
              <w:t xml:space="preserve">ЗАТВЕРДЖЕНО </w:t>
            </w:r>
          </w:p>
          <w:p w:rsidR="00DA575C" w:rsidRPr="006F0489" w:rsidRDefault="00DA575C" w:rsidP="00FE2D17">
            <w:pPr>
              <w:spacing w:line="360" w:lineRule="auto"/>
              <w:ind w:left="1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0489">
              <w:rPr>
                <w:color w:val="000000"/>
                <w:sz w:val="28"/>
                <w:szCs w:val="28"/>
                <w:lang w:val="uk-UA"/>
              </w:rPr>
              <w:t xml:space="preserve">постановою Кабінету Міністрів України </w:t>
            </w:r>
          </w:p>
          <w:p w:rsidR="00DA575C" w:rsidRPr="006F0489" w:rsidRDefault="00DA575C" w:rsidP="00FE2D17">
            <w:pPr>
              <w:spacing w:line="360" w:lineRule="auto"/>
              <w:ind w:left="1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0489">
              <w:rPr>
                <w:color w:val="000000"/>
                <w:sz w:val="28"/>
                <w:szCs w:val="28"/>
                <w:lang w:val="uk-UA"/>
              </w:rPr>
              <w:t>від ___________ № __________</w:t>
            </w:r>
          </w:p>
          <w:p w:rsidR="00DA575C" w:rsidRPr="006F0489" w:rsidRDefault="00DA575C" w:rsidP="00FE2D17">
            <w:pPr>
              <w:spacing w:line="360" w:lineRule="auto"/>
              <w:ind w:left="-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E2D17" w:rsidRPr="006F0489" w:rsidRDefault="00FE2D17" w:rsidP="00FE2D17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1" w:name="BM30j0zll" w:colFirst="0" w:colLast="0"/>
      <w:bookmarkEnd w:id="1"/>
      <w:r w:rsidRPr="00FE2D1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ЗМІНИ, </w:t>
      </w:r>
      <w:r w:rsidRPr="00FE2D17">
        <w:rPr>
          <w:color w:val="000000"/>
          <w:sz w:val="28"/>
          <w:szCs w:val="28"/>
          <w:lang w:val="uk-UA"/>
        </w:rPr>
        <w:br/>
      </w:r>
      <w:r w:rsidRPr="00FE2D1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 вносяться до </w:t>
      </w:r>
      <w:hyperlink r:id="rId7" w:tgtFrame="_blank" w:history="1">
        <w:r w:rsidRPr="006F0489">
          <w:rPr>
            <w:rStyle w:val="ac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Правил надання послуг пасажирського автомобільного транспорту</w:t>
        </w:r>
      </w:hyperlink>
    </w:p>
    <w:p w:rsidR="00933B0D" w:rsidRPr="006F0489" w:rsidRDefault="00933B0D" w:rsidP="00FE2D17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E2D17" w:rsidRPr="00FE2D17" w:rsidRDefault="00933B0D" w:rsidP="00FE2D1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2"/>
      <w:bookmarkStart w:id="3" w:name="n16"/>
      <w:bookmarkEnd w:id="2"/>
      <w:bookmarkEnd w:id="3"/>
      <w:r>
        <w:rPr>
          <w:color w:val="000000"/>
          <w:sz w:val="28"/>
          <w:szCs w:val="28"/>
          <w:lang w:val="uk-UA"/>
        </w:rPr>
        <w:t>1</w:t>
      </w:r>
      <w:r w:rsidR="00FE2D17" w:rsidRPr="00FE2D17">
        <w:rPr>
          <w:color w:val="000000"/>
          <w:sz w:val="28"/>
          <w:szCs w:val="28"/>
          <w:lang w:val="uk-UA"/>
        </w:rPr>
        <w:t xml:space="preserve">. Пункт </w:t>
      </w:r>
      <w:r w:rsidR="00FE2D17">
        <w:rPr>
          <w:color w:val="000000"/>
          <w:sz w:val="28"/>
          <w:szCs w:val="28"/>
          <w:lang w:val="uk-UA"/>
        </w:rPr>
        <w:t>32</w:t>
      </w:r>
      <w:r w:rsidR="00FE2D17" w:rsidRPr="00FE2D17">
        <w:rPr>
          <w:color w:val="000000"/>
          <w:sz w:val="28"/>
          <w:szCs w:val="28"/>
          <w:lang w:val="uk-UA"/>
        </w:rPr>
        <w:t xml:space="preserve"> викласти в такій редакції:</w:t>
      </w:r>
      <w:r w:rsidR="00D94975">
        <w:rPr>
          <w:color w:val="000000"/>
          <w:sz w:val="28"/>
          <w:szCs w:val="28"/>
          <w:lang w:val="uk-UA"/>
        </w:rPr>
        <w:t xml:space="preserve"> </w:t>
      </w:r>
    </w:p>
    <w:p w:rsidR="000A31CB" w:rsidRPr="000A31CB" w:rsidRDefault="00FE2D17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7"/>
      <w:bookmarkEnd w:id="4"/>
      <w:r w:rsidRPr="00FE2D17">
        <w:rPr>
          <w:color w:val="000000"/>
          <w:sz w:val="28"/>
          <w:szCs w:val="28"/>
          <w:lang w:val="uk-UA"/>
        </w:rPr>
        <w:t>“</w:t>
      </w:r>
      <w:r w:rsidR="000A31CB" w:rsidRPr="000A31CB">
        <w:rPr>
          <w:color w:val="000000"/>
          <w:sz w:val="28"/>
          <w:szCs w:val="28"/>
          <w:lang w:val="uk-UA"/>
        </w:rPr>
        <w:t>32. Забороняється</w:t>
      </w:r>
      <w:r w:rsidR="00572863">
        <w:rPr>
          <w:color w:val="000000"/>
          <w:sz w:val="28"/>
          <w:szCs w:val="28"/>
          <w:lang w:val="uk-UA"/>
        </w:rPr>
        <w:t xml:space="preserve"> перевезення пасажирів з</w:t>
      </w:r>
      <w:r w:rsidR="000A31CB" w:rsidRPr="000A31CB">
        <w:rPr>
          <w:color w:val="000000"/>
          <w:sz w:val="28"/>
          <w:szCs w:val="28"/>
          <w:lang w:val="uk-UA"/>
        </w:rPr>
        <w:t xml:space="preserve"> використання</w:t>
      </w:r>
      <w:r w:rsidR="00572863">
        <w:rPr>
          <w:color w:val="000000"/>
          <w:sz w:val="28"/>
          <w:szCs w:val="28"/>
          <w:lang w:val="uk-UA"/>
        </w:rPr>
        <w:t>м</w:t>
      </w:r>
      <w:r w:rsidR="000A31CB" w:rsidRPr="000A31CB">
        <w:rPr>
          <w:color w:val="000000"/>
          <w:sz w:val="28"/>
          <w:szCs w:val="28"/>
          <w:lang w:val="uk-UA"/>
        </w:rPr>
        <w:t xml:space="preserve"> автобусів переобладнаних з транспортних засобів іншого призначення.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ab/>
        <w:t xml:space="preserve">Зазначені обмеження не стосуються </w:t>
      </w:r>
      <w:r w:rsidR="004B19C1">
        <w:rPr>
          <w:color w:val="000000"/>
          <w:sz w:val="28"/>
          <w:szCs w:val="28"/>
          <w:lang w:val="uk-UA"/>
        </w:rPr>
        <w:t xml:space="preserve">нерегулярних пасажирських перевезень з використанням </w:t>
      </w:r>
      <w:r w:rsidR="00B41A1E" w:rsidRPr="00B41A1E">
        <w:rPr>
          <w:color w:val="000000"/>
          <w:sz w:val="28"/>
          <w:szCs w:val="28"/>
          <w:lang w:val="uk-UA"/>
        </w:rPr>
        <w:t>переобладнаних автобусів категорії М2 за конструкцією</w:t>
      </w:r>
      <w:r w:rsidR="00E7032C">
        <w:rPr>
          <w:color w:val="000000"/>
          <w:sz w:val="28"/>
          <w:szCs w:val="28"/>
          <w:lang w:val="uk-UA"/>
        </w:rPr>
        <w:t>,</w:t>
      </w:r>
      <w:r w:rsidR="00B41A1E" w:rsidRPr="00B41A1E">
        <w:rPr>
          <w:color w:val="000000"/>
          <w:sz w:val="28"/>
          <w:szCs w:val="28"/>
          <w:lang w:val="uk-UA"/>
        </w:rPr>
        <w:t xml:space="preserve"> призначених для перевезення виключно сидячих пасажирів </w:t>
      </w:r>
      <w:r w:rsidRPr="000A31CB">
        <w:rPr>
          <w:color w:val="000000"/>
          <w:sz w:val="28"/>
          <w:szCs w:val="28"/>
          <w:lang w:val="uk-UA"/>
        </w:rPr>
        <w:t xml:space="preserve">на маршрутах протяжністю до </w:t>
      </w:r>
      <w:r w:rsidR="002A72F6">
        <w:rPr>
          <w:color w:val="000000"/>
          <w:sz w:val="28"/>
          <w:szCs w:val="28"/>
          <w:lang w:val="uk-UA"/>
        </w:rPr>
        <w:t>8</w:t>
      </w:r>
      <w:r w:rsidRPr="000A31CB">
        <w:rPr>
          <w:color w:val="000000"/>
          <w:sz w:val="28"/>
          <w:szCs w:val="28"/>
          <w:lang w:val="uk-UA"/>
        </w:rPr>
        <w:t xml:space="preserve">0 кілометрів за наявності </w:t>
      </w:r>
      <w:r w:rsidR="0079110D" w:rsidRPr="0079110D">
        <w:rPr>
          <w:color w:val="000000"/>
          <w:sz w:val="28"/>
          <w:szCs w:val="28"/>
          <w:lang w:val="uk-UA"/>
        </w:rPr>
        <w:t>сертифікат</w:t>
      </w:r>
      <w:r w:rsidR="008C0822">
        <w:rPr>
          <w:color w:val="000000"/>
          <w:sz w:val="28"/>
          <w:szCs w:val="28"/>
          <w:lang w:val="uk-UA"/>
        </w:rPr>
        <w:t>а</w:t>
      </w:r>
      <w:r w:rsidR="0079110D" w:rsidRPr="0079110D">
        <w:rPr>
          <w:color w:val="000000"/>
          <w:sz w:val="28"/>
          <w:szCs w:val="28"/>
          <w:lang w:val="uk-UA"/>
        </w:rPr>
        <w:t xml:space="preserve"> відповідності щодо індивідуального затвердження</w:t>
      </w:r>
      <w:r w:rsidR="008C0822">
        <w:rPr>
          <w:color w:val="000000"/>
          <w:sz w:val="28"/>
          <w:szCs w:val="28"/>
          <w:lang w:val="uk-UA"/>
        </w:rPr>
        <w:t xml:space="preserve"> колісного транспортного засобу</w:t>
      </w:r>
      <w:r w:rsidR="00E7032C">
        <w:rPr>
          <w:color w:val="000000"/>
          <w:sz w:val="28"/>
          <w:szCs w:val="28"/>
          <w:lang w:val="uk-UA"/>
        </w:rPr>
        <w:t>,</w:t>
      </w:r>
      <w:r w:rsidR="00A76285">
        <w:rPr>
          <w:color w:val="000000"/>
          <w:sz w:val="28"/>
          <w:szCs w:val="28"/>
          <w:lang w:val="uk-UA"/>
        </w:rPr>
        <w:t xml:space="preserve"> </w:t>
      </w:r>
      <w:r w:rsidRPr="000A31CB">
        <w:rPr>
          <w:color w:val="000000"/>
          <w:sz w:val="28"/>
          <w:szCs w:val="28"/>
          <w:lang w:val="uk-UA"/>
        </w:rPr>
        <w:t>виданого органом із сертифікації призначеним</w:t>
      </w:r>
      <w:r>
        <w:rPr>
          <w:color w:val="000000"/>
          <w:sz w:val="28"/>
          <w:szCs w:val="28"/>
          <w:lang w:val="uk-UA"/>
        </w:rPr>
        <w:t xml:space="preserve"> Міністерством інфраструктури.</w:t>
      </w:r>
      <w:r w:rsidRPr="000A31CB">
        <w:rPr>
          <w:color w:val="000000"/>
          <w:sz w:val="28"/>
          <w:szCs w:val="28"/>
          <w:lang w:val="uk-UA"/>
        </w:rPr>
        <w:t xml:space="preserve">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ab/>
        <w:t xml:space="preserve">У водія, який керує </w:t>
      </w:r>
      <w:r w:rsidR="00B41A1E" w:rsidRPr="00B41A1E">
        <w:rPr>
          <w:color w:val="000000"/>
          <w:sz w:val="28"/>
          <w:szCs w:val="28"/>
          <w:lang w:val="uk-UA"/>
        </w:rPr>
        <w:t>переобладнани</w:t>
      </w:r>
      <w:r w:rsidR="00B41A1E">
        <w:rPr>
          <w:color w:val="000000"/>
          <w:sz w:val="28"/>
          <w:szCs w:val="28"/>
          <w:lang w:val="uk-UA"/>
        </w:rPr>
        <w:t>м</w:t>
      </w:r>
      <w:r w:rsidR="00B41A1E" w:rsidRPr="00B41A1E">
        <w:rPr>
          <w:color w:val="000000"/>
          <w:sz w:val="28"/>
          <w:szCs w:val="28"/>
          <w:lang w:val="uk-UA"/>
        </w:rPr>
        <w:t xml:space="preserve"> автобус</w:t>
      </w:r>
      <w:r w:rsidR="00B41A1E">
        <w:rPr>
          <w:color w:val="000000"/>
          <w:sz w:val="28"/>
          <w:szCs w:val="28"/>
          <w:lang w:val="uk-UA"/>
        </w:rPr>
        <w:t>ом</w:t>
      </w:r>
      <w:r w:rsidR="00B41A1E" w:rsidRPr="00B41A1E">
        <w:rPr>
          <w:color w:val="000000"/>
          <w:sz w:val="28"/>
          <w:szCs w:val="28"/>
          <w:lang w:val="uk-UA"/>
        </w:rPr>
        <w:t xml:space="preserve"> категорії М2 за конструкцією призначени</w:t>
      </w:r>
      <w:r w:rsidR="00B41A1E">
        <w:rPr>
          <w:color w:val="000000"/>
          <w:sz w:val="28"/>
          <w:szCs w:val="28"/>
          <w:lang w:val="uk-UA"/>
        </w:rPr>
        <w:t>м</w:t>
      </w:r>
      <w:r w:rsidR="00B41A1E" w:rsidRPr="00B41A1E">
        <w:rPr>
          <w:color w:val="000000"/>
          <w:sz w:val="28"/>
          <w:szCs w:val="28"/>
          <w:lang w:val="uk-UA"/>
        </w:rPr>
        <w:t xml:space="preserve"> для перевезення виключно сидячих пасажирів </w:t>
      </w:r>
      <w:r w:rsidR="00B41A1E" w:rsidRPr="000A31CB">
        <w:rPr>
          <w:color w:val="000000"/>
          <w:sz w:val="28"/>
          <w:szCs w:val="28"/>
          <w:lang w:val="uk-UA"/>
        </w:rPr>
        <w:t xml:space="preserve">на маршрутах протяжністю до </w:t>
      </w:r>
      <w:r w:rsidR="00B41A1E">
        <w:rPr>
          <w:color w:val="000000"/>
          <w:sz w:val="28"/>
          <w:szCs w:val="28"/>
          <w:lang w:val="uk-UA"/>
        </w:rPr>
        <w:t>8</w:t>
      </w:r>
      <w:r w:rsidR="00B41A1E" w:rsidRPr="000A31CB">
        <w:rPr>
          <w:color w:val="000000"/>
          <w:sz w:val="28"/>
          <w:szCs w:val="28"/>
          <w:lang w:val="uk-UA"/>
        </w:rPr>
        <w:t>0 кілометрів</w:t>
      </w:r>
      <w:r w:rsidR="00B41A1E">
        <w:rPr>
          <w:color w:val="000000"/>
          <w:sz w:val="28"/>
          <w:szCs w:val="28"/>
          <w:lang w:val="uk-UA"/>
        </w:rPr>
        <w:t>,</w:t>
      </w:r>
      <w:r w:rsidRPr="000A31CB">
        <w:rPr>
          <w:color w:val="000000"/>
          <w:sz w:val="28"/>
          <w:szCs w:val="28"/>
          <w:lang w:val="uk-UA"/>
        </w:rPr>
        <w:t xml:space="preserve"> повинен бути сертифікат </w:t>
      </w:r>
      <w:r w:rsidR="008C0822" w:rsidRPr="0079110D">
        <w:rPr>
          <w:color w:val="000000"/>
          <w:sz w:val="28"/>
          <w:szCs w:val="28"/>
          <w:lang w:val="uk-UA"/>
        </w:rPr>
        <w:t>відповідності щодо індивідуального затвердження</w:t>
      </w:r>
      <w:r w:rsidR="008C0822">
        <w:rPr>
          <w:color w:val="000000"/>
          <w:sz w:val="28"/>
          <w:szCs w:val="28"/>
          <w:lang w:val="uk-UA"/>
        </w:rPr>
        <w:t xml:space="preserve"> колісного транспортного засобу</w:t>
      </w:r>
      <w:r w:rsidR="008C0822" w:rsidRPr="000A31CB">
        <w:rPr>
          <w:color w:val="000000"/>
          <w:sz w:val="28"/>
          <w:szCs w:val="28"/>
          <w:lang w:val="uk-UA"/>
        </w:rPr>
        <w:t xml:space="preserve"> </w:t>
      </w:r>
      <w:r w:rsidRPr="000A31CB">
        <w:rPr>
          <w:color w:val="000000"/>
          <w:sz w:val="28"/>
          <w:szCs w:val="28"/>
          <w:lang w:val="uk-UA"/>
        </w:rPr>
        <w:t xml:space="preserve">виданий органом із сертифікації призначеним Міністерством інфраструктури.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ab/>
        <w:t>Забороняється використання транспортних засобів для перевезення пасажирів з кількістю місць для сидіння більше ніж дев’ять (з місцем водія включно)</w:t>
      </w:r>
      <w:r w:rsidR="00C96FF4">
        <w:rPr>
          <w:color w:val="000000"/>
          <w:sz w:val="28"/>
          <w:szCs w:val="28"/>
          <w:lang w:val="uk-UA"/>
        </w:rPr>
        <w:t>,</w:t>
      </w:r>
      <w:r w:rsidRPr="000A31CB">
        <w:rPr>
          <w:color w:val="000000"/>
          <w:sz w:val="28"/>
          <w:szCs w:val="28"/>
          <w:lang w:val="uk-UA"/>
        </w:rPr>
        <w:t xml:space="preserve"> які не обладнані контрольними пристроями, призначеними для відображення, запису, друку, зберігання та реєстрації в автоматичному чи </w:t>
      </w:r>
      <w:r w:rsidRPr="000A31CB">
        <w:rPr>
          <w:color w:val="000000"/>
          <w:sz w:val="28"/>
          <w:szCs w:val="28"/>
          <w:lang w:val="uk-UA"/>
        </w:rPr>
        <w:lastRenderedPageBreak/>
        <w:t xml:space="preserve">напівавтоматичному режимі інформації про рух таких транспортних засобів, режиму праці та відпочинку водіїв (тахографами), за винятком транспортних засобів: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 xml:space="preserve">1) які використовуються для регулярних перевезень пасажирів на маршруті, протяжність якого не перевищує </w:t>
      </w:r>
      <w:r w:rsidR="002D6026" w:rsidRPr="002D6026">
        <w:rPr>
          <w:color w:val="000000"/>
          <w:sz w:val="28"/>
          <w:szCs w:val="28"/>
        </w:rPr>
        <w:t>5</w:t>
      </w:r>
      <w:r w:rsidRPr="000A31CB">
        <w:rPr>
          <w:color w:val="000000"/>
          <w:sz w:val="28"/>
          <w:szCs w:val="28"/>
          <w:lang w:val="uk-UA"/>
        </w:rPr>
        <w:t>0 кілометрів;</w:t>
      </w:r>
    </w:p>
    <w:p w:rsid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>2) з максимальною дозволеною швидкістю, що не пе</w:t>
      </w:r>
      <w:r w:rsidR="00535A55">
        <w:rPr>
          <w:color w:val="000000"/>
          <w:sz w:val="28"/>
          <w:szCs w:val="28"/>
          <w:lang w:val="uk-UA"/>
        </w:rPr>
        <w:t>ревищує 40 кілометрів на годину.</w:t>
      </w:r>
    </w:p>
    <w:p w:rsidR="00DA575C" w:rsidRPr="008C4337" w:rsidRDefault="00732C23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2C23">
        <w:rPr>
          <w:color w:val="000000"/>
          <w:sz w:val="28"/>
          <w:szCs w:val="28"/>
          <w:lang w:val="uk-UA"/>
        </w:rPr>
        <w:t xml:space="preserve">Забороняється використання транспортних засобів для перевезення пасажирів, які не обладнані </w:t>
      </w:r>
      <w:r>
        <w:rPr>
          <w:color w:val="000000"/>
          <w:sz w:val="28"/>
          <w:szCs w:val="28"/>
          <w:lang w:val="uk-UA"/>
        </w:rPr>
        <w:t>ременями</w:t>
      </w:r>
      <w:r w:rsidRPr="00732C23">
        <w:rPr>
          <w:color w:val="000000"/>
          <w:sz w:val="28"/>
          <w:szCs w:val="28"/>
          <w:lang w:val="uk-UA"/>
        </w:rPr>
        <w:t xml:space="preserve"> безпеки відповідно до вимог правил Європейської економічної комісії - № 14 (кріплення </w:t>
      </w:r>
      <w:r>
        <w:rPr>
          <w:color w:val="000000"/>
          <w:sz w:val="28"/>
          <w:szCs w:val="28"/>
          <w:lang w:val="uk-UA"/>
        </w:rPr>
        <w:t>ременів</w:t>
      </w:r>
      <w:r w:rsidRPr="00732C23">
        <w:rPr>
          <w:color w:val="000000"/>
          <w:sz w:val="28"/>
          <w:szCs w:val="28"/>
          <w:lang w:val="uk-UA"/>
        </w:rPr>
        <w:t xml:space="preserve"> безпеки) та № 16 (</w:t>
      </w:r>
      <w:r>
        <w:rPr>
          <w:color w:val="000000"/>
          <w:sz w:val="28"/>
          <w:szCs w:val="28"/>
          <w:lang w:val="uk-UA"/>
        </w:rPr>
        <w:t xml:space="preserve">ремені </w:t>
      </w:r>
      <w:r w:rsidRPr="00732C23">
        <w:rPr>
          <w:color w:val="000000"/>
          <w:sz w:val="28"/>
          <w:szCs w:val="28"/>
          <w:lang w:val="uk-UA"/>
        </w:rPr>
        <w:t>безпеки) за</w:t>
      </w:r>
      <w:r>
        <w:rPr>
          <w:color w:val="000000"/>
          <w:sz w:val="28"/>
          <w:szCs w:val="28"/>
          <w:lang w:val="uk-UA"/>
        </w:rPr>
        <w:t xml:space="preserve"> винятком транспортних засобів,</w:t>
      </w:r>
      <w:r w:rsidRPr="00732C23">
        <w:rPr>
          <w:color w:val="000000"/>
          <w:sz w:val="28"/>
          <w:szCs w:val="28"/>
          <w:lang w:val="uk-UA"/>
        </w:rPr>
        <w:t xml:space="preserve"> </w:t>
      </w:r>
      <w:r w:rsidR="000A31CB" w:rsidRPr="000A31CB">
        <w:rPr>
          <w:color w:val="000000"/>
          <w:sz w:val="28"/>
          <w:szCs w:val="28"/>
          <w:lang w:val="uk-UA"/>
        </w:rPr>
        <w:t>що здійснюють перевезення пасажирів на міських маршрутах.</w:t>
      </w:r>
      <w:r w:rsidR="00FE2D17" w:rsidRPr="00FE2D17">
        <w:rPr>
          <w:color w:val="000000"/>
          <w:sz w:val="28"/>
          <w:szCs w:val="28"/>
          <w:lang w:val="uk-UA"/>
        </w:rPr>
        <w:t>”</w:t>
      </w:r>
      <w:bookmarkStart w:id="5" w:name="n18"/>
      <w:bookmarkEnd w:id="5"/>
      <w:r w:rsidR="00F6687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sectPr w:rsidR="00DA575C" w:rsidRPr="008C4337" w:rsidSect="00755F8B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A9" w:rsidRDefault="009137A9">
      <w:r>
        <w:separator/>
      </w:r>
    </w:p>
  </w:endnote>
  <w:endnote w:type="continuationSeparator" w:id="0">
    <w:p w:rsidR="009137A9" w:rsidRDefault="009137A9">
      <w:r>
        <w:continuationSeparator/>
      </w:r>
    </w:p>
  </w:endnote>
  <w:endnote w:type="continuationNotice" w:id="1">
    <w:p w:rsidR="009137A9" w:rsidRDefault="00913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A9" w:rsidRDefault="009137A9">
      <w:r>
        <w:separator/>
      </w:r>
    </w:p>
  </w:footnote>
  <w:footnote w:type="continuationSeparator" w:id="0">
    <w:p w:rsidR="009137A9" w:rsidRDefault="009137A9">
      <w:r>
        <w:continuationSeparator/>
      </w:r>
    </w:p>
  </w:footnote>
  <w:footnote w:type="continuationNotice" w:id="1">
    <w:p w:rsidR="009137A9" w:rsidRDefault="00913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672784"/>
      <w:docPartObj>
        <w:docPartGallery w:val="Page Numbers (Top of Page)"/>
        <w:docPartUnique/>
      </w:docPartObj>
    </w:sdtPr>
    <w:sdtEndPr/>
    <w:sdtContent>
      <w:p w:rsidR="00755F8B" w:rsidRDefault="00755F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7F">
          <w:rPr>
            <w:noProof/>
          </w:rPr>
          <w:t>2</w:t>
        </w:r>
        <w:r>
          <w:fldChar w:fldCharType="end"/>
        </w:r>
      </w:p>
    </w:sdtContent>
  </w:sdt>
  <w:p w:rsidR="00755F8B" w:rsidRDefault="0075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B" w:rsidRDefault="00755F8B">
    <w:pPr>
      <w:pStyle w:val="ad"/>
      <w:jc w:val="center"/>
    </w:pPr>
  </w:p>
  <w:p w:rsidR="00755F8B" w:rsidRDefault="00755F8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50"/>
    <w:multiLevelType w:val="multilevel"/>
    <w:tmpl w:val="95E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334CE"/>
    <w:multiLevelType w:val="hybridMultilevel"/>
    <w:tmpl w:val="1F86C79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C17A78"/>
    <w:multiLevelType w:val="hybridMultilevel"/>
    <w:tmpl w:val="717E67AA"/>
    <w:lvl w:ilvl="0" w:tplc="24DA28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582EC2"/>
    <w:multiLevelType w:val="hybridMultilevel"/>
    <w:tmpl w:val="0AAE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95D31"/>
    <w:multiLevelType w:val="hybridMultilevel"/>
    <w:tmpl w:val="278A2D20"/>
    <w:lvl w:ilvl="0" w:tplc="9D7AD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40B3"/>
    <w:multiLevelType w:val="hybridMultilevel"/>
    <w:tmpl w:val="11E2609E"/>
    <w:lvl w:ilvl="0" w:tplc="151415F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6546AF"/>
    <w:multiLevelType w:val="hybridMultilevel"/>
    <w:tmpl w:val="4BE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2691"/>
    <w:multiLevelType w:val="hybridMultilevel"/>
    <w:tmpl w:val="B7A6CB0A"/>
    <w:lvl w:ilvl="0" w:tplc="F55084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0043"/>
    <w:multiLevelType w:val="hybridMultilevel"/>
    <w:tmpl w:val="BB6837DA"/>
    <w:lvl w:ilvl="0" w:tplc="069E2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7C78D6"/>
    <w:multiLevelType w:val="hybridMultilevel"/>
    <w:tmpl w:val="8954C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D"/>
    <w:rsid w:val="00007B8E"/>
    <w:rsid w:val="00023E08"/>
    <w:rsid w:val="00056E4E"/>
    <w:rsid w:val="00056F31"/>
    <w:rsid w:val="000669C1"/>
    <w:rsid w:val="00071B3A"/>
    <w:rsid w:val="00072793"/>
    <w:rsid w:val="000A265B"/>
    <w:rsid w:val="000A31CB"/>
    <w:rsid w:val="000A41F3"/>
    <w:rsid w:val="000C15DC"/>
    <w:rsid w:val="000E3E16"/>
    <w:rsid w:val="000F397F"/>
    <w:rsid w:val="000F512A"/>
    <w:rsid w:val="0010590F"/>
    <w:rsid w:val="001075EB"/>
    <w:rsid w:val="00107C34"/>
    <w:rsid w:val="001409A8"/>
    <w:rsid w:val="001518A0"/>
    <w:rsid w:val="00185ABF"/>
    <w:rsid w:val="001D4C39"/>
    <w:rsid w:val="001D614C"/>
    <w:rsid w:val="001F5813"/>
    <w:rsid w:val="0020111D"/>
    <w:rsid w:val="00227058"/>
    <w:rsid w:val="00243E9D"/>
    <w:rsid w:val="00256845"/>
    <w:rsid w:val="002A72F6"/>
    <w:rsid w:val="002C2BBD"/>
    <w:rsid w:val="002C4DF4"/>
    <w:rsid w:val="002C6982"/>
    <w:rsid w:val="002D6026"/>
    <w:rsid w:val="002E3E5C"/>
    <w:rsid w:val="002F11F9"/>
    <w:rsid w:val="003300E7"/>
    <w:rsid w:val="003312A6"/>
    <w:rsid w:val="003432ED"/>
    <w:rsid w:val="00345964"/>
    <w:rsid w:val="00372AAB"/>
    <w:rsid w:val="0037682A"/>
    <w:rsid w:val="003A5702"/>
    <w:rsid w:val="003A6D84"/>
    <w:rsid w:val="003A7C18"/>
    <w:rsid w:val="003C583E"/>
    <w:rsid w:val="003C7C6E"/>
    <w:rsid w:val="003D020F"/>
    <w:rsid w:val="003F27D4"/>
    <w:rsid w:val="004109CA"/>
    <w:rsid w:val="0045646D"/>
    <w:rsid w:val="00475CA6"/>
    <w:rsid w:val="00480F39"/>
    <w:rsid w:val="0049663A"/>
    <w:rsid w:val="004B19C1"/>
    <w:rsid w:val="004B1DD8"/>
    <w:rsid w:val="004D5034"/>
    <w:rsid w:val="004E1F30"/>
    <w:rsid w:val="004F765F"/>
    <w:rsid w:val="0050446F"/>
    <w:rsid w:val="005218B1"/>
    <w:rsid w:val="0052617F"/>
    <w:rsid w:val="00527421"/>
    <w:rsid w:val="00535A55"/>
    <w:rsid w:val="005408F1"/>
    <w:rsid w:val="00551E13"/>
    <w:rsid w:val="00555BE5"/>
    <w:rsid w:val="00562BBE"/>
    <w:rsid w:val="00572863"/>
    <w:rsid w:val="0057482F"/>
    <w:rsid w:val="0058473B"/>
    <w:rsid w:val="00585C7F"/>
    <w:rsid w:val="00596203"/>
    <w:rsid w:val="00597DB6"/>
    <w:rsid w:val="005B2F89"/>
    <w:rsid w:val="005B3961"/>
    <w:rsid w:val="005C017F"/>
    <w:rsid w:val="005C20C6"/>
    <w:rsid w:val="005D23AA"/>
    <w:rsid w:val="005D5C6F"/>
    <w:rsid w:val="005F0AFF"/>
    <w:rsid w:val="00641768"/>
    <w:rsid w:val="00641867"/>
    <w:rsid w:val="006667B3"/>
    <w:rsid w:val="0066697D"/>
    <w:rsid w:val="00672F52"/>
    <w:rsid w:val="006748D0"/>
    <w:rsid w:val="006765BA"/>
    <w:rsid w:val="006C0FBA"/>
    <w:rsid w:val="006C3925"/>
    <w:rsid w:val="006C6780"/>
    <w:rsid w:val="006E272A"/>
    <w:rsid w:val="006F0489"/>
    <w:rsid w:val="006F1BD4"/>
    <w:rsid w:val="006F35A6"/>
    <w:rsid w:val="006F5D4D"/>
    <w:rsid w:val="00724FC5"/>
    <w:rsid w:val="00727DFA"/>
    <w:rsid w:val="00732C23"/>
    <w:rsid w:val="007468C3"/>
    <w:rsid w:val="00746BFB"/>
    <w:rsid w:val="00755F8B"/>
    <w:rsid w:val="007659D4"/>
    <w:rsid w:val="00766458"/>
    <w:rsid w:val="007711ED"/>
    <w:rsid w:val="0079110D"/>
    <w:rsid w:val="007E2E19"/>
    <w:rsid w:val="007F4B82"/>
    <w:rsid w:val="008622B7"/>
    <w:rsid w:val="00897EB1"/>
    <w:rsid w:val="008C0822"/>
    <w:rsid w:val="008C22FF"/>
    <w:rsid w:val="008C4337"/>
    <w:rsid w:val="008D7C25"/>
    <w:rsid w:val="008E240F"/>
    <w:rsid w:val="008E6F3D"/>
    <w:rsid w:val="008F403D"/>
    <w:rsid w:val="008F50ED"/>
    <w:rsid w:val="00912049"/>
    <w:rsid w:val="009137A9"/>
    <w:rsid w:val="00933B0D"/>
    <w:rsid w:val="009403E2"/>
    <w:rsid w:val="00946212"/>
    <w:rsid w:val="00963669"/>
    <w:rsid w:val="00967500"/>
    <w:rsid w:val="009738EA"/>
    <w:rsid w:val="00974C45"/>
    <w:rsid w:val="00996EAE"/>
    <w:rsid w:val="009A0043"/>
    <w:rsid w:val="009A22FB"/>
    <w:rsid w:val="009A5DFE"/>
    <w:rsid w:val="009B0970"/>
    <w:rsid w:val="009B449E"/>
    <w:rsid w:val="009E39D8"/>
    <w:rsid w:val="009E4EC4"/>
    <w:rsid w:val="00A06775"/>
    <w:rsid w:val="00A13B5D"/>
    <w:rsid w:val="00A203DC"/>
    <w:rsid w:val="00A32EE3"/>
    <w:rsid w:val="00A36EB9"/>
    <w:rsid w:val="00A413E6"/>
    <w:rsid w:val="00A55425"/>
    <w:rsid w:val="00A70D83"/>
    <w:rsid w:val="00A731F4"/>
    <w:rsid w:val="00A76194"/>
    <w:rsid w:val="00A76285"/>
    <w:rsid w:val="00A77444"/>
    <w:rsid w:val="00A84763"/>
    <w:rsid w:val="00A87D5B"/>
    <w:rsid w:val="00A91289"/>
    <w:rsid w:val="00A94A4E"/>
    <w:rsid w:val="00AA10EC"/>
    <w:rsid w:val="00AA63FC"/>
    <w:rsid w:val="00AC5096"/>
    <w:rsid w:val="00AE6F2D"/>
    <w:rsid w:val="00AF7A9B"/>
    <w:rsid w:val="00B15503"/>
    <w:rsid w:val="00B30274"/>
    <w:rsid w:val="00B354E7"/>
    <w:rsid w:val="00B41A1E"/>
    <w:rsid w:val="00B515CC"/>
    <w:rsid w:val="00B663D9"/>
    <w:rsid w:val="00B836C8"/>
    <w:rsid w:val="00B90FFE"/>
    <w:rsid w:val="00BA6EBA"/>
    <w:rsid w:val="00BD7A15"/>
    <w:rsid w:val="00C20A25"/>
    <w:rsid w:val="00C32B2E"/>
    <w:rsid w:val="00C55CF0"/>
    <w:rsid w:val="00C8019A"/>
    <w:rsid w:val="00C86BFE"/>
    <w:rsid w:val="00C96FF4"/>
    <w:rsid w:val="00CB3F49"/>
    <w:rsid w:val="00CB5C1C"/>
    <w:rsid w:val="00CC5C25"/>
    <w:rsid w:val="00CE33D1"/>
    <w:rsid w:val="00CF6626"/>
    <w:rsid w:val="00D06164"/>
    <w:rsid w:val="00D224F4"/>
    <w:rsid w:val="00D23AF4"/>
    <w:rsid w:val="00D8080D"/>
    <w:rsid w:val="00D93053"/>
    <w:rsid w:val="00D94975"/>
    <w:rsid w:val="00DA575C"/>
    <w:rsid w:val="00DA6AEB"/>
    <w:rsid w:val="00DB20DA"/>
    <w:rsid w:val="00DE19FB"/>
    <w:rsid w:val="00DF46C3"/>
    <w:rsid w:val="00E1412F"/>
    <w:rsid w:val="00E2091A"/>
    <w:rsid w:val="00E218AE"/>
    <w:rsid w:val="00E47412"/>
    <w:rsid w:val="00E52F45"/>
    <w:rsid w:val="00E63641"/>
    <w:rsid w:val="00E7032C"/>
    <w:rsid w:val="00E978C3"/>
    <w:rsid w:val="00EA65EB"/>
    <w:rsid w:val="00EA764B"/>
    <w:rsid w:val="00EB6C9B"/>
    <w:rsid w:val="00EB7B0A"/>
    <w:rsid w:val="00EC0DD6"/>
    <w:rsid w:val="00EF0AE3"/>
    <w:rsid w:val="00F251F7"/>
    <w:rsid w:val="00F33BB1"/>
    <w:rsid w:val="00F66870"/>
    <w:rsid w:val="00F81910"/>
    <w:rsid w:val="00F81CE6"/>
    <w:rsid w:val="00F8724E"/>
    <w:rsid w:val="00FB12CE"/>
    <w:rsid w:val="00FB4F42"/>
    <w:rsid w:val="00FD12FD"/>
    <w:rsid w:val="00FD6D68"/>
    <w:rsid w:val="00FE2D17"/>
    <w:rsid w:val="00FE2F8B"/>
    <w:rsid w:val="00FE4B43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9871D-1498-4903-B96D-5AE533D5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F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C4DF4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C4DF4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C4DF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2C4DF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2C4DF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2C4DF4"/>
    <w:pPr>
      <w:keepNext/>
      <w:keepLines/>
      <w:spacing w:before="200" w:after="4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4EB5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uiPriority w:val="9"/>
    <w:semiHidden/>
    <w:rsid w:val="00A84EB5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A84EB5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semiHidden/>
    <w:rsid w:val="00A84EB5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"/>
    <w:semiHidden/>
    <w:rsid w:val="00A84EB5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link w:val="6"/>
    <w:uiPriority w:val="9"/>
    <w:semiHidden/>
    <w:rsid w:val="00A84EB5"/>
    <w:rPr>
      <w:rFonts w:ascii="Calibri" w:eastAsia="Times New Roman" w:hAnsi="Calibri" w:cs="Times New Roman"/>
      <w:b/>
      <w:bCs/>
      <w:lang w:eastAsia="uk-UA"/>
    </w:rPr>
  </w:style>
  <w:style w:type="paragraph" w:styleId="a3">
    <w:name w:val="Title"/>
    <w:basedOn w:val="a"/>
    <w:next w:val="a"/>
    <w:link w:val="a4"/>
    <w:uiPriority w:val="10"/>
    <w:qFormat/>
    <w:rsid w:val="002C4DF4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Заголовок Знак"/>
    <w:link w:val="a3"/>
    <w:uiPriority w:val="10"/>
    <w:rsid w:val="00A84EB5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2C4DF4"/>
    <w:pPr>
      <w:keepNext/>
      <w:keepLines/>
      <w:spacing w:before="360" w:after="80"/>
    </w:pPr>
    <w:rPr>
      <w:rFonts w:ascii="Cambria" w:hAnsi="Cambria"/>
      <w:sz w:val="24"/>
      <w:szCs w:val="24"/>
      <w:lang w:val="x-none"/>
    </w:rPr>
  </w:style>
  <w:style w:type="character" w:customStyle="1" w:styleId="a6">
    <w:name w:val="Подзаголовок Знак"/>
    <w:link w:val="a5"/>
    <w:uiPriority w:val="11"/>
    <w:rsid w:val="00A84EB5"/>
    <w:rPr>
      <w:rFonts w:ascii="Cambria" w:eastAsia="Times New Roman" w:hAnsi="Cambria" w:cs="Times New Roman"/>
      <w:sz w:val="24"/>
      <w:szCs w:val="24"/>
      <w:lang w:eastAsia="uk-UA"/>
    </w:rPr>
  </w:style>
  <w:style w:type="table" w:customStyle="1" w:styleId="a7">
    <w:name w:val="Стиль"/>
    <w:uiPriority w:val="99"/>
    <w:rsid w:val="002C4DF4"/>
    <w:rPr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rsid w:val="003A6D8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3A6D8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C55CF0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2C2BBD"/>
    <w:pPr>
      <w:ind w:left="720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76194"/>
    <w:rPr>
      <w:rFonts w:ascii="Verdana" w:hAnsi="Verdana"/>
      <w:lang w:val="en-US" w:eastAsia="en-US"/>
    </w:rPr>
  </w:style>
  <w:style w:type="character" w:customStyle="1" w:styleId="rvts0">
    <w:name w:val="rvts0"/>
    <w:basedOn w:val="a0"/>
    <w:rsid w:val="000669C1"/>
  </w:style>
  <w:style w:type="character" w:styleId="ac">
    <w:name w:val="Hyperlink"/>
    <w:uiPriority w:val="99"/>
    <w:rsid w:val="000669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1409A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409A8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9B44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9B449E"/>
  </w:style>
  <w:style w:type="character" w:customStyle="1" w:styleId="apple-converted-space">
    <w:name w:val="apple-converted-space"/>
    <w:basedOn w:val="a0"/>
    <w:rsid w:val="009B449E"/>
  </w:style>
  <w:style w:type="paragraph" w:styleId="af0">
    <w:name w:val="No Spacing"/>
    <w:uiPriority w:val="1"/>
    <w:qFormat/>
    <w:rsid w:val="003F27D4"/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D9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D93053"/>
    <w:rPr>
      <w:rFonts w:ascii="Courier New" w:hAnsi="Courier New" w:cs="Courier New"/>
    </w:rPr>
  </w:style>
  <w:style w:type="paragraph" w:customStyle="1" w:styleId="rvps6">
    <w:name w:val="rvps6"/>
    <w:basedOn w:val="a"/>
    <w:rsid w:val="00FE2D1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FE2D17"/>
  </w:style>
  <w:style w:type="character" w:customStyle="1" w:styleId="ae">
    <w:name w:val="Верхний колонтитул Знак"/>
    <w:basedOn w:val="a0"/>
    <w:link w:val="ad"/>
    <w:uiPriority w:val="99"/>
    <w:rsid w:val="00755F8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6-9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</Company>
  <LinksUpToDate>false</LinksUpToDate>
  <CharactersWithSpaces>2146</CharactersWithSpaces>
  <SharedDoc>false</SharedDoc>
  <HLinks>
    <vt:vector size="12" baseType="variant"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http://zakon3.rada.gov.ua/laws/show/176-97-%D0%BF</vt:lpwstr>
      </vt:variant>
      <vt:variant>
        <vt:lpwstr/>
      </vt:variant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http://zakon2.rada.gov.ua/laws/show/176-97-%D0%BF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inuserj2</dc:creator>
  <cp:lastModifiedBy>Герасимова Оксана Анатоліївна</cp:lastModifiedBy>
  <cp:revision>2</cp:revision>
  <cp:lastPrinted>2018-08-15T14:49:00Z</cp:lastPrinted>
  <dcterms:created xsi:type="dcterms:W3CDTF">2018-08-17T07:42:00Z</dcterms:created>
  <dcterms:modified xsi:type="dcterms:W3CDTF">2018-08-17T07:42:00Z</dcterms:modified>
</cp:coreProperties>
</file>