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B0" w:rsidRPr="00B7285A" w:rsidRDefault="004409B0" w:rsidP="00615510">
      <w:pPr>
        <w:pStyle w:val="rvps12"/>
        <w:shd w:val="clear" w:color="auto" w:fill="FFFFFF"/>
        <w:spacing w:before="0" w:beforeAutospacing="0" w:after="0" w:afterAutospacing="0"/>
        <w:jc w:val="center"/>
        <w:textAlignment w:val="baseline"/>
        <w:rPr>
          <w:color w:val="000000"/>
          <w:sz w:val="26"/>
          <w:szCs w:val="26"/>
          <w:lang w:val="uk-UA"/>
        </w:rPr>
      </w:pPr>
      <w:r w:rsidRPr="00B7285A">
        <w:rPr>
          <w:rStyle w:val="rvts15"/>
          <w:b/>
          <w:bCs/>
          <w:color w:val="000000"/>
          <w:sz w:val="28"/>
          <w:szCs w:val="28"/>
          <w:bdr w:val="none" w:sz="0" w:space="0" w:color="auto" w:frame="1"/>
          <w:lang w:val="uk-UA"/>
        </w:rPr>
        <w:t>ТЕСТ</w:t>
      </w:r>
      <w:r w:rsidRPr="00B7285A">
        <w:rPr>
          <w:rStyle w:val="apple-converted-space"/>
          <w:b/>
          <w:bCs/>
          <w:color w:val="000000"/>
          <w:sz w:val="28"/>
          <w:szCs w:val="28"/>
          <w:bdr w:val="none" w:sz="0" w:space="0" w:color="auto" w:frame="1"/>
          <w:lang w:val="uk-UA"/>
        </w:rPr>
        <w:t> </w:t>
      </w:r>
    </w:p>
    <w:p w:rsidR="004409B0" w:rsidRPr="00B7285A" w:rsidRDefault="004409B0" w:rsidP="00615510">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r w:rsidRPr="00B7285A">
        <w:rPr>
          <w:rStyle w:val="rvts15"/>
          <w:b/>
          <w:bCs/>
          <w:color w:val="000000"/>
          <w:sz w:val="28"/>
          <w:szCs w:val="28"/>
          <w:bdr w:val="none" w:sz="0" w:space="0" w:color="auto" w:frame="1"/>
          <w:lang w:val="uk-UA"/>
        </w:rPr>
        <w:t>малого підприємництва (М-Тест)</w:t>
      </w:r>
    </w:p>
    <w:p w:rsidR="004409B0" w:rsidRPr="00B7285A" w:rsidRDefault="004409B0" w:rsidP="00615510">
      <w:pPr>
        <w:pStyle w:val="rvps12"/>
        <w:shd w:val="clear" w:color="auto" w:fill="FFFFFF"/>
        <w:spacing w:before="0" w:beforeAutospacing="0" w:after="0" w:afterAutospacing="0"/>
        <w:jc w:val="center"/>
        <w:textAlignment w:val="baseline"/>
        <w:rPr>
          <w:color w:val="000000"/>
          <w:sz w:val="26"/>
          <w:szCs w:val="26"/>
          <w:lang w:val="uk-UA"/>
        </w:rPr>
      </w:pPr>
    </w:p>
    <w:p w:rsidR="004409B0" w:rsidRPr="00B7285A" w:rsidRDefault="004409B0" w:rsidP="00A62EB1">
      <w:pPr>
        <w:pStyle w:val="rvps2"/>
        <w:shd w:val="clear" w:color="auto" w:fill="FFFFFF"/>
        <w:spacing w:before="0" w:beforeAutospacing="0" w:after="0" w:afterAutospacing="0"/>
        <w:ind w:firstLine="567"/>
        <w:jc w:val="both"/>
        <w:textAlignment w:val="baseline"/>
        <w:rPr>
          <w:color w:val="000000"/>
          <w:sz w:val="26"/>
          <w:szCs w:val="26"/>
          <w:lang w:val="uk-UA"/>
        </w:rPr>
      </w:pPr>
      <w:bookmarkStart w:id="0" w:name="n200"/>
      <w:bookmarkEnd w:id="0"/>
      <w:r w:rsidRPr="00B7285A">
        <w:rPr>
          <w:color w:val="000000"/>
          <w:sz w:val="26"/>
          <w:szCs w:val="26"/>
          <w:lang w:val="uk-UA"/>
        </w:rPr>
        <w:t>1. Консультації з представниками мікро</w:t>
      </w:r>
      <w:r w:rsidR="00271240">
        <w:rPr>
          <w:color w:val="000000"/>
          <w:sz w:val="26"/>
          <w:szCs w:val="26"/>
          <w:lang w:val="uk-UA"/>
        </w:rPr>
        <w:t xml:space="preserve"> </w:t>
      </w:r>
      <w:r w:rsidRPr="00B7285A">
        <w:rPr>
          <w:color w:val="000000"/>
          <w:sz w:val="26"/>
          <w:szCs w:val="26"/>
          <w:lang w:val="uk-UA"/>
        </w:rPr>
        <w:t>та малого підприємництва щодо оцінки впливу регулювання</w:t>
      </w:r>
    </w:p>
    <w:p w:rsidR="004409B0" w:rsidRPr="00ED6FA0" w:rsidRDefault="004409B0" w:rsidP="00A62EB1">
      <w:pPr>
        <w:pStyle w:val="rvps2"/>
        <w:shd w:val="clear" w:color="auto" w:fill="FFFFFF"/>
        <w:spacing w:before="0" w:beforeAutospacing="0" w:after="0" w:afterAutospacing="0"/>
        <w:ind w:firstLine="567"/>
        <w:jc w:val="both"/>
        <w:textAlignment w:val="baseline"/>
        <w:rPr>
          <w:b/>
          <w:color w:val="000000"/>
          <w:sz w:val="26"/>
          <w:szCs w:val="26"/>
          <w:lang w:val="uk-UA"/>
        </w:rPr>
      </w:pPr>
      <w:bookmarkStart w:id="1" w:name="n201"/>
      <w:bookmarkEnd w:id="1"/>
      <w:r w:rsidRPr="00B7285A">
        <w:rPr>
          <w:color w:val="000000"/>
          <w:sz w:val="26"/>
          <w:szCs w:val="26"/>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1B1D10">
        <w:rPr>
          <w:b/>
          <w:color w:val="000000"/>
          <w:sz w:val="26"/>
          <w:szCs w:val="26"/>
          <w:lang w:val="uk-UA"/>
        </w:rPr>
        <w:t xml:space="preserve">з </w:t>
      </w:r>
      <w:r w:rsidR="000D2511">
        <w:rPr>
          <w:b/>
          <w:color w:val="000000"/>
          <w:sz w:val="26"/>
          <w:szCs w:val="26"/>
          <w:lang w:val="uk-UA"/>
        </w:rPr>
        <w:t>19</w:t>
      </w:r>
      <w:r w:rsidR="001B1D10">
        <w:rPr>
          <w:b/>
          <w:color w:val="000000"/>
          <w:sz w:val="26"/>
          <w:szCs w:val="26"/>
          <w:lang w:val="uk-UA"/>
        </w:rPr>
        <w:t>.10.2017</w:t>
      </w:r>
      <w:bookmarkStart w:id="2" w:name="_GoBack"/>
      <w:bookmarkEnd w:id="2"/>
      <w:r w:rsidRPr="00ED6FA0">
        <w:rPr>
          <w:b/>
          <w:color w:val="000000"/>
          <w:sz w:val="26"/>
          <w:szCs w:val="26"/>
          <w:lang w:val="uk-UA"/>
        </w:rPr>
        <w:t xml:space="preserve"> по </w:t>
      </w:r>
      <w:r w:rsidR="00737B7B">
        <w:rPr>
          <w:b/>
          <w:color w:val="000000"/>
          <w:sz w:val="26"/>
          <w:szCs w:val="26"/>
          <w:lang w:val="uk-UA"/>
        </w:rPr>
        <w:t>25.02</w:t>
      </w:r>
      <w:r w:rsidRPr="00ED6FA0">
        <w:rPr>
          <w:b/>
          <w:color w:val="000000"/>
          <w:sz w:val="26"/>
          <w:szCs w:val="26"/>
          <w:lang w:val="uk-UA"/>
        </w:rPr>
        <w:t>.201</w:t>
      </w:r>
      <w:r w:rsidR="00737B7B">
        <w:rPr>
          <w:b/>
          <w:color w:val="000000"/>
          <w:sz w:val="26"/>
          <w:szCs w:val="26"/>
          <w:lang w:val="uk-UA"/>
        </w:rPr>
        <w:t>8</w:t>
      </w:r>
      <w:r w:rsidRPr="00ED6FA0">
        <w:rPr>
          <w:b/>
          <w:color w:val="000000"/>
          <w:sz w:val="26"/>
          <w:szCs w:val="26"/>
          <w:lang w:val="uk-UA"/>
        </w:rPr>
        <w:t>.</w:t>
      </w:r>
    </w:p>
    <w:p w:rsidR="004409B0" w:rsidRPr="00ED6FA0" w:rsidRDefault="004409B0" w:rsidP="00615510">
      <w:pPr>
        <w:pStyle w:val="rvps2"/>
        <w:shd w:val="clear" w:color="auto" w:fill="FFFFFF"/>
        <w:spacing w:before="0" w:beforeAutospacing="0" w:after="0" w:afterAutospacing="0"/>
        <w:ind w:firstLine="485"/>
        <w:jc w:val="both"/>
        <w:textAlignment w:val="baseline"/>
        <w:rPr>
          <w:b/>
          <w:color w:val="00000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03"/>
        <w:gridCol w:w="884"/>
        <w:gridCol w:w="3651"/>
      </w:tblGrid>
      <w:tr w:rsidR="004409B0" w:rsidRPr="0081139B" w:rsidTr="00287036">
        <w:tc>
          <w:tcPr>
            <w:tcW w:w="817" w:type="dxa"/>
            <w:vAlign w:val="center"/>
          </w:tcPr>
          <w:p w:rsidR="004409B0" w:rsidRPr="0081139B" w:rsidRDefault="00B80BAD"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 з/п</w:t>
            </w:r>
          </w:p>
        </w:tc>
        <w:tc>
          <w:tcPr>
            <w:tcW w:w="4503" w:type="dxa"/>
            <w:vAlign w:val="center"/>
          </w:tcPr>
          <w:p w:rsidR="004409B0" w:rsidRPr="0081139B" w:rsidRDefault="004409B0" w:rsidP="0081139B">
            <w:pPr>
              <w:pStyle w:val="rvps2"/>
              <w:spacing w:before="0" w:beforeAutospacing="0" w:after="0" w:afterAutospacing="0"/>
              <w:jc w:val="center"/>
              <w:textAlignment w:val="baseline"/>
              <w:rPr>
                <w:b/>
                <w:color w:val="000000"/>
                <w:sz w:val="26"/>
                <w:szCs w:val="26"/>
                <w:lang w:val="uk-UA"/>
              </w:rPr>
            </w:pPr>
            <w:r w:rsidRPr="0081139B">
              <w:rPr>
                <w:b/>
                <w:color w:val="000000"/>
                <w:sz w:val="26"/>
                <w:szCs w:val="26"/>
                <w:lang w:val="uk-UA"/>
              </w:rPr>
              <w:t>Вид консультації (публічні консультації прямі (круглі столи, наради, робочі зустрічі тощо), Інтернет-консультації прямі, (Інтернет</w:t>
            </w:r>
            <w:r w:rsidR="00832752">
              <w:rPr>
                <w:b/>
                <w:color w:val="000000"/>
                <w:sz w:val="26"/>
                <w:szCs w:val="26"/>
                <w:lang w:val="uk-UA"/>
              </w:rPr>
              <w:t>-</w:t>
            </w:r>
            <w:r w:rsidRPr="0081139B">
              <w:rPr>
                <w:b/>
                <w:color w:val="000000"/>
                <w:sz w:val="26"/>
                <w:szCs w:val="26"/>
                <w:lang w:val="uk-UA"/>
              </w:rPr>
              <w:t>форуми, соціальні мережі тощо), запити (до підприємців, експертів, науковців тощо)</w:t>
            </w:r>
          </w:p>
        </w:tc>
        <w:tc>
          <w:tcPr>
            <w:tcW w:w="884" w:type="dxa"/>
            <w:vAlign w:val="center"/>
          </w:tcPr>
          <w:p w:rsidR="004409B0" w:rsidRPr="0081139B" w:rsidRDefault="004409B0" w:rsidP="0081139B">
            <w:pPr>
              <w:pStyle w:val="rvps2"/>
              <w:spacing w:before="0" w:beforeAutospacing="0" w:after="0" w:afterAutospacing="0"/>
              <w:jc w:val="center"/>
              <w:textAlignment w:val="baseline"/>
              <w:rPr>
                <w:b/>
                <w:color w:val="000000"/>
                <w:sz w:val="26"/>
                <w:szCs w:val="26"/>
                <w:lang w:val="uk-UA"/>
              </w:rPr>
            </w:pPr>
            <w:r w:rsidRPr="0081139B">
              <w:rPr>
                <w:b/>
                <w:color w:val="000000"/>
                <w:sz w:val="26"/>
                <w:szCs w:val="26"/>
                <w:lang w:val="uk-UA"/>
              </w:rPr>
              <w:t>Кількість учасників консультацій, осіб</w:t>
            </w:r>
          </w:p>
        </w:tc>
        <w:tc>
          <w:tcPr>
            <w:tcW w:w="3651" w:type="dxa"/>
            <w:vAlign w:val="center"/>
          </w:tcPr>
          <w:p w:rsidR="004409B0" w:rsidRPr="0081139B" w:rsidRDefault="004409B0" w:rsidP="0081139B">
            <w:pPr>
              <w:pStyle w:val="rvps2"/>
              <w:spacing w:before="0" w:beforeAutospacing="0" w:after="0" w:afterAutospacing="0"/>
              <w:jc w:val="center"/>
              <w:textAlignment w:val="baseline"/>
              <w:rPr>
                <w:b/>
                <w:color w:val="000000"/>
                <w:sz w:val="26"/>
                <w:szCs w:val="26"/>
                <w:lang w:val="uk-UA"/>
              </w:rPr>
            </w:pPr>
            <w:r w:rsidRPr="0081139B">
              <w:rPr>
                <w:b/>
                <w:color w:val="000000"/>
                <w:sz w:val="26"/>
                <w:szCs w:val="26"/>
                <w:lang w:val="uk-UA"/>
              </w:rPr>
              <w:t>Основні результати консультацій (опис)</w:t>
            </w:r>
          </w:p>
        </w:tc>
      </w:tr>
      <w:tr w:rsidR="00B80BAD" w:rsidRPr="00333584" w:rsidTr="00287036">
        <w:tc>
          <w:tcPr>
            <w:tcW w:w="817" w:type="dxa"/>
            <w:vAlign w:val="center"/>
          </w:tcPr>
          <w:p w:rsidR="00B80BAD" w:rsidRDefault="00847405"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1</w:t>
            </w:r>
          </w:p>
        </w:tc>
        <w:tc>
          <w:tcPr>
            <w:tcW w:w="4503" w:type="dxa"/>
            <w:vAlign w:val="center"/>
          </w:tcPr>
          <w:p w:rsidR="00B80BAD" w:rsidRPr="00287036" w:rsidRDefault="00B80BAD" w:rsidP="00B80BAD">
            <w:pPr>
              <w:keepNext/>
              <w:widowControl w:val="0"/>
              <w:spacing w:after="0" w:line="240" w:lineRule="auto"/>
              <w:jc w:val="both"/>
              <w:textAlignment w:val="baseline"/>
              <w:rPr>
                <w:rFonts w:ascii="Times New Roman" w:hAnsi="Times New Roman"/>
                <w:sz w:val="28"/>
                <w:szCs w:val="28"/>
                <w:lang w:val="uk-UA" w:eastAsia="ru-RU"/>
              </w:rPr>
            </w:pPr>
            <w:r w:rsidRPr="00287036">
              <w:rPr>
                <w:rFonts w:ascii="Times New Roman" w:hAnsi="Times New Roman"/>
                <w:sz w:val="28"/>
                <w:szCs w:val="28"/>
                <w:lang w:val="uk-UA" w:eastAsia="ru-RU"/>
              </w:rPr>
              <w:t>Робочі зустрічі з Офісом ефективного регулювання</w:t>
            </w:r>
            <w:r w:rsidR="00832752">
              <w:rPr>
                <w:rFonts w:ascii="Times New Roman" w:hAnsi="Times New Roman"/>
                <w:sz w:val="28"/>
                <w:szCs w:val="28"/>
                <w:lang w:val="uk-UA" w:eastAsia="ru-RU"/>
              </w:rPr>
              <w:t xml:space="preserve"> </w:t>
            </w:r>
            <w:r w:rsidRPr="00287036">
              <w:rPr>
                <w:rFonts w:ascii="Times New Roman" w:hAnsi="Times New Roman"/>
                <w:sz w:val="28"/>
                <w:szCs w:val="28"/>
                <w:lang w:val="uk-UA" w:eastAsia="ru-RU"/>
              </w:rPr>
              <w:t>(</w:t>
            </w:r>
            <w:r w:rsidRPr="00287036">
              <w:rPr>
                <w:rFonts w:ascii="Times New Roman" w:hAnsi="Times New Roman"/>
                <w:sz w:val="28"/>
                <w:szCs w:val="28"/>
                <w:lang w:val="en-US" w:eastAsia="ru-RU"/>
              </w:rPr>
              <w:t>BRDO</w:t>
            </w:r>
            <w:r w:rsidRPr="00287036">
              <w:rPr>
                <w:rFonts w:ascii="Times New Roman" w:hAnsi="Times New Roman"/>
                <w:sz w:val="28"/>
                <w:szCs w:val="28"/>
                <w:lang w:eastAsia="ru-RU"/>
              </w:rPr>
              <w:t>)</w:t>
            </w:r>
            <w:r w:rsidRPr="00287036">
              <w:rPr>
                <w:rFonts w:ascii="Times New Roman" w:hAnsi="Times New Roman"/>
                <w:sz w:val="28"/>
                <w:szCs w:val="28"/>
                <w:lang w:val="uk-UA" w:eastAsia="ru-RU"/>
              </w:rPr>
              <w:t>, експертами офісу:</w:t>
            </w:r>
          </w:p>
          <w:p w:rsidR="00B80BAD" w:rsidRPr="00287036" w:rsidRDefault="00B80BAD" w:rsidP="00B80BAD">
            <w:pPr>
              <w:keepNext/>
              <w:widowControl w:val="0"/>
              <w:spacing w:after="0" w:line="240" w:lineRule="auto"/>
              <w:jc w:val="both"/>
              <w:textAlignment w:val="baseline"/>
              <w:rPr>
                <w:rFonts w:ascii="Times New Roman" w:hAnsi="Times New Roman"/>
                <w:sz w:val="28"/>
                <w:szCs w:val="28"/>
                <w:lang w:val="uk-UA" w:eastAsia="ru-RU"/>
              </w:rPr>
            </w:pPr>
            <w:r w:rsidRPr="00287036">
              <w:rPr>
                <w:rFonts w:ascii="Times New Roman" w:hAnsi="Times New Roman"/>
                <w:sz w:val="28"/>
                <w:szCs w:val="28"/>
                <w:lang w:val="uk-UA" w:eastAsia="ru-RU"/>
              </w:rPr>
              <w:t>Д</w:t>
            </w:r>
            <w:r w:rsidR="00B1614C">
              <w:rPr>
                <w:rFonts w:ascii="Times New Roman" w:hAnsi="Times New Roman"/>
                <w:sz w:val="28"/>
                <w:szCs w:val="28"/>
                <w:lang w:val="uk-UA" w:eastAsia="ru-RU"/>
              </w:rPr>
              <w:t xml:space="preserve">. </w:t>
            </w:r>
            <w:proofErr w:type="spellStart"/>
            <w:r w:rsidRPr="00287036">
              <w:rPr>
                <w:rFonts w:ascii="Times New Roman" w:hAnsi="Times New Roman"/>
                <w:sz w:val="28"/>
                <w:szCs w:val="28"/>
                <w:lang w:val="uk-UA" w:eastAsia="ru-RU"/>
              </w:rPr>
              <w:t>Горюновим</w:t>
            </w:r>
            <w:proofErr w:type="spellEnd"/>
            <w:r w:rsidR="00B1614C">
              <w:rPr>
                <w:rFonts w:ascii="Times New Roman" w:hAnsi="Times New Roman"/>
                <w:sz w:val="28"/>
                <w:szCs w:val="28"/>
                <w:lang w:val="uk-UA" w:eastAsia="ru-RU"/>
              </w:rPr>
              <w:t>,</w:t>
            </w:r>
          </w:p>
          <w:p w:rsidR="00B80BAD" w:rsidRPr="00287036" w:rsidRDefault="00B1614C" w:rsidP="00B80BAD">
            <w:pPr>
              <w:keepNext/>
              <w:widowControl w:val="0"/>
              <w:spacing w:after="0" w:line="240" w:lineRule="auto"/>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 xml:space="preserve">І. </w:t>
            </w:r>
            <w:r w:rsidR="00B80BAD" w:rsidRPr="00287036">
              <w:rPr>
                <w:rFonts w:ascii="Times New Roman" w:hAnsi="Times New Roman"/>
                <w:sz w:val="28"/>
                <w:szCs w:val="28"/>
                <w:lang w:val="uk-UA" w:eastAsia="ru-RU"/>
              </w:rPr>
              <w:t>Лавриненко</w:t>
            </w:r>
            <w:r>
              <w:rPr>
                <w:rFonts w:ascii="Times New Roman" w:hAnsi="Times New Roman"/>
                <w:sz w:val="28"/>
                <w:szCs w:val="28"/>
                <w:lang w:val="uk-UA" w:eastAsia="ru-RU"/>
              </w:rPr>
              <w:t>м,</w:t>
            </w:r>
          </w:p>
          <w:p w:rsidR="00B80BAD" w:rsidRPr="0081139B" w:rsidRDefault="00B1614C" w:rsidP="00CE436E">
            <w:pPr>
              <w:pStyle w:val="rvps2"/>
              <w:spacing w:before="0" w:beforeAutospacing="0" w:after="0" w:afterAutospacing="0"/>
              <w:textAlignment w:val="baseline"/>
              <w:rPr>
                <w:b/>
                <w:color w:val="000000"/>
                <w:sz w:val="26"/>
                <w:szCs w:val="26"/>
                <w:lang w:val="uk-UA"/>
              </w:rPr>
            </w:pPr>
            <w:r>
              <w:rPr>
                <w:rFonts w:eastAsia="Times New Roman"/>
                <w:sz w:val="28"/>
                <w:szCs w:val="28"/>
                <w:lang w:val="uk-UA"/>
              </w:rPr>
              <w:t>Т. Сло</w:t>
            </w:r>
            <w:r w:rsidR="00B80BAD" w:rsidRPr="00287036">
              <w:rPr>
                <w:rFonts w:eastAsia="Times New Roman"/>
                <w:sz w:val="28"/>
                <w:szCs w:val="28"/>
                <w:lang w:val="uk-UA"/>
              </w:rPr>
              <w:t>бодянюком</w:t>
            </w:r>
          </w:p>
        </w:tc>
        <w:tc>
          <w:tcPr>
            <w:tcW w:w="884" w:type="dxa"/>
            <w:vAlign w:val="center"/>
          </w:tcPr>
          <w:p w:rsidR="00B80BAD" w:rsidRPr="00287036" w:rsidRDefault="00B80BAD"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2</w:t>
            </w:r>
          </w:p>
        </w:tc>
        <w:tc>
          <w:tcPr>
            <w:tcW w:w="3651" w:type="dxa"/>
            <w:vAlign w:val="center"/>
          </w:tcPr>
          <w:p w:rsidR="00B80BAD" w:rsidRPr="0081139B" w:rsidRDefault="00B80BAD" w:rsidP="00287036">
            <w:pPr>
              <w:pStyle w:val="rvps2"/>
              <w:spacing w:after="0"/>
              <w:jc w:val="center"/>
              <w:textAlignment w:val="baseline"/>
              <w:rPr>
                <w:b/>
                <w:color w:val="000000"/>
                <w:sz w:val="26"/>
                <w:szCs w:val="26"/>
                <w:lang w:val="uk-UA"/>
              </w:rPr>
            </w:pPr>
            <w:r w:rsidRPr="00287036">
              <w:rPr>
                <w:color w:val="000000"/>
                <w:sz w:val="26"/>
                <w:szCs w:val="26"/>
                <w:lang w:val="uk-UA"/>
              </w:rPr>
              <w:t>Запропоноване регулювання сприймається.</w:t>
            </w:r>
            <w:r w:rsidR="00CE436E">
              <w:rPr>
                <w:color w:val="000000"/>
                <w:sz w:val="26"/>
                <w:szCs w:val="26"/>
                <w:lang w:val="uk-UA"/>
              </w:rPr>
              <w:t xml:space="preserve"> </w:t>
            </w:r>
            <w:r w:rsidRPr="00287036">
              <w:rPr>
                <w:color w:val="000000"/>
                <w:sz w:val="26"/>
                <w:szCs w:val="26"/>
                <w:lang w:val="uk-UA"/>
              </w:rPr>
              <w:t>Отримано інформацію щодо орієнтовної кількості суб’єктів малого та мікропідприємництва</w:t>
            </w:r>
            <w:r w:rsidR="00832752">
              <w:rPr>
                <w:color w:val="000000"/>
                <w:sz w:val="26"/>
                <w:szCs w:val="26"/>
                <w:lang w:val="uk-UA"/>
              </w:rPr>
              <w:t>,</w:t>
            </w:r>
            <w:r w:rsidRPr="00287036">
              <w:rPr>
                <w:color w:val="000000"/>
                <w:sz w:val="26"/>
                <w:szCs w:val="26"/>
                <w:lang w:val="uk-UA"/>
              </w:rPr>
              <w:t xml:space="preserve"> на яких поширюватимуться вимоги запропонованого регулювання</w:t>
            </w: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2</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Асоціацією міжнародних автомобільних перевізників України – </w:t>
            </w:r>
            <w:r w:rsidR="00CE436E">
              <w:rPr>
                <w:rFonts w:ascii="Times New Roman" w:hAnsi="Times New Roman"/>
                <w:sz w:val="28"/>
                <w:szCs w:val="28"/>
                <w:lang w:val="uk-UA" w:eastAsia="ru-RU"/>
              </w:rPr>
              <w:t xml:space="preserve">                   </w:t>
            </w:r>
            <w:proofErr w:type="spellStart"/>
            <w:r w:rsidRPr="00847405">
              <w:rPr>
                <w:rFonts w:ascii="Times New Roman" w:hAnsi="Times New Roman"/>
                <w:sz w:val="28"/>
                <w:szCs w:val="28"/>
                <w:lang w:val="uk-UA" w:eastAsia="ru-RU"/>
              </w:rPr>
              <w:t>Главацьким</w:t>
            </w:r>
            <w:proofErr w:type="spellEnd"/>
            <w:r w:rsidRPr="00847405">
              <w:rPr>
                <w:rFonts w:ascii="Times New Roman" w:hAnsi="Times New Roman"/>
                <w:sz w:val="28"/>
                <w:szCs w:val="28"/>
                <w:lang w:val="uk-UA" w:eastAsia="ru-RU"/>
              </w:rPr>
              <w:t xml:space="preserve"> П.</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В.</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3</w:t>
            </w:r>
          </w:p>
        </w:tc>
        <w:tc>
          <w:tcPr>
            <w:tcW w:w="3651" w:type="dxa"/>
            <w:vMerge w:val="restart"/>
            <w:vAlign w:val="center"/>
          </w:tcPr>
          <w:p w:rsidR="00791D98" w:rsidRPr="00791D98" w:rsidRDefault="00791D98" w:rsidP="00791D98">
            <w:pPr>
              <w:pStyle w:val="rvps2"/>
              <w:spacing w:after="0"/>
              <w:jc w:val="center"/>
              <w:textAlignment w:val="baseline"/>
              <w:rPr>
                <w:color w:val="000000"/>
                <w:sz w:val="26"/>
                <w:szCs w:val="26"/>
                <w:lang w:val="uk-UA"/>
              </w:rPr>
            </w:pPr>
            <w:r w:rsidRPr="00791D98">
              <w:rPr>
                <w:color w:val="000000"/>
                <w:sz w:val="26"/>
                <w:szCs w:val="26"/>
                <w:lang w:val="uk-UA"/>
              </w:rPr>
              <w:t>Запропоноване регулювання  сприймається.</w:t>
            </w:r>
          </w:p>
          <w:p w:rsidR="00791D98" w:rsidRPr="00791D98" w:rsidRDefault="00791D98" w:rsidP="00791D98">
            <w:pPr>
              <w:pStyle w:val="rvps2"/>
              <w:spacing w:after="0"/>
              <w:jc w:val="center"/>
              <w:textAlignment w:val="baseline"/>
              <w:rPr>
                <w:color w:val="000000"/>
                <w:sz w:val="26"/>
                <w:szCs w:val="26"/>
                <w:lang w:val="uk-UA"/>
              </w:rPr>
            </w:pPr>
            <w:r w:rsidRPr="00791D98">
              <w:rPr>
                <w:color w:val="000000"/>
                <w:sz w:val="26"/>
                <w:szCs w:val="26"/>
                <w:lang w:val="uk-UA"/>
              </w:rPr>
              <w:t>Отримано інформацію про те, що для виконання вимог регулювання необхідно:</w:t>
            </w:r>
          </w:p>
          <w:p w:rsidR="00791D98" w:rsidRPr="00791D98" w:rsidRDefault="00791D98" w:rsidP="00791D98">
            <w:pPr>
              <w:pStyle w:val="rvps2"/>
              <w:spacing w:after="0"/>
              <w:jc w:val="center"/>
              <w:textAlignment w:val="baseline"/>
              <w:rPr>
                <w:color w:val="000000"/>
                <w:sz w:val="26"/>
                <w:szCs w:val="26"/>
                <w:lang w:val="uk-UA"/>
              </w:rPr>
            </w:pPr>
            <w:r w:rsidRPr="00791D98">
              <w:rPr>
                <w:color w:val="000000"/>
                <w:sz w:val="26"/>
                <w:szCs w:val="26"/>
                <w:lang w:val="uk-UA"/>
              </w:rPr>
              <w:t xml:space="preserve">1. Здійснити витрати на процедури отримання первинної інформації про вимоги регулювання. </w:t>
            </w:r>
            <w:r w:rsidR="00832752">
              <w:rPr>
                <w:color w:val="000000"/>
                <w:sz w:val="26"/>
                <w:szCs w:val="26"/>
                <w:lang w:val="uk-UA"/>
              </w:rPr>
              <w:t>У</w:t>
            </w:r>
            <w:r w:rsidRPr="00791D98">
              <w:rPr>
                <w:color w:val="000000"/>
                <w:sz w:val="26"/>
                <w:szCs w:val="26"/>
                <w:lang w:val="uk-UA"/>
              </w:rPr>
              <w:t xml:space="preserve"> середньому витрачається </w:t>
            </w:r>
            <w:r w:rsidR="00832752">
              <w:rPr>
                <w:color w:val="000000"/>
                <w:sz w:val="26"/>
                <w:szCs w:val="26"/>
                <w:lang w:val="uk-UA"/>
              </w:rPr>
              <w:t xml:space="preserve">              </w:t>
            </w:r>
            <w:r w:rsidRPr="00791D98">
              <w:rPr>
                <w:color w:val="000000"/>
                <w:sz w:val="26"/>
                <w:szCs w:val="26"/>
                <w:lang w:val="uk-UA"/>
              </w:rPr>
              <w:t>3 години.</w:t>
            </w:r>
          </w:p>
          <w:p w:rsidR="00791D98" w:rsidRPr="00B80BAD" w:rsidRDefault="00791D98" w:rsidP="00791D98">
            <w:pPr>
              <w:pStyle w:val="rvps2"/>
              <w:spacing w:after="0"/>
              <w:jc w:val="center"/>
              <w:textAlignment w:val="baseline"/>
              <w:rPr>
                <w:color w:val="000000"/>
                <w:sz w:val="26"/>
                <w:szCs w:val="26"/>
                <w:lang w:val="uk-UA"/>
              </w:rPr>
            </w:pPr>
            <w:r w:rsidRPr="00791D98">
              <w:rPr>
                <w:color w:val="000000"/>
                <w:sz w:val="26"/>
                <w:szCs w:val="26"/>
                <w:lang w:val="uk-UA"/>
              </w:rPr>
              <w:t xml:space="preserve">2. Здійснити витрати на процедури організації виконання вимог регулювання. </w:t>
            </w:r>
            <w:r w:rsidR="00832752">
              <w:rPr>
                <w:color w:val="000000"/>
                <w:sz w:val="26"/>
                <w:szCs w:val="26"/>
                <w:lang w:val="uk-UA"/>
              </w:rPr>
              <w:t>У</w:t>
            </w:r>
            <w:r w:rsidRPr="00791D98">
              <w:rPr>
                <w:color w:val="000000"/>
                <w:sz w:val="26"/>
                <w:szCs w:val="26"/>
                <w:lang w:val="uk-UA"/>
              </w:rPr>
              <w:t xml:space="preserve"> середньому </w:t>
            </w:r>
            <w:r w:rsidR="00832752">
              <w:rPr>
                <w:color w:val="000000"/>
                <w:sz w:val="26"/>
                <w:szCs w:val="26"/>
                <w:lang w:val="uk-UA"/>
              </w:rPr>
              <w:t xml:space="preserve">          </w:t>
            </w:r>
            <w:r w:rsidRPr="00791D98">
              <w:rPr>
                <w:color w:val="000000"/>
                <w:sz w:val="26"/>
                <w:szCs w:val="26"/>
                <w:lang w:val="uk-UA"/>
              </w:rPr>
              <w:t>8 годин.</w:t>
            </w: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3</w:t>
            </w:r>
          </w:p>
        </w:tc>
        <w:tc>
          <w:tcPr>
            <w:tcW w:w="4503" w:type="dxa"/>
            <w:vAlign w:val="center"/>
          </w:tcPr>
          <w:p w:rsidR="00791D98" w:rsidRPr="00847405" w:rsidRDefault="00791D98" w:rsidP="00A47B94">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Українським транспортним союзом – </w:t>
            </w:r>
            <w:r w:rsidR="00CE436E">
              <w:rPr>
                <w:rFonts w:ascii="Times New Roman" w:hAnsi="Times New Roman"/>
                <w:sz w:val="28"/>
                <w:szCs w:val="28"/>
                <w:lang w:val="uk-UA" w:eastAsia="ru-RU"/>
              </w:rPr>
              <w:t xml:space="preserve">             </w:t>
            </w:r>
            <w:proofErr w:type="spellStart"/>
            <w:r w:rsidRPr="00847405">
              <w:rPr>
                <w:rFonts w:ascii="Times New Roman" w:hAnsi="Times New Roman"/>
                <w:sz w:val="28"/>
                <w:szCs w:val="28"/>
                <w:lang w:val="uk-UA" w:eastAsia="ru-RU"/>
              </w:rPr>
              <w:t>Баліним</w:t>
            </w:r>
            <w:proofErr w:type="spellEnd"/>
            <w:r w:rsidRPr="00847405">
              <w:rPr>
                <w:rFonts w:ascii="Times New Roman" w:hAnsi="Times New Roman"/>
                <w:sz w:val="28"/>
                <w:szCs w:val="28"/>
                <w:lang w:val="uk-UA" w:eastAsia="ru-RU"/>
              </w:rPr>
              <w:t xml:space="preserve"> В.</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А.</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5</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4</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Всеукраїнською асоціацією автомобільних перевізників – </w:t>
            </w:r>
            <w:proofErr w:type="spellStart"/>
            <w:r w:rsidRPr="00847405">
              <w:rPr>
                <w:rFonts w:ascii="Times New Roman" w:hAnsi="Times New Roman"/>
                <w:sz w:val="28"/>
                <w:szCs w:val="28"/>
                <w:lang w:val="uk-UA" w:eastAsia="ru-RU"/>
              </w:rPr>
              <w:t>Логутовим</w:t>
            </w:r>
            <w:proofErr w:type="spellEnd"/>
            <w:r w:rsidRPr="00847405">
              <w:rPr>
                <w:rFonts w:ascii="Times New Roman" w:hAnsi="Times New Roman"/>
                <w:sz w:val="28"/>
                <w:szCs w:val="28"/>
                <w:lang w:val="uk-UA" w:eastAsia="ru-RU"/>
              </w:rPr>
              <w:t xml:space="preserve"> К.</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В.</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4</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5</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Профспілкою працівників автомобільного транспорту та шляхового господарства – </w:t>
            </w:r>
            <w:proofErr w:type="spellStart"/>
            <w:r w:rsidRPr="00847405">
              <w:rPr>
                <w:rFonts w:ascii="Times New Roman" w:hAnsi="Times New Roman"/>
                <w:sz w:val="28"/>
                <w:szCs w:val="28"/>
                <w:lang w:val="uk-UA" w:eastAsia="ru-RU"/>
              </w:rPr>
              <w:t>Хмарським</w:t>
            </w:r>
            <w:proofErr w:type="spellEnd"/>
            <w:r w:rsidRPr="00847405">
              <w:rPr>
                <w:rFonts w:ascii="Times New Roman" w:hAnsi="Times New Roman"/>
                <w:sz w:val="28"/>
                <w:szCs w:val="28"/>
                <w:lang w:val="uk-UA" w:eastAsia="ru-RU"/>
              </w:rPr>
              <w:t xml:space="preserve"> С.</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Г.</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3</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6</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Федерацією роботодавців транспорту України – </w:t>
            </w:r>
            <w:proofErr w:type="spellStart"/>
            <w:r w:rsidRPr="00847405">
              <w:rPr>
                <w:rFonts w:ascii="Times New Roman" w:hAnsi="Times New Roman"/>
                <w:sz w:val="28"/>
                <w:szCs w:val="28"/>
                <w:lang w:val="uk-UA" w:eastAsia="ru-RU"/>
              </w:rPr>
              <w:t>Климпушем</w:t>
            </w:r>
            <w:proofErr w:type="spellEnd"/>
            <w:r w:rsidRPr="00847405">
              <w:rPr>
                <w:rFonts w:ascii="Times New Roman" w:hAnsi="Times New Roman"/>
                <w:sz w:val="28"/>
                <w:szCs w:val="28"/>
                <w:lang w:val="uk-UA" w:eastAsia="ru-RU"/>
              </w:rPr>
              <w:t xml:space="preserve"> О.</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Д.</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2</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7</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Всеукраїнським </w:t>
            </w:r>
            <w:r w:rsidR="00A47B94" w:rsidRPr="00847405">
              <w:rPr>
                <w:rFonts w:ascii="Times New Roman" w:hAnsi="Times New Roman"/>
                <w:sz w:val="28"/>
                <w:szCs w:val="28"/>
                <w:lang w:val="uk-UA" w:eastAsia="ru-RU"/>
              </w:rPr>
              <w:t>об’єднання</w:t>
            </w:r>
            <w:r w:rsidR="00A47B94">
              <w:rPr>
                <w:rFonts w:ascii="Times New Roman" w:hAnsi="Times New Roman"/>
                <w:sz w:val="28"/>
                <w:szCs w:val="28"/>
                <w:lang w:val="uk-UA" w:eastAsia="ru-RU"/>
              </w:rPr>
              <w:t>м</w:t>
            </w:r>
            <w:r w:rsidRPr="00847405">
              <w:rPr>
                <w:rFonts w:ascii="Times New Roman" w:hAnsi="Times New Roman"/>
                <w:sz w:val="28"/>
                <w:szCs w:val="28"/>
                <w:lang w:val="uk-UA" w:eastAsia="ru-RU"/>
              </w:rPr>
              <w:t xml:space="preserve"> організацій роботодавців «</w:t>
            </w:r>
            <w:proofErr w:type="spellStart"/>
            <w:r w:rsidRPr="00847405">
              <w:rPr>
                <w:rFonts w:ascii="Times New Roman" w:hAnsi="Times New Roman"/>
                <w:sz w:val="28"/>
                <w:szCs w:val="28"/>
                <w:lang w:val="uk-UA" w:eastAsia="ru-RU"/>
              </w:rPr>
              <w:t>Укравтотранс</w:t>
            </w:r>
            <w:proofErr w:type="spellEnd"/>
            <w:r w:rsidRPr="00847405">
              <w:rPr>
                <w:rFonts w:ascii="Times New Roman" w:hAnsi="Times New Roman"/>
                <w:sz w:val="28"/>
                <w:szCs w:val="28"/>
                <w:lang w:val="uk-UA" w:eastAsia="ru-RU"/>
              </w:rPr>
              <w:t xml:space="preserve">» - </w:t>
            </w:r>
            <w:proofErr w:type="spellStart"/>
            <w:r w:rsidRPr="00847405">
              <w:rPr>
                <w:rFonts w:ascii="Times New Roman" w:hAnsi="Times New Roman"/>
                <w:sz w:val="28"/>
                <w:szCs w:val="28"/>
                <w:lang w:val="uk-UA" w:eastAsia="ru-RU"/>
              </w:rPr>
              <w:t>Роговським</w:t>
            </w:r>
            <w:proofErr w:type="spellEnd"/>
            <w:r w:rsidRPr="00847405">
              <w:rPr>
                <w:rFonts w:ascii="Times New Roman" w:hAnsi="Times New Roman"/>
                <w:sz w:val="28"/>
                <w:szCs w:val="28"/>
                <w:lang w:val="uk-UA" w:eastAsia="ru-RU"/>
              </w:rPr>
              <w:t xml:space="preserve"> І.</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В.</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4</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lastRenderedPageBreak/>
              <w:t>8</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Громадським комітетом транспортної безпеки – </w:t>
            </w:r>
            <w:proofErr w:type="spellStart"/>
            <w:r w:rsidRPr="00847405">
              <w:rPr>
                <w:rFonts w:ascii="Times New Roman" w:hAnsi="Times New Roman"/>
                <w:sz w:val="28"/>
                <w:szCs w:val="28"/>
                <w:lang w:val="uk-UA" w:eastAsia="ru-RU"/>
              </w:rPr>
              <w:t>Папіровим</w:t>
            </w:r>
            <w:proofErr w:type="spellEnd"/>
            <w:r w:rsidRPr="00847405">
              <w:rPr>
                <w:rFonts w:ascii="Times New Roman" w:hAnsi="Times New Roman"/>
                <w:sz w:val="28"/>
                <w:szCs w:val="28"/>
                <w:lang w:val="uk-UA" w:eastAsia="ru-RU"/>
              </w:rPr>
              <w:t xml:space="preserve"> Ю.</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М.</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3</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r w:rsidR="00791D98" w:rsidRPr="00847405" w:rsidTr="00847405">
        <w:tc>
          <w:tcPr>
            <w:tcW w:w="817" w:type="dxa"/>
            <w:vAlign w:val="center"/>
          </w:tcPr>
          <w:p w:rsidR="00791D98" w:rsidRDefault="00791D98" w:rsidP="0081139B">
            <w:pPr>
              <w:pStyle w:val="rvps2"/>
              <w:spacing w:before="0" w:beforeAutospacing="0" w:after="0" w:afterAutospacing="0"/>
              <w:jc w:val="center"/>
              <w:textAlignment w:val="baseline"/>
              <w:rPr>
                <w:b/>
                <w:color w:val="000000"/>
                <w:sz w:val="26"/>
                <w:szCs w:val="26"/>
                <w:lang w:val="uk-UA"/>
              </w:rPr>
            </w:pPr>
            <w:r>
              <w:rPr>
                <w:b/>
                <w:color w:val="000000"/>
                <w:sz w:val="26"/>
                <w:szCs w:val="26"/>
                <w:lang w:val="uk-UA"/>
              </w:rPr>
              <w:t>9</w:t>
            </w:r>
          </w:p>
        </w:tc>
        <w:tc>
          <w:tcPr>
            <w:tcW w:w="4503" w:type="dxa"/>
            <w:vAlign w:val="center"/>
          </w:tcPr>
          <w:p w:rsidR="00791D98" w:rsidRPr="00847405" w:rsidRDefault="00791D98" w:rsidP="00B80BAD">
            <w:pPr>
              <w:keepNext/>
              <w:widowControl w:val="0"/>
              <w:spacing w:after="0" w:line="240" w:lineRule="auto"/>
              <w:jc w:val="both"/>
              <w:textAlignment w:val="baseline"/>
              <w:rPr>
                <w:rFonts w:ascii="Times New Roman" w:hAnsi="Times New Roman"/>
                <w:sz w:val="28"/>
                <w:szCs w:val="28"/>
                <w:lang w:val="uk-UA" w:eastAsia="ru-RU"/>
              </w:rPr>
            </w:pPr>
            <w:r w:rsidRPr="00847405">
              <w:rPr>
                <w:rFonts w:ascii="Times New Roman" w:hAnsi="Times New Roman"/>
                <w:sz w:val="28"/>
                <w:szCs w:val="28"/>
                <w:lang w:val="uk-UA" w:eastAsia="ru-RU"/>
              </w:rPr>
              <w:t>Робочі зустрічі з</w:t>
            </w:r>
            <w:r w:rsidR="00CE436E">
              <w:rPr>
                <w:rFonts w:ascii="Times New Roman" w:hAnsi="Times New Roman"/>
                <w:sz w:val="28"/>
                <w:szCs w:val="28"/>
                <w:lang w:val="uk-UA" w:eastAsia="ru-RU"/>
              </w:rPr>
              <w:t xml:space="preserve"> </w:t>
            </w:r>
            <w:r w:rsidRPr="00847405">
              <w:rPr>
                <w:rFonts w:ascii="Times New Roman" w:hAnsi="Times New Roman"/>
                <w:sz w:val="28"/>
                <w:szCs w:val="28"/>
                <w:lang w:val="uk-UA" w:eastAsia="ru-RU"/>
              </w:rPr>
              <w:t xml:space="preserve">Всеукраїнською асоціацією автостанцій – </w:t>
            </w:r>
            <w:proofErr w:type="spellStart"/>
            <w:r w:rsidRPr="00847405">
              <w:rPr>
                <w:rFonts w:ascii="Times New Roman" w:hAnsi="Times New Roman"/>
                <w:sz w:val="28"/>
                <w:szCs w:val="28"/>
                <w:lang w:val="uk-UA" w:eastAsia="ru-RU"/>
              </w:rPr>
              <w:t>Житінським</w:t>
            </w:r>
            <w:proofErr w:type="spellEnd"/>
            <w:r w:rsidRPr="00847405">
              <w:rPr>
                <w:rFonts w:ascii="Times New Roman" w:hAnsi="Times New Roman"/>
                <w:sz w:val="28"/>
                <w:szCs w:val="28"/>
                <w:lang w:val="uk-UA" w:eastAsia="ru-RU"/>
              </w:rPr>
              <w:t xml:space="preserve"> І.</w:t>
            </w:r>
            <w:r w:rsidR="00832752">
              <w:rPr>
                <w:rFonts w:ascii="Times New Roman" w:hAnsi="Times New Roman"/>
                <w:sz w:val="28"/>
                <w:szCs w:val="28"/>
                <w:lang w:val="uk-UA" w:eastAsia="ru-RU"/>
              </w:rPr>
              <w:t xml:space="preserve"> </w:t>
            </w:r>
            <w:r w:rsidRPr="00847405">
              <w:rPr>
                <w:rFonts w:ascii="Times New Roman" w:hAnsi="Times New Roman"/>
                <w:sz w:val="28"/>
                <w:szCs w:val="28"/>
                <w:lang w:val="uk-UA" w:eastAsia="ru-RU"/>
              </w:rPr>
              <w:t>Ю.</w:t>
            </w:r>
          </w:p>
        </w:tc>
        <w:tc>
          <w:tcPr>
            <w:tcW w:w="884" w:type="dxa"/>
            <w:vAlign w:val="center"/>
          </w:tcPr>
          <w:p w:rsidR="00791D98" w:rsidRDefault="00791D98" w:rsidP="0081139B">
            <w:pPr>
              <w:pStyle w:val="rvps2"/>
              <w:spacing w:before="0" w:beforeAutospacing="0" w:after="0" w:afterAutospacing="0"/>
              <w:jc w:val="center"/>
              <w:textAlignment w:val="baseline"/>
              <w:rPr>
                <w:color w:val="000000"/>
                <w:sz w:val="26"/>
                <w:szCs w:val="26"/>
                <w:lang w:val="uk-UA"/>
              </w:rPr>
            </w:pPr>
            <w:r>
              <w:rPr>
                <w:color w:val="000000"/>
                <w:sz w:val="26"/>
                <w:szCs w:val="26"/>
                <w:lang w:val="uk-UA"/>
              </w:rPr>
              <w:t>6</w:t>
            </w:r>
          </w:p>
        </w:tc>
        <w:tc>
          <w:tcPr>
            <w:tcW w:w="3651" w:type="dxa"/>
            <w:vMerge/>
            <w:vAlign w:val="center"/>
          </w:tcPr>
          <w:p w:rsidR="00791D98" w:rsidRPr="00B80BAD" w:rsidRDefault="00791D98" w:rsidP="00847405">
            <w:pPr>
              <w:pStyle w:val="rvps2"/>
              <w:spacing w:after="0"/>
              <w:jc w:val="center"/>
              <w:textAlignment w:val="baseline"/>
              <w:rPr>
                <w:color w:val="000000"/>
                <w:sz w:val="26"/>
                <w:szCs w:val="26"/>
                <w:lang w:val="uk-UA"/>
              </w:rPr>
            </w:pPr>
          </w:p>
        </w:tc>
      </w:tr>
    </w:tbl>
    <w:p w:rsidR="00847405" w:rsidRPr="00B7285A" w:rsidRDefault="00847405" w:rsidP="00615510">
      <w:pPr>
        <w:pStyle w:val="rvps2"/>
        <w:shd w:val="clear" w:color="auto" w:fill="FFFFFF"/>
        <w:spacing w:before="0" w:beforeAutospacing="0" w:after="0" w:afterAutospacing="0"/>
        <w:ind w:firstLine="485"/>
        <w:jc w:val="both"/>
        <w:textAlignment w:val="baseline"/>
        <w:rPr>
          <w:color w:val="000000"/>
          <w:sz w:val="26"/>
          <w:szCs w:val="26"/>
          <w:lang w:val="uk-UA"/>
        </w:rPr>
      </w:pPr>
    </w:p>
    <w:p w:rsidR="00847405" w:rsidRPr="00A913E4" w:rsidRDefault="00847405" w:rsidP="00A62EB1">
      <w:pPr>
        <w:keepNext/>
        <w:widowControl w:val="0"/>
        <w:tabs>
          <w:tab w:val="left" w:pos="284"/>
          <w:tab w:val="left" w:pos="1134"/>
        </w:tabs>
        <w:spacing w:after="0" w:line="240" w:lineRule="auto"/>
        <w:ind w:firstLine="567"/>
        <w:jc w:val="both"/>
        <w:textAlignment w:val="baseline"/>
        <w:rPr>
          <w:rFonts w:ascii="Times New Roman" w:hAnsi="Times New Roman"/>
          <w:b/>
          <w:sz w:val="26"/>
          <w:szCs w:val="26"/>
          <w:lang w:val="uk-UA" w:eastAsia="ru-RU"/>
        </w:rPr>
      </w:pPr>
      <w:r>
        <w:rPr>
          <w:rFonts w:ascii="Times New Roman" w:hAnsi="Times New Roman"/>
          <w:b/>
          <w:sz w:val="26"/>
          <w:szCs w:val="26"/>
          <w:lang w:val="uk-UA" w:eastAsia="ru-RU"/>
        </w:rPr>
        <w:t xml:space="preserve">2. </w:t>
      </w:r>
      <w:r w:rsidRPr="00A913E4">
        <w:rPr>
          <w:rFonts w:ascii="Times New Roman" w:hAnsi="Times New Roman"/>
          <w:b/>
          <w:sz w:val="26"/>
          <w:szCs w:val="26"/>
          <w:lang w:val="uk-UA" w:eastAsia="ru-RU"/>
        </w:rPr>
        <w:t>Вимірювання впливу регулювання на суб'єктів малого підприємництва (мікро- та малі):</w:t>
      </w:r>
    </w:p>
    <w:p w:rsidR="00847405" w:rsidRPr="00A913E4" w:rsidRDefault="00847405" w:rsidP="00A62EB1">
      <w:pPr>
        <w:keepNext/>
        <w:widowControl w:val="0"/>
        <w:tabs>
          <w:tab w:val="left" w:pos="142"/>
        </w:tabs>
        <w:spacing w:after="0" w:line="240" w:lineRule="auto"/>
        <w:ind w:firstLine="567"/>
        <w:jc w:val="both"/>
        <w:textAlignment w:val="baseline"/>
        <w:rPr>
          <w:rFonts w:ascii="Times New Roman" w:hAnsi="Times New Roman"/>
          <w:color w:val="FF0000"/>
          <w:sz w:val="26"/>
          <w:szCs w:val="26"/>
          <w:lang w:val="uk-UA" w:eastAsia="ru-RU"/>
        </w:rPr>
      </w:pPr>
      <w:r w:rsidRPr="00A913E4">
        <w:rPr>
          <w:rFonts w:ascii="Times New Roman" w:hAnsi="Times New Roman"/>
          <w:sz w:val="26"/>
          <w:szCs w:val="26"/>
          <w:lang w:val="uk-UA" w:eastAsia="ru-RU"/>
        </w:rPr>
        <w:t xml:space="preserve">кількість </w:t>
      </w:r>
      <w:r w:rsidR="00832752" w:rsidRPr="00A913E4">
        <w:rPr>
          <w:rFonts w:ascii="Times New Roman" w:hAnsi="Times New Roman"/>
          <w:sz w:val="26"/>
          <w:szCs w:val="26"/>
          <w:lang w:val="uk-UA" w:eastAsia="ru-RU"/>
        </w:rPr>
        <w:t>суб’єктів</w:t>
      </w:r>
      <w:r w:rsidRPr="00A913E4">
        <w:rPr>
          <w:rFonts w:ascii="Times New Roman" w:hAnsi="Times New Roman"/>
          <w:sz w:val="26"/>
          <w:szCs w:val="26"/>
          <w:lang w:val="uk-UA" w:eastAsia="ru-RU"/>
        </w:rPr>
        <w:t xml:space="preserve"> малого</w:t>
      </w:r>
      <w:r w:rsidR="00832752">
        <w:rPr>
          <w:rFonts w:ascii="Times New Roman" w:hAnsi="Times New Roman"/>
          <w:sz w:val="26"/>
          <w:szCs w:val="26"/>
          <w:lang w:val="uk-UA" w:eastAsia="ru-RU"/>
        </w:rPr>
        <w:t xml:space="preserve"> </w:t>
      </w:r>
      <w:r w:rsidRPr="00A913E4">
        <w:rPr>
          <w:rFonts w:ascii="Times New Roman" w:hAnsi="Times New Roman"/>
          <w:sz w:val="26"/>
          <w:szCs w:val="26"/>
          <w:lang w:val="uk-UA" w:eastAsia="ru-RU"/>
        </w:rPr>
        <w:t xml:space="preserve">(мікро) підприємництва, на яких поширюється регулювання: </w:t>
      </w:r>
      <w:r w:rsidRPr="00847405">
        <w:rPr>
          <w:rFonts w:ascii="Times New Roman" w:hAnsi="Times New Roman"/>
          <w:sz w:val="26"/>
          <w:szCs w:val="26"/>
          <w:lang w:val="uk-UA" w:eastAsia="ru-RU"/>
        </w:rPr>
        <w:t>700 – атестовані автостанції</w:t>
      </w:r>
      <w:r w:rsidR="00832752">
        <w:rPr>
          <w:rFonts w:ascii="Times New Roman" w:hAnsi="Times New Roman"/>
          <w:sz w:val="26"/>
          <w:szCs w:val="26"/>
          <w:lang w:val="uk-UA" w:eastAsia="ru-RU"/>
        </w:rPr>
        <w:t>:</w:t>
      </w:r>
    </w:p>
    <w:p w:rsidR="00847405" w:rsidRDefault="00847405" w:rsidP="00A62EB1">
      <w:pPr>
        <w:keepNext/>
        <w:widowControl w:val="0"/>
        <w:tabs>
          <w:tab w:val="left" w:pos="142"/>
        </w:tabs>
        <w:spacing w:after="0" w:line="240" w:lineRule="auto"/>
        <w:ind w:firstLine="567"/>
        <w:jc w:val="both"/>
        <w:textAlignment w:val="baseline"/>
        <w:rPr>
          <w:rFonts w:ascii="Times New Roman" w:hAnsi="Times New Roman"/>
          <w:sz w:val="26"/>
          <w:szCs w:val="26"/>
          <w:lang w:val="uk-UA" w:eastAsia="ru-RU"/>
        </w:rPr>
      </w:pPr>
      <w:r w:rsidRPr="00A913E4">
        <w:rPr>
          <w:rFonts w:ascii="Times New Roman" w:hAnsi="Times New Roman"/>
          <w:sz w:val="26"/>
          <w:szCs w:val="26"/>
          <w:lang w:val="uk-UA" w:eastAsia="ru-RU"/>
        </w:rPr>
        <w:t xml:space="preserve">питома вага </w:t>
      </w:r>
      <w:r w:rsidR="00832752" w:rsidRPr="00A913E4">
        <w:rPr>
          <w:rFonts w:ascii="Times New Roman" w:hAnsi="Times New Roman"/>
          <w:sz w:val="26"/>
          <w:szCs w:val="26"/>
          <w:lang w:val="uk-UA" w:eastAsia="ru-RU"/>
        </w:rPr>
        <w:t>суб’єктів</w:t>
      </w:r>
      <w:r w:rsidRPr="00A913E4">
        <w:rPr>
          <w:rFonts w:ascii="Times New Roman" w:hAnsi="Times New Roman"/>
          <w:sz w:val="26"/>
          <w:szCs w:val="26"/>
          <w:lang w:val="uk-UA" w:eastAsia="ru-RU"/>
        </w:rPr>
        <w:t xml:space="preserve"> малого підприємництва у загальній кількості </w:t>
      </w:r>
      <w:r w:rsidR="00832752" w:rsidRPr="00A913E4">
        <w:rPr>
          <w:rFonts w:ascii="Times New Roman" w:hAnsi="Times New Roman"/>
          <w:sz w:val="26"/>
          <w:szCs w:val="26"/>
          <w:lang w:val="uk-UA" w:eastAsia="ru-RU"/>
        </w:rPr>
        <w:t>суб’єктів</w:t>
      </w:r>
      <w:r w:rsidRPr="00A913E4">
        <w:rPr>
          <w:rFonts w:ascii="Times New Roman" w:hAnsi="Times New Roman"/>
          <w:sz w:val="26"/>
          <w:szCs w:val="26"/>
          <w:lang w:val="uk-UA" w:eastAsia="ru-RU"/>
        </w:rPr>
        <w:t xml:space="preserve"> господарювання, на яких проблема справляє вплив</w:t>
      </w:r>
      <w:r w:rsidR="00832752">
        <w:rPr>
          <w:rFonts w:ascii="Times New Roman" w:hAnsi="Times New Roman"/>
          <w:sz w:val="26"/>
          <w:szCs w:val="26"/>
          <w:lang w:val="uk-UA" w:eastAsia="ru-RU"/>
        </w:rPr>
        <w:t>, -</w:t>
      </w:r>
      <w:r w:rsidRPr="00A913E4">
        <w:rPr>
          <w:rFonts w:ascii="Times New Roman" w:hAnsi="Times New Roman"/>
          <w:sz w:val="26"/>
          <w:szCs w:val="26"/>
          <w:lang w:val="uk-UA" w:eastAsia="ru-RU"/>
        </w:rPr>
        <w:t xml:space="preserve"> 100%.</w:t>
      </w:r>
    </w:p>
    <w:p w:rsidR="004409B0" w:rsidRDefault="004409B0" w:rsidP="00287036">
      <w:pPr>
        <w:jc w:val="both"/>
        <w:rPr>
          <w:rFonts w:ascii="Times New Roman" w:hAnsi="Times New Roman"/>
          <w:color w:val="000000"/>
          <w:sz w:val="26"/>
          <w:szCs w:val="26"/>
          <w:lang w:val="uk-UA" w:eastAsia="ru-RU"/>
        </w:rPr>
      </w:pPr>
    </w:p>
    <w:p w:rsidR="00847405" w:rsidRPr="00847405" w:rsidRDefault="004409B0" w:rsidP="00A62EB1">
      <w:pPr>
        <w:ind w:left="-142" w:firstLine="709"/>
        <w:jc w:val="center"/>
        <w:rPr>
          <w:rFonts w:ascii="Times New Roman" w:hAnsi="Times New Roman"/>
          <w:b/>
          <w:color w:val="000000"/>
          <w:sz w:val="26"/>
          <w:szCs w:val="26"/>
          <w:lang w:val="uk-UA" w:eastAsia="ru-RU"/>
        </w:rPr>
      </w:pPr>
      <w:r w:rsidRPr="00287036">
        <w:rPr>
          <w:rFonts w:ascii="Times New Roman" w:hAnsi="Times New Roman"/>
          <w:b/>
          <w:color w:val="000000"/>
          <w:sz w:val="26"/>
          <w:szCs w:val="26"/>
          <w:lang w:val="uk-UA" w:eastAsia="ru-RU"/>
        </w:rPr>
        <w:t xml:space="preserve">3. Розрахунок витрат суб’єктів малого підприємництва на виконання вимог </w:t>
      </w:r>
      <w:r w:rsidR="007A4082" w:rsidRPr="007A4082">
        <w:rPr>
          <w:rFonts w:ascii="Times New Roman" w:hAnsi="Times New Roman"/>
          <w:b/>
          <w:color w:val="000000"/>
          <w:sz w:val="26"/>
          <w:szCs w:val="26"/>
          <w:lang w:val="uk-UA" w:eastAsia="ru-RU"/>
        </w:rPr>
        <w:t>регулювання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4"/>
        <w:gridCol w:w="3260"/>
        <w:gridCol w:w="1842"/>
        <w:gridCol w:w="1843"/>
        <w:gridCol w:w="1843"/>
      </w:tblGrid>
      <w:tr w:rsidR="00847405" w:rsidRPr="00847405" w:rsidTr="007F469A">
        <w:tc>
          <w:tcPr>
            <w:tcW w:w="567" w:type="dxa"/>
            <w:tcBorders>
              <w:bottom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з/п</w:t>
            </w:r>
          </w:p>
        </w:tc>
        <w:tc>
          <w:tcPr>
            <w:tcW w:w="3544" w:type="dxa"/>
            <w:gridSpan w:val="2"/>
            <w:tcBorders>
              <w:bottom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Найменування оцінки</w:t>
            </w:r>
          </w:p>
        </w:tc>
        <w:tc>
          <w:tcPr>
            <w:tcW w:w="1842" w:type="dxa"/>
            <w:tcBorders>
              <w:bottom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У перший рік (стартовий рік впровадження регулювання)</w:t>
            </w:r>
          </w:p>
        </w:tc>
        <w:tc>
          <w:tcPr>
            <w:tcW w:w="1843" w:type="dxa"/>
            <w:tcBorders>
              <w:bottom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Періодичні (за наступний рік)</w:t>
            </w:r>
          </w:p>
        </w:tc>
        <w:tc>
          <w:tcPr>
            <w:tcW w:w="1843" w:type="dxa"/>
            <w:tcBorders>
              <w:bottom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за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п’ять років</w:t>
            </w:r>
          </w:p>
        </w:tc>
      </w:tr>
      <w:tr w:rsidR="00847405" w:rsidRPr="00847405" w:rsidTr="007F469A">
        <w:tc>
          <w:tcPr>
            <w:tcW w:w="9639" w:type="dxa"/>
            <w:gridSpan w:val="6"/>
            <w:tcBorders>
              <w:top w:val="single" w:sz="4" w:space="0" w:color="auto"/>
            </w:tcBorders>
            <w:shd w:val="clear" w:color="auto" w:fill="auto"/>
          </w:tcPr>
          <w:p w:rsidR="00847405" w:rsidRPr="00287036" w:rsidRDefault="00847405" w:rsidP="00287036">
            <w:pPr>
              <w:spacing w:after="0" w:line="240" w:lineRule="auto"/>
              <w:ind w:left="-142"/>
              <w:jc w:val="center"/>
              <w:rPr>
                <w:rFonts w:ascii="Times New Roman" w:hAnsi="Times New Roman"/>
                <w:b/>
                <w:color w:val="000000"/>
                <w:sz w:val="24"/>
                <w:szCs w:val="24"/>
                <w:lang w:val="uk-UA" w:eastAsia="ru-RU"/>
              </w:rPr>
            </w:pPr>
            <w:r w:rsidRPr="00287036">
              <w:rPr>
                <w:rFonts w:ascii="Times New Roman" w:hAnsi="Times New Roman"/>
                <w:b/>
                <w:color w:val="000000"/>
                <w:sz w:val="24"/>
                <w:szCs w:val="24"/>
                <w:lang w:val="uk-UA" w:eastAsia="ru-RU"/>
              </w:rPr>
              <w:t>Оцінка «прямих» витрат суб’єктів малого підприємництва на виконання регулювання</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Придбання необхідного обладнання (пристроїв, машин, механізмів)</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кількість необхідних одиниць обладнання Х вартість одиниці</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2.</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повірки та/або постановки на відповідний облік у визначеному органі державної влади чи місцевого самоврядування</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Формула:</w:t>
            </w:r>
            <w:r w:rsidRPr="00287036">
              <w:rPr>
                <w:rFonts w:ascii="Times New Roman" w:hAnsi="Times New Roman"/>
                <w:i/>
                <w:color w:val="000000"/>
                <w:sz w:val="24"/>
                <w:szCs w:val="24"/>
                <w:lang w:val="uk-UA" w:eastAsia="ru-RU"/>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3.</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експлуатації обладнання (експлуатаційні витрати - витратні матеріали)</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lastRenderedPageBreak/>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4.</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обслуговування обладнання (технічне обслуговування)</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Формула:</w:t>
            </w:r>
            <w:r w:rsidRPr="00287036">
              <w:rPr>
                <w:rFonts w:ascii="Times New Roman" w:hAnsi="Times New Roman"/>
                <w:i/>
                <w:color w:val="000000"/>
                <w:sz w:val="24"/>
                <w:szCs w:val="24"/>
                <w:lang w:val="uk-UA" w:eastAsia="ru-RU"/>
              </w:rPr>
              <w:b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відсутні)</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5.</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vertAlign w:val="superscript"/>
                <w:lang w:val="uk-UA" w:eastAsia="ru-RU"/>
              </w:rPr>
            </w:pPr>
            <w:r w:rsidRPr="00287036">
              <w:rPr>
                <w:rFonts w:ascii="Times New Roman" w:hAnsi="Times New Roman"/>
                <w:color w:val="000000"/>
                <w:sz w:val="24"/>
                <w:szCs w:val="24"/>
                <w:lang w:val="uk-UA" w:eastAsia="ru-RU"/>
              </w:rPr>
              <w:t>Інші процедури</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х</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х</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r>
      <w:tr w:rsidR="00847405" w:rsidRPr="00847405" w:rsidTr="007F469A">
        <w:trPr>
          <w:trHeight w:val="1011"/>
        </w:trPr>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6.</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Разом, гривень</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(сума рядків 1 + 2 + 3 + 4 + 5)</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 грн.</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Х</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 грн.</w:t>
            </w: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7.</w:t>
            </w:r>
          </w:p>
        </w:tc>
        <w:tc>
          <w:tcPr>
            <w:tcW w:w="3544" w:type="dxa"/>
            <w:gridSpan w:val="2"/>
            <w:shd w:val="clear" w:color="auto" w:fill="auto"/>
          </w:tcPr>
          <w:p w:rsidR="00847405" w:rsidRPr="00287036" w:rsidRDefault="00847405" w:rsidP="000D2511">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Кількість суб’єктів господарювання, що повинні виконати вимоги </w:t>
            </w:r>
            <w:r w:rsidR="00FF517B">
              <w:rPr>
                <w:rFonts w:ascii="Times New Roman" w:hAnsi="Times New Roman"/>
                <w:color w:val="000000"/>
                <w:sz w:val="24"/>
                <w:szCs w:val="24"/>
                <w:lang w:val="uk-UA" w:eastAsia="ru-RU"/>
              </w:rPr>
              <w:t>регулювання, одиниць</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r>
      <w:tr w:rsidR="00847405" w:rsidRPr="00847405" w:rsidTr="007F469A">
        <w:tc>
          <w:tcPr>
            <w:tcW w:w="567"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8.</w:t>
            </w:r>
          </w:p>
        </w:tc>
        <w:tc>
          <w:tcPr>
            <w:tcW w:w="3544"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Сумарно, гривень</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відповідний стовпчик “разом” Х  кількість суб’єктів малого підприємництва, що повинні виконати вимоги регулювання(рядок 6 Х рядок 7)</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 грн.</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Х</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 грн.</w:t>
            </w:r>
          </w:p>
        </w:tc>
      </w:tr>
      <w:tr w:rsidR="00847405" w:rsidRPr="00847405" w:rsidTr="007F469A">
        <w:tc>
          <w:tcPr>
            <w:tcW w:w="9639" w:type="dxa"/>
            <w:gridSpan w:val="6"/>
            <w:shd w:val="clear" w:color="auto" w:fill="auto"/>
          </w:tcPr>
          <w:p w:rsidR="00847405" w:rsidRPr="00287036" w:rsidRDefault="00847405" w:rsidP="00287036">
            <w:pPr>
              <w:spacing w:after="0" w:line="240" w:lineRule="auto"/>
              <w:ind w:left="-142"/>
              <w:jc w:val="center"/>
              <w:rPr>
                <w:rFonts w:ascii="Times New Roman" w:hAnsi="Times New Roman"/>
                <w:b/>
                <w:color w:val="000000"/>
                <w:sz w:val="24"/>
                <w:szCs w:val="24"/>
                <w:lang w:val="uk-UA" w:eastAsia="ru-RU"/>
              </w:rPr>
            </w:pPr>
            <w:r w:rsidRPr="00287036">
              <w:rPr>
                <w:rFonts w:ascii="Times New Roman" w:hAnsi="Times New Roman"/>
                <w:b/>
                <w:color w:val="000000"/>
                <w:sz w:val="24"/>
                <w:szCs w:val="24"/>
                <w:lang w:val="uk-UA" w:eastAsia="ru-RU"/>
              </w:rPr>
              <w:t xml:space="preserve">Оцінка вартості адміністративних процедур суб’єктів малого підприємництва </w:t>
            </w:r>
          </w:p>
          <w:p w:rsidR="00847405" w:rsidRPr="00287036" w:rsidRDefault="00847405" w:rsidP="00287036">
            <w:pPr>
              <w:spacing w:after="0" w:line="240" w:lineRule="auto"/>
              <w:ind w:left="-142"/>
              <w:jc w:val="center"/>
              <w:rPr>
                <w:rFonts w:ascii="Times New Roman" w:hAnsi="Times New Roman"/>
                <w:b/>
                <w:color w:val="000000"/>
                <w:sz w:val="24"/>
                <w:szCs w:val="24"/>
                <w:lang w:val="uk-UA" w:eastAsia="ru-RU"/>
              </w:rPr>
            </w:pPr>
            <w:r w:rsidRPr="00287036">
              <w:rPr>
                <w:rFonts w:ascii="Times New Roman" w:hAnsi="Times New Roman"/>
                <w:b/>
                <w:color w:val="000000"/>
                <w:sz w:val="24"/>
                <w:szCs w:val="24"/>
                <w:lang w:val="uk-UA" w:eastAsia="ru-RU"/>
              </w:rPr>
              <w:t>щодо виконання регулювання та звітування</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9.</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отримання первинної інформації про вимоги регулювання</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3 год. (час, який витрачається с/г на пошук нормативно-правового акту в мережі  Інтернет та ознайомлення з ним; за результатами консультацій)</w:t>
            </w:r>
            <w:r w:rsidRPr="00287036">
              <w:rPr>
                <w:rFonts w:ascii="Times New Roman" w:hAnsi="Times New Roman"/>
                <w:color w:val="000000"/>
                <w:sz w:val="24"/>
                <w:szCs w:val="24"/>
                <w:vertAlign w:val="superscript"/>
                <w:lang w:val="uk-UA" w:eastAsia="ru-RU"/>
              </w:rPr>
              <w:t>4</w:t>
            </w:r>
            <w:r w:rsidRPr="00287036">
              <w:rPr>
                <w:rFonts w:ascii="Times New Roman" w:hAnsi="Times New Roman"/>
                <w:color w:val="000000"/>
                <w:sz w:val="24"/>
                <w:szCs w:val="24"/>
                <w:lang w:val="uk-UA" w:eastAsia="ru-RU"/>
              </w:rPr>
              <w:t xml:space="preserve">Х 19,34 грн. = </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58 грн.</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(припущено, що суб’єкт повинен виконувати вимоги регулювання лише в перший рік; за результатами консультацій)</w:t>
            </w:r>
          </w:p>
        </w:tc>
        <w:tc>
          <w:tcPr>
            <w:tcW w:w="1843" w:type="dxa"/>
            <w:shd w:val="clear" w:color="auto" w:fill="auto"/>
          </w:tcPr>
          <w:p w:rsidR="00847405" w:rsidRPr="00287036" w:rsidRDefault="00847405" w:rsidP="0005279E">
            <w:pPr>
              <w:spacing w:after="0" w:line="240" w:lineRule="auto"/>
              <w:ind w:left="-142" w:firstLine="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58 грн. (витрати на  пошук нормативно-правового акту в мережі  Інтернет у перший рік) + 0,00 грн. (витрати на  пошук нормативно-правового акту в мережі  Інтернет у наступний рік) Х 4 роки    </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10.</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організації виконання вимог регулювання</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 xml:space="preserve">витрати часу на розроблення та впровадження внутрішніх </w:t>
            </w:r>
            <w:r w:rsidRPr="00287036">
              <w:rPr>
                <w:rFonts w:ascii="Times New Roman" w:hAnsi="Times New Roman"/>
                <w:i/>
                <w:color w:val="000000"/>
                <w:sz w:val="24"/>
                <w:szCs w:val="24"/>
                <w:lang w:val="uk-UA" w:eastAsia="ru-RU"/>
              </w:rPr>
              <w:lastRenderedPageBreak/>
              <w:t>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lastRenderedPageBreak/>
              <w:t xml:space="preserve">8 год. (час, необхідний на розроблення та впровадження внутрішніх </w:t>
            </w:r>
            <w:r w:rsidRPr="00287036">
              <w:rPr>
                <w:rFonts w:ascii="Times New Roman" w:hAnsi="Times New Roman"/>
                <w:color w:val="000000"/>
                <w:sz w:val="24"/>
                <w:szCs w:val="24"/>
                <w:lang w:val="uk-UA" w:eastAsia="ru-RU"/>
              </w:rPr>
              <w:lastRenderedPageBreak/>
              <w:t>процедур (за результатами консультаці</w:t>
            </w:r>
            <w:r w:rsidR="00287036" w:rsidRPr="00287036">
              <w:rPr>
                <w:rFonts w:ascii="Times New Roman" w:hAnsi="Times New Roman"/>
                <w:color w:val="000000"/>
                <w:sz w:val="24"/>
                <w:szCs w:val="24"/>
                <w:lang w:val="uk-UA" w:eastAsia="ru-RU"/>
              </w:rPr>
              <w:t xml:space="preserve">й)) Х 19,34 грн. Х 1 процедура </w:t>
            </w:r>
            <w:r w:rsidRPr="00287036">
              <w:rPr>
                <w:rFonts w:ascii="Times New Roman" w:hAnsi="Times New Roman"/>
                <w:color w:val="000000"/>
                <w:sz w:val="24"/>
                <w:szCs w:val="24"/>
                <w:lang w:val="uk-UA" w:eastAsia="ru-RU"/>
              </w:rPr>
              <w:t>=          155 грн.</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lastRenderedPageBreak/>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(припущено, що суб’єкт повинен виконувати вимоги </w:t>
            </w:r>
            <w:r w:rsidRPr="00287036">
              <w:rPr>
                <w:rFonts w:ascii="Times New Roman" w:hAnsi="Times New Roman"/>
                <w:color w:val="000000"/>
                <w:sz w:val="24"/>
                <w:szCs w:val="24"/>
                <w:lang w:val="uk-UA" w:eastAsia="ru-RU"/>
              </w:rPr>
              <w:lastRenderedPageBreak/>
              <w:t>регулювання лише в перший рік; за результатами консультацій)</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lastRenderedPageBreak/>
              <w:t xml:space="preserve"> 155 грн.</w:t>
            </w:r>
          </w:p>
          <w:p w:rsidR="00847405" w:rsidRPr="00287036" w:rsidRDefault="00847405" w:rsidP="00701A7D">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 xml:space="preserve"> (витрати на розроблення та впровадження внутрішніх </w:t>
            </w:r>
            <w:r w:rsidRPr="00287036">
              <w:rPr>
                <w:rFonts w:ascii="Times New Roman" w:hAnsi="Times New Roman"/>
                <w:color w:val="000000"/>
                <w:sz w:val="24"/>
                <w:szCs w:val="24"/>
                <w:lang w:val="uk-UA" w:eastAsia="ru-RU"/>
              </w:rPr>
              <w:lastRenderedPageBreak/>
              <w:t xml:space="preserve">процедур у перший рік) + 0,00 грн. (витрати на  розроблення та впровадження внутрішніх процедур у наступний рік) Х 4 роки </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lastRenderedPageBreak/>
              <w:t>11.</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офіційного звітування</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05279E">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12.</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Процедури щодо забезпечення процесу перевірок</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05279E">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05279E">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0,00</w:t>
            </w:r>
          </w:p>
          <w:p w:rsidR="00847405" w:rsidRPr="00287036" w:rsidRDefault="00847405" w:rsidP="0005279E">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(витрати відсутні)</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13.</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Інші процедури:</w:t>
            </w:r>
          </w:p>
        </w:tc>
        <w:tc>
          <w:tcPr>
            <w:tcW w:w="1842"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r>
      <w:tr w:rsidR="00847405" w:rsidRPr="00847405" w:rsidTr="007C1C03">
        <w:trPr>
          <w:trHeight w:val="1071"/>
        </w:trPr>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14.</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Разом, гривень</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(сума рядків 9 + 10 + 11 + 12 + 13)</w:t>
            </w:r>
          </w:p>
        </w:tc>
        <w:tc>
          <w:tcPr>
            <w:tcW w:w="1842" w:type="dxa"/>
            <w:shd w:val="clear" w:color="auto" w:fill="auto"/>
          </w:tcPr>
          <w:p w:rsidR="00847405" w:rsidRPr="00663726" w:rsidRDefault="00ED144C" w:rsidP="00287036">
            <w:pPr>
              <w:spacing w:after="0" w:line="240" w:lineRule="auto"/>
              <w:ind w:left="-142"/>
              <w:jc w:val="center"/>
              <w:rPr>
                <w:rFonts w:ascii="Times New Roman" w:hAnsi="Times New Roman"/>
                <w:color w:val="000000"/>
                <w:sz w:val="24"/>
                <w:szCs w:val="24"/>
                <w:lang w:val="uk-UA" w:eastAsia="ru-RU"/>
              </w:rPr>
            </w:pPr>
            <w:r w:rsidRPr="00663726">
              <w:rPr>
                <w:rFonts w:ascii="Times New Roman" w:hAnsi="Times New Roman"/>
                <w:color w:val="000000"/>
                <w:sz w:val="24"/>
                <w:szCs w:val="24"/>
                <w:lang w:val="uk-UA" w:eastAsia="ru-RU"/>
              </w:rPr>
              <w:t>213 грн</w:t>
            </w:r>
          </w:p>
        </w:tc>
        <w:tc>
          <w:tcPr>
            <w:tcW w:w="1843" w:type="dxa"/>
            <w:shd w:val="clear" w:color="auto" w:fill="auto"/>
          </w:tcPr>
          <w:p w:rsidR="00847405" w:rsidRPr="00663726" w:rsidRDefault="00847405" w:rsidP="00287036">
            <w:pPr>
              <w:spacing w:after="0" w:line="240" w:lineRule="auto"/>
              <w:ind w:left="-142"/>
              <w:jc w:val="center"/>
              <w:rPr>
                <w:rFonts w:ascii="Times New Roman" w:hAnsi="Times New Roman"/>
                <w:color w:val="000000"/>
                <w:sz w:val="24"/>
                <w:szCs w:val="24"/>
                <w:lang w:val="uk-UA" w:eastAsia="ru-RU"/>
              </w:rPr>
            </w:pPr>
            <w:r w:rsidRPr="00663726">
              <w:rPr>
                <w:rFonts w:ascii="Times New Roman" w:hAnsi="Times New Roman"/>
                <w:color w:val="000000"/>
                <w:sz w:val="24"/>
                <w:szCs w:val="24"/>
                <w:lang w:val="uk-UA" w:eastAsia="ru-RU"/>
              </w:rPr>
              <w:t>Х</w:t>
            </w:r>
          </w:p>
        </w:tc>
        <w:tc>
          <w:tcPr>
            <w:tcW w:w="1843" w:type="dxa"/>
            <w:shd w:val="clear" w:color="auto" w:fill="auto"/>
          </w:tcPr>
          <w:p w:rsidR="00847405" w:rsidRPr="00663726" w:rsidRDefault="00701A7D" w:rsidP="00287036">
            <w:pPr>
              <w:spacing w:after="0" w:line="240" w:lineRule="auto"/>
              <w:ind w:left="-142"/>
              <w:jc w:val="center"/>
              <w:rPr>
                <w:rFonts w:ascii="Times New Roman" w:hAnsi="Times New Roman"/>
                <w:color w:val="000000"/>
                <w:sz w:val="24"/>
                <w:szCs w:val="24"/>
                <w:lang w:val="uk-UA" w:eastAsia="ru-RU"/>
              </w:rPr>
            </w:pPr>
            <w:r w:rsidRPr="00663726">
              <w:rPr>
                <w:rFonts w:ascii="Times New Roman" w:hAnsi="Times New Roman"/>
                <w:color w:val="000000"/>
                <w:sz w:val="24"/>
                <w:szCs w:val="24"/>
                <w:lang w:val="uk-UA" w:eastAsia="ru-RU"/>
              </w:rPr>
              <w:t>852</w:t>
            </w:r>
            <w:r w:rsidR="00ED144C" w:rsidRPr="00663726">
              <w:rPr>
                <w:rFonts w:ascii="Times New Roman" w:hAnsi="Times New Roman"/>
                <w:color w:val="000000"/>
                <w:sz w:val="24"/>
                <w:szCs w:val="24"/>
                <w:lang w:val="uk-UA" w:eastAsia="ru-RU"/>
              </w:rPr>
              <w:t xml:space="preserve"> грн</w:t>
            </w:r>
          </w:p>
        </w:tc>
      </w:tr>
      <w:tr w:rsidR="00847405" w:rsidRPr="00847405" w:rsidTr="007C1C03">
        <w:trPr>
          <w:trHeight w:val="1087"/>
        </w:trPr>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15.</w:t>
            </w:r>
          </w:p>
        </w:tc>
        <w:tc>
          <w:tcPr>
            <w:tcW w:w="3260" w:type="dxa"/>
            <w:shd w:val="clear" w:color="auto" w:fill="auto"/>
          </w:tcPr>
          <w:p w:rsidR="00847405" w:rsidRPr="004A7EDA" w:rsidRDefault="00847405" w:rsidP="004A7EDA">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Кількість суб’єктів малого підприємництва, що повинні виконати вимоги регулювання, одиниць.</w:t>
            </w:r>
          </w:p>
        </w:tc>
        <w:tc>
          <w:tcPr>
            <w:tcW w:w="1842" w:type="dxa"/>
            <w:shd w:val="clear" w:color="auto" w:fill="auto"/>
          </w:tcPr>
          <w:p w:rsidR="00847405" w:rsidRPr="00663726" w:rsidRDefault="00663726" w:rsidP="00287036">
            <w:pPr>
              <w:spacing w:after="0" w:line="240" w:lineRule="auto"/>
              <w:ind w:left="-142"/>
              <w:jc w:val="center"/>
              <w:rPr>
                <w:rFonts w:ascii="Times New Roman" w:hAnsi="Times New Roman"/>
                <w:color w:val="000000"/>
                <w:sz w:val="24"/>
                <w:szCs w:val="24"/>
                <w:lang w:val="uk-UA" w:eastAsia="ru-RU"/>
              </w:rPr>
            </w:pPr>
            <w:r w:rsidRPr="00663726">
              <w:rPr>
                <w:rFonts w:ascii="Times New Roman" w:hAnsi="Times New Roman"/>
                <w:color w:val="000000"/>
                <w:sz w:val="24"/>
                <w:szCs w:val="24"/>
                <w:lang w:val="uk-UA" w:eastAsia="ru-RU"/>
              </w:rPr>
              <w:t>700</w:t>
            </w:r>
          </w:p>
        </w:tc>
        <w:tc>
          <w:tcPr>
            <w:tcW w:w="1843" w:type="dxa"/>
            <w:shd w:val="clear" w:color="auto" w:fill="auto"/>
          </w:tcPr>
          <w:p w:rsidR="00847405" w:rsidRPr="0066372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663726" w:rsidRDefault="00663726" w:rsidP="00287036">
            <w:pPr>
              <w:spacing w:after="0" w:line="240" w:lineRule="auto"/>
              <w:ind w:left="-142"/>
              <w:jc w:val="center"/>
              <w:rPr>
                <w:rFonts w:ascii="Times New Roman" w:hAnsi="Times New Roman"/>
                <w:color w:val="000000"/>
                <w:sz w:val="24"/>
                <w:szCs w:val="24"/>
                <w:lang w:val="uk-UA" w:eastAsia="ru-RU"/>
              </w:rPr>
            </w:pPr>
            <w:r w:rsidRPr="00663726">
              <w:rPr>
                <w:rFonts w:ascii="Times New Roman" w:hAnsi="Times New Roman"/>
                <w:color w:val="000000"/>
                <w:sz w:val="24"/>
                <w:szCs w:val="24"/>
                <w:lang w:val="uk-UA" w:eastAsia="ru-RU"/>
              </w:rPr>
              <w:t>700</w:t>
            </w:r>
          </w:p>
        </w:tc>
      </w:tr>
      <w:tr w:rsidR="00847405" w:rsidRPr="00847405" w:rsidTr="007F469A">
        <w:tc>
          <w:tcPr>
            <w:tcW w:w="851" w:type="dxa"/>
            <w:gridSpan w:val="2"/>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16.</w:t>
            </w:r>
          </w:p>
        </w:tc>
        <w:tc>
          <w:tcPr>
            <w:tcW w:w="3260"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Сумарно, гривень</w:t>
            </w:r>
          </w:p>
          <w:p w:rsidR="00847405" w:rsidRPr="00287036" w:rsidRDefault="00847405" w:rsidP="00287036">
            <w:pPr>
              <w:spacing w:after="0" w:line="240" w:lineRule="auto"/>
              <w:ind w:left="-142"/>
              <w:jc w:val="center"/>
              <w:rPr>
                <w:rFonts w:ascii="Times New Roman" w:hAnsi="Times New Roman"/>
                <w:i/>
                <w:color w:val="000000"/>
                <w:sz w:val="24"/>
                <w:szCs w:val="24"/>
                <w:lang w:val="uk-UA" w:eastAsia="ru-RU"/>
              </w:rPr>
            </w:pPr>
            <w:r w:rsidRPr="00287036">
              <w:rPr>
                <w:rFonts w:ascii="Times New Roman" w:hAnsi="Times New Roman"/>
                <w:i/>
                <w:color w:val="000000"/>
                <w:sz w:val="24"/>
                <w:szCs w:val="24"/>
                <w:lang w:val="uk-UA" w:eastAsia="ru-RU"/>
              </w:rPr>
              <w:t>Формула:</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i/>
                <w:color w:val="000000"/>
                <w:sz w:val="24"/>
                <w:szCs w:val="24"/>
                <w:lang w:val="uk-UA"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1842" w:type="dxa"/>
            <w:shd w:val="clear" w:color="auto" w:fill="auto"/>
          </w:tcPr>
          <w:p w:rsidR="00847405" w:rsidRPr="00287036" w:rsidRDefault="00663726" w:rsidP="00287036">
            <w:pPr>
              <w:spacing w:after="0" w:line="240" w:lineRule="auto"/>
              <w:ind w:left="-142"/>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149100</w:t>
            </w:r>
            <w:r w:rsidR="00847405" w:rsidRPr="00287036">
              <w:rPr>
                <w:rFonts w:ascii="Times New Roman" w:hAnsi="Times New Roman"/>
                <w:color w:val="000000"/>
                <w:sz w:val="24"/>
                <w:szCs w:val="24"/>
                <w:lang w:val="uk-UA" w:eastAsia="ru-RU"/>
              </w:rPr>
              <w:t xml:space="preserve"> грн. </w:t>
            </w:r>
          </w:p>
        </w:tc>
        <w:tc>
          <w:tcPr>
            <w:tcW w:w="1843" w:type="dxa"/>
            <w:shd w:val="clear" w:color="auto" w:fill="auto"/>
          </w:tcPr>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r w:rsidRPr="00287036">
              <w:rPr>
                <w:rFonts w:ascii="Times New Roman" w:hAnsi="Times New Roman"/>
                <w:color w:val="000000"/>
                <w:sz w:val="24"/>
                <w:szCs w:val="24"/>
                <w:lang w:val="uk-UA" w:eastAsia="ru-RU"/>
              </w:rPr>
              <w:t>Х</w:t>
            </w:r>
          </w:p>
          <w:p w:rsidR="00847405" w:rsidRPr="00287036" w:rsidRDefault="00847405" w:rsidP="00287036">
            <w:pPr>
              <w:spacing w:after="0" w:line="240" w:lineRule="auto"/>
              <w:ind w:left="-142"/>
              <w:jc w:val="center"/>
              <w:rPr>
                <w:rFonts w:ascii="Times New Roman" w:hAnsi="Times New Roman"/>
                <w:color w:val="000000"/>
                <w:sz w:val="24"/>
                <w:szCs w:val="24"/>
                <w:lang w:val="uk-UA" w:eastAsia="ru-RU"/>
              </w:rPr>
            </w:pPr>
          </w:p>
        </w:tc>
        <w:tc>
          <w:tcPr>
            <w:tcW w:w="1843" w:type="dxa"/>
            <w:shd w:val="clear" w:color="auto" w:fill="auto"/>
          </w:tcPr>
          <w:p w:rsidR="00847405" w:rsidRPr="00287036" w:rsidRDefault="00663726" w:rsidP="00287036">
            <w:pPr>
              <w:spacing w:after="0" w:line="240" w:lineRule="auto"/>
              <w:ind w:left="-142"/>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596400 </w:t>
            </w:r>
            <w:r w:rsidR="00847405" w:rsidRPr="00287036">
              <w:rPr>
                <w:rFonts w:ascii="Times New Roman" w:hAnsi="Times New Roman"/>
                <w:color w:val="000000"/>
                <w:sz w:val="24"/>
                <w:szCs w:val="24"/>
                <w:lang w:val="uk-UA" w:eastAsia="ru-RU"/>
              </w:rPr>
              <w:t xml:space="preserve">грн. </w:t>
            </w:r>
          </w:p>
        </w:tc>
      </w:tr>
    </w:tbl>
    <w:p w:rsidR="007A4082" w:rsidRPr="007A4082" w:rsidRDefault="007A4082" w:rsidP="007A4082">
      <w:pPr>
        <w:keepNext/>
        <w:widowControl w:val="0"/>
        <w:spacing w:after="0" w:line="240" w:lineRule="auto"/>
        <w:jc w:val="both"/>
        <w:textAlignment w:val="baseline"/>
        <w:rPr>
          <w:rFonts w:ascii="Times New Roman" w:hAnsi="Times New Roman"/>
          <w:sz w:val="26"/>
          <w:szCs w:val="26"/>
          <w:lang w:val="uk-UA" w:eastAsia="ru-RU"/>
        </w:rPr>
      </w:pPr>
      <w:r w:rsidRPr="007A4082">
        <w:rPr>
          <w:rFonts w:ascii="Times New Roman" w:hAnsi="Times New Roman"/>
          <w:sz w:val="26"/>
          <w:szCs w:val="26"/>
          <w:lang w:val="uk-UA" w:eastAsia="ru-RU"/>
        </w:rPr>
        <w:t>Примітки:</w:t>
      </w:r>
    </w:p>
    <w:p w:rsidR="007A4082" w:rsidRPr="007A4082" w:rsidRDefault="007A4082" w:rsidP="007C1C03">
      <w:pPr>
        <w:keepNext/>
        <w:widowControl w:val="0"/>
        <w:numPr>
          <w:ilvl w:val="0"/>
          <w:numId w:val="10"/>
        </w:numPr>
        <w:tabs>
          <w:tab w:val="left" w:pos="1134"/>
        </w:tabs>
        <w:spacing w:after="0" w:line="240" w:lineRule="auto"/>
        <w:ind w:left="0"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У розрахунку вартості 1 часу роботи використано вартість 1 часу роботи, яка відповідно до Закону України «Про Державний бюджет України на 2017 рік» з 1 січня</w:t>
      </w:r>
      <w:r w:rsidR="00832752">
        <w:rPr>
          <w:rFonts w:ascii="Times New Roman" w:hAnsi="Times New Roman"/>
          <w:sz w:val="24"/>
          <w:szCs w:val="24"/>
          <w:lang w:val="uk-UA" w:eastAsia="ru-RU"/>
        </w:rPr>
        <w:t xml:space="preserve">                    </w:t>
      </w:r>
      <w:r w:rsidRPr="007A4082">
        <w:rPr>
          <w:rFonts w:ascii="Times New Roman" w:hAnsi="Times New Roman"/>
          <w:sz w:val="24"/>
          <w:szCs w:val="24"/>
          <w:lang w:val="uk-UA" w:eastAsia="ru-RU"/>
        </w:rPr>
        <w:t xml:space="preserve"> 2017 року становить 19,34 гривні. Джерело отримання інформації: </w:t>
      </w:r>
      <w:hyperlink r:id="rId8" w:history="1">
        <w:r w:rsidRPr="007A4082">
          <w:rPr>
            <w:rFonts w:ascii="Times New Roman" w:hAnsi="Times New Roman"/>
            <w:color w:val="0000FF"/>
            <w:sz w:val="24"/>
            <w:szCs w:val="24"/>
            <w:u w:val="single"/>
            <w:lang w:val="uk-UA" w:eastAsia="ru-RU"/>
          </w:rPr>
          <w:t>http://zakon2.rada.gov.ua/laws/show/1801-193</w:t>
        </w:r>
      </w:hyperlink>
      <w:r w:rsidRPr="007A4082">
        <w:rPr>
          <w:rFonts w:ascii="Times New Roman" w:hAnsi="Times New Roman"/>
          <w:sz w:val="24"/>
          <w:szCs w:val="24"/>
          <w:lang w:val="uk-UA" w:eastAsia="ru-RU"/>
        </w:rPr>
        <w:t xml:space="preserve">. </w:t>
      </w:r>
    </w:p>
    <w:p w:rsidR="007A4082" w:rsidRPr="007A4082" w:rsidRDefault="007A4082" w:rsidP="007C1C03">
      <w:pPr>
        <w:keepNext/>
        <w:widowControl w:val="0"/>
        <w:numPr>
          <w:ilvl w:val="0"/>
          <w:numId w:val="10"/>
        </w:numPr>
        <w:tabs>
          <w:tab w:val="left" w:pos="1134"/>
        </w:tabs>
        <w:spacing w:after="0" w:line="240" w:lineRule="auto"/>
        <w:ind w:left="0"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Джерело отримання інформації: Єдиний державний реєстр юридичних осіб, фізичних осіб – підприємців та громадських формувань (</w:t>
      </w:r>
      <w:hyperlink r:id="rId9" w:history="1">
        <w:r w:rsidRPr="007A4082">
          <w:rPr>
            <w:rFonts w:ascii="Times New Roman" w:hAnsi="Times New Roman"/>
            <w:color w:val="0000FF"/>
            <w:sz w:val="24"/>
            <w:szCs w:val="24"/>
            <w:u w:val="single"/>
            <w:lang w:val="uk-UA" w:eastAsia="ru-RU"/>
          </w:rPr>
          <w:t>https://usr.minjust.gov.ua/ua/extractedr</w:t>
        </w:r>
      </w:hyperlink>
      <w:r w:rsidRPr="007A4082">
        <w:rPr>
          <w:rFonts w:ascii="Times New Roman" w:hAnsi="Times New Roman"/>
          <w:sz w:val="24"/>
          <w:szCs w:val="24"/>
          <w:lang w:val="uk-UA" w:eastAsia="ru-RU"/>
        </w:rPr>
        <w:t xml:space="preserve">). </w:t>
      </w:r>
    </w:p>
    <w:p w:rsidR="007A4082" w:rsidRPr="007A4082" w:rsidRDefault="007A4082" w:rsidP="007C1C03">
      <w:pPr>
        <w:keepNext/>
        <w:widowControl w:val="0"/>
        <w:spacing w:after="0" w:line="240" w:lineRule="auto"/>
        <w:ind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Припущено, що кількість суб’єктів господарювання, що повинні виконати вимоги регулювання у перший рік (стартовий рік впровадження регулювання) та наступний рік</w:t>
      </w:r>
      <w:r w:rsidR="00832752">
        <w:rPr>
          <w:rFonts w:ascii="Times New Roman" w:hAnsi="Times New Roman"/>
          <w:sz w:val="24"/>
          <w:szCs w:val="24"/>
          <w:lang w:val="uk-UA" w:eastAsia="ru-RU"/>
        </w:rPr>
        <w:t>,</w:t>
      </w:r>
      <w:r w:rsidRPr="007A4082">
        <w:rPr>
          <w:rFonts w:ascii="Times New Roman" w:hAnsi="Times New Roman"/>
          <w:sz w:val="24"/>
          <w:szCs w:val="24"/>
          <w:lang w:val="uk-UA" w:eastAsia="ru-RU"/>
        </w:rPr>
        <w:t xml:space="preserve"> дорівнює кількості суб’єктів господарювання, які зареєстровані в Єдиному державному реєстрі юридичних осіб, фізичних осіб – підприємців та громадських формувань та є суб’єктами малого (у тому числі мікро-) підприємництва станом на 01.09.2017.</w:t>
      </w:r>
    </w:p>
    <w:p w:rsidR="007A4082" w:rsidRPr="007A4082" w:rsidRDefault="007A4082" w:rsidP="007C1C03">
      <w:pPr>
        <w:keepNext/>
        <w:widowControl w:val="0"/>
        <w:tabs>
          <w:tab w:val="left" w:pos="1134"/>
        </w:tabs>
        <w:spacing w:after="0" w:line="240" w:lineRule="auto"/>
        <w:ind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 xml:space="preserve">3. Первинна інформація про вимоги регулювання може бути отримана за результати пошуку </w:t>
      </w:r>
      <w:r w:rsidR="007C1C03">
        <w:rPr>
          <w:rFonts w:ascii="Times New Roman" w:hAnsi="Times New Roman"/>
          <w:sz w:val="24"/>
          <w:szCs w:val="24"/>
          <w:lang w:val="uk-UA" w:eastAsia="ru-RU"/>
        </w:rPr>
        <w:t xml:space="preserve">наказу Міністерства транспорту та зв’язку України від </w:t>
      </w:r>
      <w:r w:rsidR="007C1C03" w:rsidRPr="007C1C03">
        <w:rPr>
          <w:rFonts w:ascii="Times New Roman" w:hAnsi="Times New Roman"/>
          <w:sz w:val="24"/>
          <w:szCs w:val="24"/>
          <w:lang w:val="uk-UA" w:eastAsia="ru-RU"/>
        </w:rPr>
        <w:t xml:space="preserve">27 вересня 2010 року № 700 </w:t>
      </w:r>
      <w:r w:rsidR="007C1C03">
        <w:rPr>
          <w:rFonts w:ascii="Times New Roman" w:hAnsi="Times New Roman"/>
          <w:sz w:val="24"/>
          <w:szCs w:val="24"/>
          <w:lang w:val="uk-UA" w:eastAsia="ru-RU"/>
        </w:rPr>
        <w:t xml:space="preserve">«Про затвердження </w:t>
      </w:r>
      <w:r w:rsidR="007C1C03" w:rsidRPr="007C1C03">
        <w:rPr>
          <w:rFonts w:ascii="Times New Roman" w:hAnsi="Times New Roman"/>
          <w:sz w:val="24"/>
          <w:szCs w:val="24"/>
          <w:lang w:val="uk-UA" w:eastAsia="ru-RU"/>
        </w:rPr>
        <w:t>Порядку регулювання діяльності автостанцій</w:t>
      </w:r>
      <w:r w:rsidR="00832752">
        <w:rPr>
          <w:rFonts w:ascii="Times New Roman" w:hAnsi="Times New Roman"/>
          <w:sz w:val="24"/>
          <w:szCs w:val="24"/>
          <w:lang w:val="uk-UA" w:eastAsia="ru-RU"/>
        </w:rPr>
        <w:t>»</w:t>
      </w:r>
      <w:r w:rsidR="007C1C03" w:rsidRPr="007C1C03">
        <w:rPr>
          <w:rFonts w:ascii="Times New Roman" w:hAnsi="Times New Roman"/>
          <w:sz w:val="24"/>
          <w:szCs w:val="24"/>
          <w:lang w:val="uk-UA" w:eastAsia="ru-RU"/>
        </w:rPr>
        <w:t xml:space="preserve">, </w:t>
      </w:r>
      <w:r w:rsidR="007C1C03">
        <w:rPr>
          <w:rFonts w:ascii="Times New Roman" w:hAnsi="Times New Roman"/>
          <w:sz w:val="24"/>
          <w:szCs w:val="24"/>
          <w:lang w:val="uk-UA" w:eastAsia="ru-RU"/>
        </w:rPr>
        <w:t>з</w:t>
      </w:r>
      <w:r w:rsidR="007C1C03" w:rsidRPr="007C1C03">
        <w:rPr>
          <w:rFonts w:ascii="Times New Roman" w:hAnsi="Times New Roman"/>
          <w:sz w:val="24"/>
          <w:szCs w:val="24"/>
          <w:lang w:val="uk-UA" w:eastAsia="ru-RU"/>
        </w:rPr>
        <w:t>ареєстрован</w:t>
      </w:r>
      <w:r w:rsidR="00832752">
        <w:rPr>
          <w:rFonts w:ascii="Times New Roman" w:hAnsi="Times New Roman"/>
          <w:sz w:val="24"/>
          <w:szCs w:val="24"/>
          <w:lang w:val="uk-UA" w:eastAsia="ru-RU"/>
        </w:rPr>
        <w:t>ого</w:t>
      </w:r>
      <w:r w:rsidR="007C1C03" w:rsidRPr="007C1C03">
        <w:rPr>
          <w:rFonts w:ascii="Times New Roman" w:hAnsi="Times New Roman"/>
          <w:sz w:val="24"/>
          <w:szCs w:val="24"/>
          <w:lang w:val="uk-UA" w:eastAsia="ru-RU"/>
        </w:rPr>
        <w:t xml:space="preserve"> в Міністерстві юстиції України 10 листопада 2010 року за № 1068/18363</w:t>
      </w:r>
      <w:r w:rsidR="00832752">
        <w:rPr>
          <w:rFonts w:ascii="Times New Roman" w:hAnsi="Times New Roman"/>
          <w:sz w:val="24"/>
          <w:szCs w:val="24"/>
          <w:lang w:val="uk-UA" w:eastAsia="ru-RU"/>
        </w:rPr>
        <w:t xml:space="preserve">, </w:t>
      </w:r>
      <w:r w:rsidRPr="007A4082">
        <w:rPr>
          <w:rFonts w:ascii="Times New Roman" w:hAnsi="Times New Roman"/>
          <w:sz w:val="24"/>
          <w:szCs w:val="24"/>
          <w:lang w:val="uk-UA" w:eastAsia="ru-RU"/>
        </w:rPr>
        <w:t>на офіційному</w:t>
      </w:r>
      <w:r w:rsidR="00832752">
        <w:rPr>
          <w:rFonts w:ascii="Times New Roman" w:hAnsi="Times New Roman"/>
          <w:sz w:val="24"/>
          <w:szCs w:val="24"/>
          <w:lang w:val="uk-UA" w:eastAsia="ru-RU"/>
        </w:rPr>
        <w:t xml:space="preserve">                  </w:t>
      </w:r>
      <w:r w:rsidRPr="007A4082">
        <w:rPr>
          <w:rFonts w:ascii="Times New Roman" w:hAnsi="Times New Roman"/>
          <w:sz w:val="24"/>
          <w:szCs w:val="24"/>
          <w:lang w:val="uk-UA" w:eastAsia="ru-RU"/>
        </w:rPr>
        <w:t xml:space="preserve"> веб-сайті Міністерства </w:t>
      </w:r>
      <w:r w:rsidR="00832752" w:rsidRPr="007A4082">
        <w:rPr>
          <w:rFonts w:ascii="Times New Roman" w:hAnsi="Times New Roman"/>
          <w:sz w:val="24"/>
          <w:szCs w:val="24"/>
          <w:lang w:val="uk-UA" w:eastAsia="ru-RU"/>
        </w:rPr>
        <w:t>інфраструктури</w:t>
      </w:r>
      <w:r w:rsidR="00832752">
        <w:rPr>
          <w:rFonts w:ascii="Times New Roman" w:hAnsi="Times New Roman"/>
          <w:sz w:val="24"/>
          <w:szCs w:val="24"/>
          <w:lang w:val="uk-UA" w:eastAsia="ru-RU"/>
        </w:rPr>
        <w:t xml:space="preserve"> України </w:t>
      </w:r>
      <w:r w:rsidRPr="007A4082">
        <w:rPr>
          <w:rFonts w:ascii="Times New Roman" w:hAnsi="Times New Roman"/>
          <w:sz w:val="24"/>
          <w:szCs w:val="24"/>
          <w:lang w:val="uk-UA" w:eastAsia="ru-RU"/>
        </w:rPr>
        <w:t>https://mtu.gov.ua/</w:t>
      </w:r>
      <w:r w:rsidR="00832752">
        <w:rPr>
          <w:rFonts w:ascii="Times New Roman" w:hAnsi="Times New Roman"/>
          <w:sz w:val="24"/>
          <w:szCs w:val="24"/>
          <w:lang w:val="uk-UA" w:eastAsia="ru-RU"/>
        </w:rPr>
        <w:t>/</w:t>
      </w:r>
      <w:r w:rsidRPr="007A4082">
        <w:rPr>
          <w:rFonts w:ascii="Times New Roman" w:hAnsi="Times New Roman"/>
          <w:sz w:val="24"/>
          <w:szCs w:val="24"/>
          <w:lang w:val="uk-UA" w:eastAsia="ru-RU"/>
        </w:rPr>
        <w:t xml:space="preserve">. </w:t>
      </w:r>
    </w:p>
    <w:p w:rsidR="00FF517B" w:rsidRDefault="007A4082" w:rsidP="007C1C03">
      <w:pPr>
        <w:keepNext/>
        <w:widowControl w:val="0"/>
        <w:tabs>
          <w:tab w:val="left" w:pos="1134"/>
        </w:tabs>
        <w:spacing w:after="0" w:line="240" w:lineRule="auto"/>
        <w:ind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4.</w:t>
      </w:r>
      <w:r w:rsidR="00832752">
        <w:rPr>
          <w:rFonts w:ascii="Times New Roman" w:hAnsi="Times New Roman"/>
          <w:sz w:val="24"/>
          <w:szCs w:val="24"/>
          <w:lang w:val="uk-UA" w:eastAsia="ru-RU"/>
        </w:rPr>
        <w:t xml:space="preserve"> </w:t>
      </w:r>
      <w:r w:rsidRPr="007A4082">
        <w:rPr>
          <w:rFonts w:ascii="Times New Roman" w:hAnsi="Times New Roman"/>
          <w:sz w:val="24"/>
          <w:szCs w:val="24"/>
          <w:lang w:val="uk-UA" w:eastAsia="ru-RU"/>
        </w:rPr>
        <w:t xml:space="preserve">Інформація про розмір часу, який витрачається суб’єктами на отримання зазначеної </w:t>
      </w:r>
      <w:r w:rsidRPr="007A4082">
        <w:rPr>
          <w:rFonts w:ascii="Times New Roman" w:hAnsi="Times New Roman"/>
          <w:sz w:val="24"/>
          <w:szCs w:val="24"/>
          <w:lang w:val="uk-UA" w:eastAsia="ru-RU"/>
        </w:rPr>
        <w:lastRenderedPageBreak/>
        <w:t>інформації</w:t>
      </w:r>
      <w:r w:rsidR="00832752">
        <w:rPr>
          <w:rFonts w:ascii="Times New Roman" w:hAnsi="Times New Roman"/>
          <w:sz w:val="24"/>
          <w:szCs w:val="24"/>
          <w:lang w:val="uk-UA" w:eastAsia="ru-RU"/>
        </w:rPr>
        <w:t>,</w:t>
      </w:r>
      <w:r w:rsidRPr="007A4082">
        <w:rPr>
          <w:rFonts w:ascii="Times New Roman" w:hAnsi="Times New Roman"/>
          <w:sz w:val="24"/>
          <w:szCs w:val="24"/>
          <w:lang w:val="uk-UA" w:eastAsia="ru-RU"/>
        </w:rPr>
        <w:t xml:space="preserve"> є оціночною та отримана за результатами проведених консультацій </w:t>
      </w:r>
    </w:p>
    <w:p w:rsidR="007A4082" w:rsidRPr="007A4082" w:rsidRDefault="007A4082" w:rsidP="007C1C03">
      <w:pPr>
        <w:keepNext/>
        <w:widowControl w:val="0"/>
        <w:tabs>
          <w:tab w:val="left" w:pos="1134"/>
        </w:tabs>
        <w:spacing w:after="0" w:line="240" w:lineRule="auto"/>
        <w:ind w:firstLine="284"/>
        <w:jc w:val="both"/>
        <w:textAlignment w:val="baseline"/>
        <w:rPr>
          <w:rFonts w:ascii="Times New Roman" w:hAnsi="Times New Roman"/>
          <w:sz w:val="24"/>
          <w:szCs w:val="24"/>
          <w:lang w:val="uk-UA" w:eastAsia="ru-RU"/>
        </w:rPr>
      </w:pPr>
      <w:r w:rsidRPr="007A4082">
        <w:rPr>
          <w:rFonts w:ascii="Times New Roman" w:hAnsi="Times New Roman"/>
          <w:sz w:val="24"/>
          <w:szCs w:val="24"/>
          <w:lang w:val="uk-UA" w:eastAsia="ru-RU"/>
        </w:rPr>
        <w:t>(наведено у таблиці розділу 1).</w:t>
      </w:r>
    </w:p>
    <w:p w:rsidR="004409B0" w:rsidRDefault="004409B0" w:rsidP="00993A97">
      <w:pPr>
        <w:spacing w:line="240" w:lineRule="atLeast"/>
        <w:ind w:left="-142" w:firstLine="851"/>
        <w:contextualSpacing/>
        <w:jc w:val="both"/>
        <w:rPr>
          <w:rFonts w:ascii="Times New Roman" w:hAnsi="Times New Roman"/>
          <w:color w:val="000000"/>
          <w:sz w:val="26"/>
          <w:szCs w:val="26"/>
          <w:lang w:val="uk-UA" w:eastAsia="ru-RU"/>
        </w:rPr>
      </w:pPr>
    </w:p>
    <w:p w:rsidR="004409B0" w:rsidRDefault="004409B0" w:rsidP="00A62EB1">
      <w:pPr>
        <w:pStyle w:val="rvps3"/>
        <w:shd w:val="clear" w:color="auto" w:fill="FFFFFF"/>
        <w:tabs>
          <w:tab w:val="left" w:pos="9639"/>
        </w:tabs>
        <w:spacing w:before="0" w:beforeAutospacing="0" w:after="150" w:afterAutospacing="0" w:line="240" w:lineRule="atLeast"/>
        <w:ind w:left="567"/>
        <w:contextualSpacing/>
        <w:jc w:val="center"/>
        <w:textAlignment w:val="baseline"/>
        <w:rPr>
          <w:b/>
          <w:color w:val="000000"/>
          <w:sz w:val="28"/>
          <w:szCs w:val="28"/>
        </w:rPr>
      </w:pPr>
      <w:r w:rsidRPr="00CE59AA">
        <w:rPr>
          <w:b/>
          <w:color w:val="000000"/>
          <w:sz w:val="28"/>
          <w:szCs w:val="28"/>
        </w:rPr>
        <w:t>Бюджетні витрати на адміністрування регулювання суб’єктів малого підприємництва</w:t>
      </w:r>
    </w:p>
    <w:p w:rsidR="005C31B6" w:rsidRPr="00287036" w:rsidRDefault="005C31B6" w:rsidP="00287036">
      <w:pPr>
        <w:pStyle w:val="rvps3"/>
        <w:shd w:val="clear" w:color="auto" w:fill="FFFFFF"/>
        <w:tabs>
          <w:tab w:val="left" w:pos="9639"/>
        </w:tabs>
        <w:spacing w:after="150" w:line="240" w:lineRule="atLeast"/>
        <w:ind w:left="450"/>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276"/>
        <w:gridCol w:w="1276"/>
        <w:gridCol w:w="1275"/>
        <w:gridCol w:w="1240"/>
      </w:tblGrid>
      <w:tr w:rsidR="005C31B6" w:rsidRPr="005C31B6" w:rsidTr="007F469A">
        <w:trPr>
          <w:cantSplit/>
          <w:trHeight w:val="3508"/>
        </w:trPr>
        <w:tc>
          <w:tcPr>
            <w:tcW w:w="3652" w:type="dxa"/>
          </w:tcPr>
          <w:p w:rsidR="005C31B6" w:rsidRPr="00287036" w:rsidRDefault="005C31B6" w:rsidP="007344AB">
            <w:pPr>
              <w:pStyle w:val="rvps3"/>
              <w:shd w:val="clear" w:color="auto" w:fill="FFFFFF"/>
              <w:tabs>
                <w:tab w:val="left" w:pos="9639"/>
              </w:tabs>
              <w:spacing w:after="150" w:line="240" w:lineRule="atLeast"/>
              <w:ind w:firstLine="426"/>
              <w:contextualSpacing/>
              <w:rPr>
                <w:color w:val="000000"/>
              </w:rPr>
            </w:pPr>
            <w:r w:rsidRPr="00287036">
              <w:rPr>
                <w:color w:val="00000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r w:rsidR="00CE436E">
              <w:rPr>
                <w:color w:val="000000"/>
              </w:rPr>
              <w:t>підприємництва</w:t>
            </w:r>
            <w:r w:rsidRPr="00287036">
              <w:rPr>
                <w:color w:val="000000"/>
              </w:rPr>
              <w:t>)</w:t>
            </w:r>
          </w:p>
        </w:tc>
        <w:tc>
          <w:tcPr>
            <w:tcW w:w="1134" w:type="dxa"/>
            <w:textDirection w:val="btLr"/>
          </w:tcPr>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Планові витрати часу на</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 процедуру</w:t>
            </w:r>
          </w:p>
        </w:tc>
        <w:tc>
          <w:tcPr>
            <w:tcW w:w="1276" w:type="dxa"/>
            <w:textDirection w:val="btLr"/>
          </w:tcPr>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Вартість часу співробітника </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органу державної влади </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відповідної категорії </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(заробітна плата)</w:t>
            </w:r>
          </w:p>
        </w:tc>
        <w:tc>
          <w:tcPr>
            <w:tcW w:w="1276" w:type="dxa"/>
            <w:textDirection w:val="btLr"/>
          </w:tcPr>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Оцінка кількості процедур за</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 рік, що припадають на одного</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 суб’єкта</w:t>
            </w:r>
          </w:p>
        </w:tc>
        <w:tc>
          <w:tcPr>
            <w:tcW w:w="1275" w:type="dxa"/>
            <w:textDirection w:val="btLr"/>
          </w:tcPr>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Оцінка кількості  суб’єктів,</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 що підпадають під дію</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 процедури регулювання</w:t>
            </w:r>
          </w:p>
        </w:tc>
        <w:tc>
          <w:tcPr>
            <w:tcW w:w="1240" w:type="dxa"/>
            <w:textDirection w:val="btLr"/>
          </w:tcPr>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 xml:space="preserve">Витрати на адміністрування </w:t>
            </w:r>
          </w:p>
          <w:p w:rsidR="005C31B6" w:rsidRPr="00287036" w:rsidRDefault="005C31B6" w:rsidP="005C31B6">
            <w:pPr>
              <w:pStyle w:val="rvps3"/>
              <w:shd w:val="clear" w:color="auto" w:fill="FFFFFF"/>
              <w:tabs>
                <w:tab w:val="left" w:pos="9639"/>
              </w:tabs>
              <w:spacing w:after="150" w:line="240" w:lineRule="atLeast"/>
              <w:ind w:left="450"/>
              <w:contextualSpacing/>
              <w:rPr>
                <w:color w:val="000000"/>
              </w:rPr>
            </w:pPr>
            <w:r w:rsidRPr="00287036">
              <w:rPr>
                <w:color w:val="000000"/>
              </w:rPr>
              <w:t>регулювання* (за рік), гривень</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1. Облік суб’єкта господарювання, що перебуває у сфері регулювання.</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p>
        </w:tc>
        <w:tc>
          <w:tcPr>
            <w:tcW w:w="1134"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5"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40"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2. Поточний контроль за суб’єктом господарювання, що перебуває у сфері регулювання, у тому числі:</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камеральні</w:t>
            </w:r>
          </w:p>
        </w:tc>
        <w:tc>
          <w:tcPr>
            <w:tcW w:w="1134"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5"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40"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виїзні</w:t>
            </w:r>
          </w:p>
        </w:tc>
        <w:tc>
          <w:tcPr>
            <w:tcW w:w="1134"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6"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75"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c>
          <w:tcPr>
            <w:tcW w:w="1240" w:type="dxa"/>
            <w:vAlign w:val="center"/>
          </w:tcPr>
          <w:p w:rsidR="005C31B6" w:rsidRPr="00287036" w:rsidRDefault="005C31B6" w:rsidP="007C1C03">
            <w:pPr>
              <w:pStyle w:val="rvps3"/>
              <w:shd w:val="clear" w:color="auto" w:fill="FFFFFF"/>
              <w:tabs>
                <w:tab w:val="left" w:pos="9639"/>
              </w:tabs>
              <w:spacing w:after="150" w:line="240" w:lineRule="atLeast"/>
              <w:ind w:left="450"/>
              <w:contextualSpacing/>
              <w:jc w:val="center"/>
              <w:rPr>
                <w:color w:val="000000"/>
              </w:rPr>
            </w:pP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3. Підготовка, затвердження та опрацювання одного окремого акта про порушення вимог регулювання</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rPr>
          <w:trHeight w:val="948"/>
        </w:trPr>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4. Реалізація одного окремого рішення щодо порушення вимог регулювання</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5. Оскарження одного окремого рішення суб’єктами господарювання</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6. Підготовка звітності за результатами регулювання</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C1C03">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7. Інші адміністративні процедури (уточнити): копії, переоформлення, дублікат</w:t>
            </w:r>
          </w:p>
        </w:tc>
        <w:tc>
          <w:tcPr>
            <w:tcW w:w="1134"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6"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75"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c>
          <w:tcPr>
            <w:tcW w:w="1240" w:type="dxa"/>
            <w:vAlign w:val="center"/>
          </w:tcPr>
          <w:p w:rsidR="005C31B6" w:rsidRPr="00287036" w:rsidRDefault="007C1C03" w:rsidP="007C1C03">
            <w:pPr>
              <w:pStyle w:val="rvps3"/>
              <w:shd w:val="clear" w:color="auto" w:fill="FFFFFF"/>
              <w:tabs>
                <w:tab w:val="left" w:pos="9639"/>
              </w:tabs>
              <w:spacing w:after="150" w:line="240" w:lineRule="atLeast"/>
              <w:ind w:left="450"/>
              <w:contextualSpacing/>
              <w:rPr>
                <w:color w:val="000000"/>
              </w:rPr>
            </w:pPr>
            <w:r>
              <w:rPr>
                <w:color w:val="000000"/>
              </w:rPr>
              <w:t>х</w:t>
            </w:r>
          </w:p>
        </w:tc>
      </w:tr>
      <w:tr w:rsidR="005C31B6" w:rsidRPr="005C31B6" w:rsidTr="007F469A">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Разом за рік</w:t>
            </w:r>
          </w:p>
        </w:tc>
        <w:tc>
          <w:tcPr>
            <w:tcW w:w="1134"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6"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6"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5"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40" w:type="dxa"/>
          </w:tcPr>
          <w:p w:rsidR="005C31B6" w:rsidRPr="00287036" w:rsidRDefault="005C31B6" w:rsidP="00287036">
            <w:pPr>
              <w:pStyle w:val="rvps3"/>
              <w:shd w:val="clear" w:color="auto" w:fill="FFFFFF"/>
              <w:tabs>
                <w:tab w:val="left" w:pos="9639"/>
              </w:tabs>
              <w:spacing w:after="150" w:line="240" w:lineRule="atLeast"/>
              <w:contextualSpacing/>
              <w:jc w:val="center"/>
              <w:rPr>
                <w:color w:val="000000"/>
              </w:rPr>
            </w:pPr>
            <w:r w:rsidRPr="00287036">
              <w:rPr>
                <w:color w:val="000000"/>
              </w:rPr>
              <w:t>відсутні</w:t>
            </w:r>
          </w:p>
        </w:tc>
      </w:tr>
      <w:tr w:rsidR="005C31B6" w:rsidRPr="005C31B6" w:rsidTr="007F469A">
        <w:tc>
          <w:tcPr>
            <w:tcW w:w="3652"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Сумарно за п’ять років</w:t>
            </w:r>
          </w:p>
        </w:tc>
        <w:tc>
          <w:tcPr>
            <w:tcW w:w="1134"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6"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6"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75" w:type="dxa"/>
          </w:tcPr>
          <w:p w:rsidR="005C31B6" w:rsidRPr="00287036" w:rsidRDefault="005C31B6" w:rsidP="005C31B6">
            <w:pPr>
              <w:pStyle w:val="rvps3"/>
              <w:shd w:val="clear" w:color="auto" w:fill="FFFFFF"/>
              <w:tabs>
                <w:tab w:val="left" w:pos="9639"/>
              </w:tabs>
              <w:spacing w:after="150" w:line="240" w:lineRule="atLeast"/>
              <w:ind w:left="450"/>
              <w:contextualSpacing/>
              <w:jc w:val="center"/>
              <w:rPr>
                <w:color w:val="000000"/>
              </w:rPr>
            </w:pPr>
            <w:r w:rsidRPr="00287036">
              <w:rPr>
                <w:color w:val="000000"/>
              </w:rPr>
              <w:t>Х</w:t>
            </w:r>
          </w:p>
        </w:tc>
        <w:tc>
          <w:tcPr>
            <w:tcW w:w="1240" w:type="dxa"/>
          </w:tcPr>
          <w:p w:rsidR="005C31B6" w:rsidRPr="00287036" w:rsidRDefault="005C31B6" w:rsidP="00287036">
            <w:pPr>
              <w:pStyle w:val="rvps3"/>
              <w:shd w:val="clear" w:color="auto" w:fill="FFFFFF"/>
              <w:tabs>
                <w:tab w:val="left" w:pos="9639"/>
              </w:tabs>
              <w:spacing w:after="150" w:line="240" w:lineRule="atLeast"/>
              <w:contextualSpacing/>
              <w:jc w:val="center"/>
              <w:rPr>
                <w:color w:val="000000"/>
              </w:rPr>
            </w:pPr>
            <w:r w:rsidRPr="00287036">
              <w:rPr>
                <w:color w:val="000000"/>
              </w:rPr>
              <w:t>відсутні</w:t>
            </w:r>
          </w:p>
        </w:tc>
      </w:tr>
    </w:tbl>
    <w:p w:rsidR="005C31B6" w:rsidRPr="00287036" w:rsidRDefault="005C31B6" w:rsidP="00287036">
      <w:pPr>
        <w:pStyle w:val="rvps3"/>
        <w:shd w:val="clear" w:color="auto" w:fill="FFFFFF"/>
        <w:tabs>
          <w:tab w:val="left" w:pos="9639"/>
        </w:tabs>
        <w:spacing w:after="150" w:line="240" w:lineRule="atLeast"/>
        <w:ind w:left="450"/>
        <w:contextualSpacing/>
        <w:jc w:val="both"/>
        <w:rPr>
          <w:color w:val="000000"/>
        </w:rPr>
      </w:pPr>
      <w:r w:rsidRPr="00287036">
        <w:rPr>
          <w:color w:val="000000"/>
        </w:rPr>
        <w:lastRenderedPageBreak/>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5C31B6" w:rsidRPr="00287036" w:rsidRDefault="005C31B6" w:rsidP="00287036">
      <w:pPr>
        <w:pStyle w:val="rvps3"/>
        <w:shd w:val="clear" w:color="auto" w:fill="FFFFFF"/>
        <w:tabs>
          <w:tab w:val="left" w:pos="9639"/>
        </w:tabs>
        <w:spacing w:after="150" w:line="240" w:lineRule="atLeast"/>
        <w:ind w:left="450"/>
        <w:contextualSpacing/>
        <w:jc w:val="both"/>
        <w:rPr>
          <w:color w:val="000000"/>
        </w:rPr>
      </w:pPr>
    </w:p>
    <w:p w:rsidR="005C31B6" w:rsidRPr="00287036" w:rsidRDefault="005C31B6" w:rsidP="00A62EB1">
      <w:pPr>
        <w:pStyle w:val="rvps3"/>
        <w:shd w:val="clear" w:color="auto" w:fill="FFFFFF"/>
        <w:tabs>
          <w:tab w:val="left" w:pos="9639"/>
        </w:tabs>
        <w:spacing w:after="150" w:line="240" w:lineRule="atLeast"/>
        <w:ind w:firstLine="567"/>
        <w:contextualSpacing/>
        <w:jc w:val="both"/>
        <w:rPr>
          <w:color w:val="000000"/>
          <w:sz w:val="28"/>
          <w:szCs w:val="28"/>
        </w:rPr>
      </w:pPr>
      <w:r w:rsidRPr="00287036">
        <w:rPr>
          <w:color w:val="000000"/>
          <w:sz w:val="28"/>
          <w:szCs w:val="28"/>
        </w:rPr>
        <w:t>Державне регулювання не передбачає утворення нового державного органу (або нового структурного підрозділу діючого органу).</w:t>
      </w:r>
    </w:p>
    <w:p w:rsidR="004409B0" w:rsidRPr="00CE59AA" w:rsidRDefault="004409B0" w:rsidP="005A5710">
      <w:pPr>
        <w:spacing w:after="0" w:line="240" w:lineRule="auto"/>
        <w:jc w:val="center"/>
        <w:rPr>
          <w:rFonts w:ascii="Times New Roman" w:hAnsi="Times New Roman"/>
          <w:b/>
          <w:bCs/>
          <w:color w:val="000000"/>
          <w:sz w:val="24"/>
          <w:szCs w:val="24"/>
          <w:lang w:eastAsia="uk-UA"/>
        </w:rPr>
      </w:pPr>
      <w:bookmarkStart w:id="3" w:name="n209"/>
      <w:bookmarkStart w:id="4" w:name="n210"/>
      <w:bookmarkStart w:id="5" w:name="n211"/>
      <w:bookmarkEnd w:id="3"/>
      <w:bookmarkEnd w:id="4"/>
      <w:bookmarkEnd w:id="5"/>
    </w:p>
    <w:p w:rsidR="004409B0" w:rsidRPr="005A5710" w:rsidRDefault="00A62EB1" w:rsidP="00BC6122">
      <w:pPr>
        <w:pStyle w:val="1"/>
        <w:ind w:left="0" w:right="710"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4. </w:t>
      </w:r>
      <w:r w:rsidR="004409B0" w:rsidRPr="005A5710">
        <w:rPr>
          <w:rFonts w:ascii="Times New Roman" w:hAnsi="Times New Roman"/>
          <w:b/>
          <w:color w:val="000000"/>
          <w:sz w:val="28"/>
          <w:szCs w:val="28"/>
          <w:shd w:val="clear" w:color="auto" w:fill="FFFFFF"/>
        </w:rPr>
        <w:t>Розрахунок сумарних витрат суб’єктів малого підприємництва, що виникають на виконання вимог регулювання</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5460"/>
        <w:gridCol w:w="1843"/>
        <w:gridCol w:w="1842"/>
      </w:tblGrid>
      <w:tr w:rsidR="004409B0" w:rsidRPr="0081139B" w:rsidTr="00FF517B">
        <w:trPr>
          <w:trHeight w:val="870"/>
        </w:trPr>
        <w:tc>
          <w:tcPr>
            <w:tcW w:w="460" w:type="dxa"/>
            <w:shd w:val="clear" w:color="auto" w:fill="FFFFFF"/>
          </w:tcPr>
          <w:p w:rsidR="004409B0" w:rsidRPr="0081139B" w:rsidRDefault="004409B0" w:rsidP="0081139B">
            <w:pPr>
              <w:spacing w:after="0" w:line="240" w:lineRule="auto"/>
              <w:rPr>
                <w:rFonts w:ascii="Times New Roman" w:hAnsi="Times New Roman"/>
                <w:b/>
                <w:bCs/>
                <w:color w:val="000000"/>
                <w:lang w:val="uk-UA" w:eastAsia="uk-UA"/>
              </w:rPr>
            </w:pPr>
            <w:r w:rsidRPr="0081139B">
              <w:rPr>
                <w:rFonts w:ascii="Times New Roman" w:hAnsi="Times New Roman"/>
                <w:b/>
                <w:bCs/>
                <w:color w:val="000000"/>
                <w:lang w:val="uk-UA" w:eastAsia="uk-UA"/>
              </w:rPr>
              <w:t>№</w:t>
            </w:r>
          </w:p>
        </w:tc>
        <w:tc>
          <w:tcPr>
            <w:tcW w:w="5460" w:type="dxa"/>
            <w:shd w:val="clear" w:color="auto" w:fill="FFFFFF"/>
          </w:tcPr>
          <w:p w:rsidR="004409B0" w:rsidRPr="0081139B" w:rsidRDefault="004409B0" w:rsidP="0081139B">
            <w:pPr>
              <w:spacing w:after="0" w:line="240" w:lineRule="auto"/>
              <w:jc w:val="center"/>
              <w:rPr>
                <w:rFonts w:ascii="Times New Roman" w:hAnsi="Times New Roman"/>
                <w:b/>
                <w:bCs/>
                <w:color w:val="000000"/>
                <w:lang w:val="uk-UA" w:eastAsia="uk-UA"/>
              </w:rPr>
            </w:pPr>
            <w:r w:rsidRPr="0081139B">
              <w:rPr>
                <w:rFonts w:ascii="Times New Roman" w:hAnsi="Times New Roman"/>
                <w:b/>
                <w:bCs/>
                <w:color w:val="000000"/>
                <w:lang w:val="uk-UA" w:eastAsia="uk-UA"/>
              </w:rPr>
              <w:t>Показник</w:t>
            </w:r>
          </w:p>
        </w:tc>
        <w:tc>
          <w:tcPr>
            <w:tcW w:w="1843" w:type="dxa"/>
            <w:shd w:val="clear" w:color="auto" w:fill="FFFFFF"/>
          </w:tcPr>
          <w:p w:rsidR="004409B0" w:rsidRPr="0081139B" w:rsidRDefault="004409B0" w:rsidP="0081139B">
            <w:pPr>
              <w:spacing w:after="0" w:line="240" w:lineRule="auto"/>
              <w:jc w:val="center"/>
              <w:rPr>
                <w:rFonts w:ascii="Times New Roman" w:hAnsi="Times New Roman"/>
                <w:b/>
                <w:bCs/>
                <w:color w:val="000000"/>
                <w:lang w:val="uk-UA" w:eastAsia="uk-UA"/>
              </w:rPr>
            </w:pPr>
            <w:r w:rsidRPr="0081139B">
              <w:rPr>
                <w:rFonts w:ascii="Times New Roman" w:hAnsi="Times New Roman"/>
                <w:b/>
                <w:bCs/>
                <w:color w:val="000000"/>
                <w:lang w:val="uk-UA" w:eastAsia="uk-UA"/>
              </w:rPr>
              <w:t>Перший рік регулювання (стартовий)</w:t>
            </w:r>
          </w:p>
        </w:tc>
        <w:tc>
          <w:tcPr>
            <w:tcW w:w="1842" w:type="dxa"/>
            <w:shd w:val="clear" w:color="auto" w:fill="FFFFFF"/>
          </w:tcPr>
          <w:p w:rsidR="004409B0" w:rsidRPr="0081139B" w:rsidRDefault="004409B0" w:rsidP="0081139B">
            <w:pPr>
              <w:spacing w:after="0" w:line="240" w:lineRule="auto"/>
              <w:jc w:val="center"/>
              <w:rPr>
                <w:rFonts w:ascii="Times New Roman" w:hAnsi="Times New Roman"/>
                <w:b/>
                <w:bCs/>
                <w:color w:val="000000"/>
                <w:lang w:val="uk-UA" w:eastAsia="uk-UA"/>
              </w:rPr>
            </w:pPr>
            <w:r w:rsidRPr="0081139B">
              <w:rPr>
                <w:rFonts w:ascii="Times New Roman" w:hAnsi="Times New Roman"/>
                <w:b/>
                <w:bCs/>
                <w:color w:val="000000"/>
                <w:lang w:val="uk-UA" w:eastAsia="uk-UA"/>
              </w:rPr>
              <w:t>За п’ять років</w:t>
            </w:r>
          </w:p>
        </w:tc>
      </w:tr>
      <w:tr w:rsidR="004409B0" w:rsidRPr="0081139B" w:rsidTr="00FF517B">
        <w:trPr>
          <w:trHeight w:val="650"/>
        </w:trPr>
        <w:tc>
          <w:tcPr>
            <w:tcW w:w="460" w:type="dxa"/>
            <w:shd w:val="clear" w:color="auto" w:fill="FFFFFF"/>
          </w:tcPr>
          <w:p w:rsidR="004409B0" w:rsidRPr="0081139B" w:rsidRDefault="004409B0" w:rsidP="0081139B">
            <w:pPr>
              <w:spacing w:after="0" w:line="240" w:lineRule="auto"/>
              <w:rPr>
                <w:rFonts w:ascii="Times New Roman" w:hAnsi="Times New Roman"/>
                <w:b/>
                <w:bCs/>
                <w:lang w:val="uk-UA" w:eastAsia="uk-UA"/>
              </w:rPr>
            </w:pPr>
            <w:r w:rsidRPr="0081139B">
              <w:rPr>
                <w:rFonts w:ascii="Times New Roman" w:hAnsi="Times New Roman"/>
                <w:b/>
                <w:bCs/>
                <w:lang w:val="uk-UA" w:eastAsia="uk-UA"/>
              </w:rPr>
              <w:t>1</w:t>
            </w:r>
          </w:p>
        </w:tc>
        <w:tc>
          <w:tcPr>
            <w:tcW w:w="5460" w:type="dxa"/>
            <w:shd w:val="clear" w:color="auto" w:fill="FFFFFF"/>
          </w:tcPr>
          <w:p w:rsidR="004409B0" w:rsidRPr="0081139B" w:rsidRDefault="00BC6122" w:rsidP="0081139B">
            <w:pPr>
              <w:spacing w:after="0" w:line="240" w:lineRule="auto"/>
              <w:rPr>
                <w:rFonts w:ascii="Times New Roman" w:hAnsi="Times New Roman"/>
                <w:color w:val="000000"/>
                <w:lang w:val="uk-UA" w:eastAsia="uk-UA"/>
              </w:rPr>
            </w:pPr>
            <w:r>
              <w:rPr>
                <w:rFonts w:ascii="Times New Roman" w:hAnsi="Times New Roman"/>
                <w:color w:val="000000"/>
                <w:lang w:val="uk-UA" w:eastAsia="uk-UA"/>
              </w:rPr>
              <w:t>Оцінка  «прямих»</w:t>
            </w:r>
            <w:r w:rsidR="004409B0" w:rsidRPr="0081139B">
              <w:rPr>
                <w:rFonts w:ascii="Times New Roman" w:hAnsi="Times New Roman"/>
                <w:color w:val="000000"/>
                <w:lang w:val="uk-UA" w:eastAsia="uk-UA"/>
              </w:rPr>
              <w:t xml:space="preserve"> витрат суб’єктів малого підприємництва на виконання регулювання</w:t>
            </w:r>
          </w:p>
        </w:tc>
        <w:tc>
          <w:tcPr>
            <w:tcW w:w="1843" w:type="dxa"/>
            <w:shd w:val="clear" w:color="auto" w:fill="FFFFFF"/>
          </w:tcPr>
          <w:p w:rsidR="004409B0" w:rsidRPr="0081139B" w:rsidRDefault="004409B0" w:rsidP="0081139B">
            <w:pPr>
              <w:spacing w:after="0" w:line="240" w:lineRule="auto"/>
              <w:jc w:val="center"/>
              <w:rPr>
                <w:rFonts w:ascii="Times New Roman" w:hAnsi="Times New Roman"/>
                <w:color w:val="000000"/>
                <w:lang w:val="uk-UA" w:eastAsia="uk-UA"/>
              </w:rPr>
            </w:pPr>
            <w:r w:rsidRPr="0081139B">
              <w:rPr>
                <w:rFonts w:ascii="Times New Roman" w:hAnsi="Times New Roman"/>
                <w:color w:val="000000"/>
                <w:lang w:val="uk-UA" w:eastAsia="uk-UA"/>
              </w:rPr>
              <w:t>Х</w:t>
            </w:r>
          </w:p>
        </w:tc>
        <w:tc>
          <w:tcPr>
            <w:tcW w:w="1842" w:type="dxa"/>
            <w:shd w:val="clear" w:color="auto" w:fill="FFFFFF"/>
          </w:tcPr>
          <w:p w:rsidR="004409B0" w:rsidRPr="0081139B" w:rsidRDefault="004409B0" w:rsidP="0081139B">
            <w:pPr>
              <w:spacing w:after="0" w:line="240" w:lineRule="auto"/>
              <w:jc w:val="center"/>
              <w:rPr>
                <w:rFonts w:ascii="Times New Roman" w:hAnsi="Times New Roman"/>
                <w:color w:val="000000"/>
                <w:lang w:val="uk-UA" w:eastAsia="uk-UA"/>
              </w:rPr>
            </w:pPr>
            <w:r w:rsidRPr="0081139B">
              <w:rPr>
                <w:rFonts w:ascii="Times New Roman" w:hAnsi="Times New Roman"/>
                <w:color w:val="000000"/>
                <w:lang w:val="uk-UA" w:eastAsia="uk-UA"/>
              </w:rPr>
              <w:t>Х</w:t>
            </w:r>
          </w:p>
        </w:tc>
      </w:tr>
      <w:tr w:rsidR="004409B0" w:rsidRPr="0081139B" w:rsidTr="00FF517B">
        <w:trPr>
          <w:trHeight w:val="827"/>
        </w:trPr>
        <w:tc>
          <w:tcPr>
            <w:tcW w:w="460" w:type="dxa"/>
            <w:shd w:val="clear" w:color="auto" w:fill="FFFFFF"/>
          </w:tcPr>
          <w:p w:rsidR="004409B0" w:rsidRPr="0081139B" w:rsidRDefault="004409B0" w:rsidP="0081139B">
            <w:pPr>
              <w:spacing w:after="0" w:line="240" w:lineRule="auto"/>
              <w:rPr>
                <w:rFonts w:ascii="Times New Roman" w:hAnsi="Times New Roman"/>
                <w:b/>
                <w:bCs/>
                <w:lang w:val="uk-UA" w:eastAsia="uk-UA"/>
              </w:rPr>
            </w:pPr>
            <w:r w:rsidRPr="0081139B">
              <w:rPr>
                <w:rFonts w:ascii="Times New Roman" w:hAnsi="Times New Roman"/>
                <w:b/>
                <w:bCs/>
                <w:lang w:val="uk-UA" w:eastAsia="uk-UA"/>
              </w:rPr>
              <w:t>2</w:t>
            </w:r>
          </w:p>
        </w:tc>
        <w:tc>
          <w:tcPr>
            <w:tcW w:w="5460" w:type="dxa"/>
            <w:shd w:val="clear" w:color="auto" w:fill="FFFFFF"/>
          </w:tcPr>
          <w:p w:rsidR="004409B0" w:rsidRPr="0081139B" w:rsidRDefault="004409B0" w:rsidP="0081139B">
            <w:pPr>
              <w:spacing w:after="0" w:line="240" w:lineRule="auto"/>
              <w:rPr>
                <w:rFonts w:ascii="Times New Roman" w:hAnsi="Times New Roman"/>
                <w:color w:val="000000"/>
                <w:lang w:val="uk-UA" w:eastAsia="uk-UA"/>
              </w:rPr>
            </w:pPr>
            <w:r w:rsidRPr="0081139B">
              <w:rPr>
                <w:rFonts w:ascii="Times New Roman" w:hAnsi="Times New Roman"/>
                <w:color w:val="000000"/>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1843"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149100</w:t>
            </w:r>
            <w:r w:rsidR="005C31B6" w:rsidRPr="00287036">
              <w:rPr>
                <w:rFonts w:ascii="Times New Roman" w:hAnsi="Times New Roman"/>
                <w:b/>
                <w:color w:val="000000"/>
                <w:sz w:val="24"/>
                <w:szCs w:val="24"/>
                <w:lang w:val="uk-UA" w:eastAsia="ru-RU"/>
              </w:rPr>
              <w:t xml:space="preserve"> грн.</w:t>
            </w:r>
          </w:p>
        </w:tc>
        <w:tc>
          <w:tcPr>
            <w:tcW w:w="1842"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596400</w:t>
            </w:r>
            <w:r w:rsidR="005C31B6" w:rsidRPr="00287036">
              <w:rPr>
                <w:rFonts w:ascii="Times New Roman" w:hAnsi="Times New Roman"/>
                <w:b/>
                <w:color w:val="000000"/>
                <w:sz w:val="24"/>
                <w:szCs w:val="24"/>
                <w:lang w:val="uk-UA" w:eastAsia="ru-RU"/>
              </w:rPr>
              <w:t xml:space="preserve"> грн.</w:t>
            </w:r>
          </w:p>
        </w:tc>
      </w:tr>
      <w:tr w:rsidR="004409B0" w:rsidRPr="0081139B" w:rsidTr="00FF517B">
        <w:trPr>
          <w:trHeight w:val="683"/>
        </w:trPr>
        <w:tc>
          <w:tcPr>
            <w:tcW w:w="460" w:type="dxa"/>
            <w:shd w:val="clear" w:color="auto" w:fill="FFFFFF"/>
          </w:tcPr>
          <w:p w:rsidR="004409B0" w:rsidRPr="0081139B" w:rsidRDefault="004409B0" w:rsidP="0081139B">
            <w:pPr>
              <w:spacing w:after="0" w:line="240" w:lineRule="auto"/>
              <w:rPr>
                <w:rFonts w:ascii="Times New Roman" w:hAnsi="Times New Roman"/>
                <w:b/>
                <w:bCs/>
                <w:lang w:val="uk-UA" w:eastAsia="uk-UA"/>
              </w:rPr>
            </w:pPr>
            <w:r w:rsidRPr="0081139B">
              <w:rPr>
                <w:rFonts w:ascii="Times New Roman" w:hAnsi="Times New Roman"/>
                <w:b/>
                <w:bCs/>
                <w:lang w:val="uk-UA" w:eastAsia="uk-UA"/>
              </w:rPr>
              <w:t>3</w:t>
            </w:r>
          </w:p>
        </w:tc>
        <w:tc>
          <w:tcPr>
            <w:tcW w:w="5460" w:type="dxa"/>
            <w:shd w:val="clear" w:color="auto" w:fill="FFFFFF"/>
          </w:tcPr>
          <w:p w:rsidR="004409B0" w:rsidRPr="0081139B" w:rsidRDefault="004409B0" w:rsidP="0081139B">
            <w:pPr>
              <w:spacing w:after="0" w:line="240" w:lineRule="auto"/>
              <w:rPr>
                <w:rFonts w:ascii="Times New Roman" w:hAnsi="Times New Roman"/>
                <w:color w:val="000000"/>
                <w:lang w:val="uk-UA" w:eastAsia="uk-UA"/>
              </w:rPr>
            </w:pPr>
            <w:r w:rsidRPr="0081139B">
              <w:rPr>
                <w:rFonts w:ascii="Times New Roman" w:hAnsi="Times New Roman"/>
                <w:color w:val="000000"/>
                <w:lang w:val="uk-UA" w:eastAsia="uk-UA"/>
              </w:rPr>
              <w:t>Сумарні витрати малого підприємництва на виконання запланованого  регулювання</w:t>
            </w:r>
          </w:p>
        </w:tc>
        <w:tc>
          <w:tcPr>
            <w:tcW w:w="1843"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149100</w:t>
            </w:r>
            <w:r w:rsidR="005C31B6" w:rsidRPr="00287036">
              <w:rPr>
                <w:rFonts w:ascii="Times New Roman" w:hAnsi="Times New Roman"/>
                <w:b/>
                <w:color w:val="000000"/>
                <w:sz w:val="24"/>
                <w:szCs w:val="24"/>
                <w:lang w:val="uk-UA" w:eastAsia="ru-RU"/>
              </w:rPr>
              <w:t xml:space="preserve"> грн.</w:t>
            </w:r>
          </w:p>
        </w:tc>
        <w:tc>
          <w:tcPr>
            <w:tcW w:w="1842"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596400</w:t>
            </w:r>
            <w:r w:rsidR="005C31B6" w:rsidRPr="00287036">
              <w:rPr>
                <w:rFonts w:ascii="Times New Roman" w:hAnsi="Times New Roman"/>
                <w:b/>
                <w:color w:val="000000"/>
                <w:sz w:val="24"/>
                <w:szCs w:val="24"/>
                <w:lang w:val="uk-UA" w:eastAsia="ru-RU"/>
              </w:rPr>
              <w:t xml:space="preserve"> грн.</w:t>
            </w:r>
          </w:p>
        </w:tc>
      </w:tr>
      <w:tr w:rsidR="004409B0" w:rsidRPr="0081139B" w:rsidTr="00FF517B">
        <w:trPr>
          <w:trHeight w:val="566"/>
        </w:trPr>
        <w:tc>
          <w:tcPr>
            <w:tcW w:w="460" w:type="dxa"/>
            <w:shd w:val="clear" w:color="auto" w:fill="FFFFFF"/>
          </w:tcPr>
          <w:p w:rsidR="004409B0" w:rsidRPr="0081139B" w:rsidRDefault="004409B0" w:rsidP="0081139B">
            <w:pPr>
              <w:spacing w:after="0" w:line="240" w:lineRule="auto"/>
              <w:rPr>
                <w:rFonts w:ascii="Times New Roman" w:hAnsi="Times New Roman"/>
                <w:b/>
                <w:bCs/>
                <w:lang w:val="uk-UA" w:eastAsia="uk-UA"/>
              </w:rPr>
            </w:pPr>
            <w:r w:rsidRPr="0081139B">
              <w:rPr>
                <w:rFonts w:ascii="Times New Roman" w:hAnsi="Times New Roman"/>
                <w:b/>
                <w:bCs/>
                <w:lang w:val="uk-UA" w:eastAsia="uk-UA"/>
              </w:rPr>
              <w:t>4</w:t>
            </w:r>
          </w:p>
        </w:tc>
        <w:tc>
          <w:tcPr>
            <w:tcW w:w="5460" w:type="dxa"/>
            <w:shd w:val="clear" w:color="auto" w:fill="FFFFFF"/>
          </w:tcPr>
          <w:p w:rsidR="004409B0" w:rsidRPr="0081139B" w:rsidRDefault="004409B0" w:rsidP="0081139B">
            <w:pPr>
              <w:spacing w:after="0" w:line="240" w:lineRule="auto"/>
              <w:rPr>
                <w:rFonts w:ascii="Times New Roman" w:hAnsi="Times New Roman"/>
                <w:color w:val="000000"/>
                <w:lang w:val="uk-UA" w:eastAsia="uk-UA"/>
              </w:rPr>
            </w:pPr>
            <w:r w:rsidRPr="0081139B">
              <w:rPr>
                <w:rFonts w:ascii="Times New Roman" w:hAnsi="Times New Roman"/>
                <w:color w:val="000000"/>
                <w:lang w:val="uk-UA" w:eastAsia="uk-UA"/>
              </w:rPr>
              <w:t>Бюджетні витрати  на адміністрування регулювання суб’єктів малого підприємництва</w:t>
            </w:r>
          </w:p>
        </w:tc>
        <w:tc>
          <w:tcPr>
            <w:tcW w:w="1843" w:type="dxa"/>
            <w:shd w:val="clear" w:color="auto" w:fill="FFFFFF"/>
          </w:tcPr>
          <w:p w:rsidR="004409B0" w:rsidRPr="00287036" w:rsidRDefault="005C31B6" w:rsidP="0081139B">
            <w:pPr>
              <w:spacing w:after="0" w:line="240" w:lineRule="auto"/>
              <w:jc w:val="center"/>
              <w:rPr>
                <w:rFonts w:ascii="Times New Roman" w:hAnsi="Times New Roman"/>
                <w:b/>
                <w:color w:val="000000"/>
                <w:lang w:val="uk-UA" w:eastAsia="uk-UA"/>
              </w:rPr>
            </w:pPr>
            <w:r w:rsidRPr="008763D5">
              <w:rPr>
                <w:rFonts w:ascii="Times New Roman" w:hAnsi="Times New Roman"/>
                <w:b/>
                <w:sz w:val="24"/>
                <w:szCs w:val="24"/>
                <w:lang w:val="uk-UA" w:eastAsia="ru-RU"/>
              </w:rPr>
              <w:t>0,00 грн.</w:t>
            </w:r>
          </w:p>
        </w:tc>
        <w:tc>
          <w:tcPr>
            <w:tcW w:w="1842" w:type="dxa"/>
            <w:shd w:val="clear" w:color="auto" w:fill="FFFFFF"/>
          </w:tcPr>
          <w:p w:rsidR="004409B0" w:rsidRPr="00287036" w:rsidRDefault="005C31B6" w:rsidP="0081139B">
            <w:pPr>
              <w:spacing w:after="0" w:line="240" w:lineRule="auto"/>
              <w:jc w:val="center"/>
              <w:rPr>
                <w:rFonts w:ascii="Times New Roman" w:hAnsi="Times New Roman"/>
                <w:b/>
                <w:color w:val="000000"/>
                <w:lang w:val="uk-UA" w:eastAsia="uk-UA"/>
              </w:rPr>
            </w:pPr>
            <w:r w:rsidRPr="008763D5">
              <w:rPr>
                <w:rFonts w:ascii="Times New Roman" w:hAnsi="Times New Roman"/>
                <w:b/>
                <w:sz w:val="24"/>
                <w:szCs w:val="24"/>
                <w:lang w:val="uk-UA" w:eastAsia="ru-RU"/>
              </w:rPr>
              <w:t>0,00 грн.</w:t>
            </w:r>
          </w:p>
        </w:tc>
      </w:tr>
      <w:tr w:rsidR="004409B0" w:rsidRPr="0081139B" w:rsidTr="00FF517B">
        <w:trPr>
          <w:trHeight w:val="546"/>
        </w:trPr>
        <w:tc>
          <w:tcPr>
            <w:tcW w:w="460" w:type="dxa"/>
            <w:shd w:val="clear" w:color="auto" w:fill="FFFFFF"/>
          </w:tcPr>
          <w:p w:rsidR="004409B0" w:rsidRPr="0081139B" w:rsidRDefault="004409B0" w:rsidP="0081139B">
            <w:pPr>
              <w:spacing w:after="0" w:line="240" w:lineRule="auto"/>
              <w:rPr>
                <w:rFonts w:ascii="Times New Roman" w:hAnsi="Times New Roman"/>
                <w:b/>
                <w:bCs/>
                <w:lang w:val="uk-UA" w:eastAsia="uk-UA"/>
              </w:rPr>
            </w:pPr>
            <w:r w:rsidRPr="0081139B">
              <w:rPr>
                <w:rFonts w:ascii="Times New Roman" w:hAnsi="Times New Roman"/>
                <w:b/>
                <w:bCs/>
                <w:lang w:val="uk-UA" w:eastAsia="uk-UA"/>
              </w:rPr>
              <w:t>5</w:t>
            </w:r>
          </w:p>
        </w:tc>
        <w:tc>
          <w:tcPr>
            <w:tcW w:w="5460" w:type="dxa"/>
            <w:shd w:val="clear" w:color="auto" w:fill="FFFFFF"/>
          </w:tcPr>
          <w:p w:rsidR="004409B0" w:rsidRPr="0081139B" w:rsidRDefault="004409B0" w:rsidP="0081139B">
            <w:pPr>
              <w:spacing w:after="0" w:line="240" w:lineRule="auto"/>
              <w:rPr>
                <w:rFonts w:ascii="Times New Roman" w:hAnsi="Times New Roman"/>
                <w:color w:val="000000"/>
                <w:lang w:val="uk-UA" w:eastAsia="uk-UA"/>
              </w:rPr>
            </w:pPr>
            <w:r w:rsidRPr="0081139B">
              <w:rPr>
                <w:rFonts w:ascii="Times New Roman" w:hAnsi="Times New Roman"/>
                <w:color w:val="000000"/>
                <w:lang w:val="uk-UA" w:eastAsia="uk-UA"/>
              </w:rPr>
              <w:t>Сумарні витрати на виконання запланованого регулювання</w:t>
            </w:r>
          </w:p>
        </w:tc>
        <w:tc>
          <w:tcPr>
            <w:tcW w:w="1843"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149100</w:t>
            </w:r>
            <w:r w:rsidR="005C31B6" w:rsidRPr="00287036">
              <w:rPr>
                <w:rFonts w:ascii="Times New Roman" w:hAnsi="Times New Roman"/>
                <w:b/>
                <w:color w:val="000000"/>
                <w:sz w:val="24"/>
                <w:szCs w:val="24"/>
                <w:lang w:val="uk-UA" w:eastAsia="ru-RU"/>
              </w:rPr>
              <w:t xml:space="preserve"> грн.</w:t>
            </w:r>
          </w:p>
        </w:tc>
        <w:tc>
          <w:tcPr>
            <w:tcW w:w="1842" w:type="dxa"/>
            <w:shd w:val="clear" w:color="auto" w:fill="FFFFFF"/>
          </w:tcPr>
          <w:p w:rsidR="004409B0" w:rsidRPr="00287036" w:rsidRDefault="00663726" w:rsidP="0081139B">
            <w:pPr>
              <w:spacing w:after="0" w:line="240" w:lineRule="auto"/>
              <w:jc w:val="center"/>
              <w:rPr>
                <w:rFonts w:ascii="Times New Roman" w:hAnsi="Times New Roman"/>
                <w:b/>
                <w:color w:val="000000"/>
                <w:lang w:val="uk-UA" w:eastAsia="uk-UA"/>
              </w:rPr>
            </w:pPr>
            <w:r>
              <w:rPr>
                <w:rFonts w:ascii="Times New Roman" w:hAnsi="Times New Roman"/>
                <w:b/>
                <w:color w:val="000000"/>
                <w:sz w:val="24"/>
                <w:szCs w:val="24"/>
                <w:lang w:val="uk-UA" w:eastAsia="ru-RU"/>
              </w:rPr>
              <w:t>596400</w:t>
            </w:r>
            <w:r w:rsidR="005C31B6" w:rsidRPr="00287036">
              <w:rPr>
                <w:rFonts w:ascii="Times New Roman" w:hAnsi="Times New Roman"/>
                <w:b/>
                <w:color w:val="000000"/>
                <w:sz w:val="24"/>
                <w:szCs w:val="24"/>
                <w:lang w:val="uk-UA" w:eastAsia="ru-RU"/>
              </w:rPr>
              <w:t xml:space="preserve"> грн.</w:t>
            </w:r>
          </w:p>
        </w:tc>
      </w:tr>
    </w:tbl>
    <w:p w:rsidR="004409B0" w:rsidRPr="001D5B7D" w:rsidRDefault="004409B0" w:rsidP="001D5B7D">
      <w:pPr>
        <w:rPr>
          <w:rFonts w:ascii="Times New Roman" w:hAnsi="Times New Roman"/>
          <w:b/>
          <w:color w:val="000000"/>
          <w:sz w:val="28"/>
          <w:szCs w:val="28"/>
          <w:shd w:val="clear" w:color="auto" w:fill="FFFFFF"/>
          <w:lang w:val="uk-UA"/>
        </w:rPr>
      </w:pPr>
    </w:p>
    <w:p w:rsidR="004409B0" w:rsidRDefault="004409B0" w:rsidP="00BC6122">
      <w:pPr>
        <w:pStyle w:val="1"/>
        <w:numPr>
          <w:ilvl w:val="0"/>
          <w:numId w:val="14"/>
        </w:numPr>
        <w:ind w:left="0" w:firstLine="567"/>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Розроблення</w:t>
      </w:r>
      <w:r w:rsidR="00CE436E">
        <w:rPr>
          <w:rFonts w:ascii="Times New Roman" w:hAnsi="Times New Roman"/>
          <w:b/>
          <w:color w:val="000000"/>
          <w:sz w:val="28"/>
          <w:szCs w:val="28"/>
          <w:shd w:val="clear" w:color="auto" w:fill="FFFFFF"/>
        </w:rPr>
        <w:t xml:space="preserve"> </w:t>
      </w:r>
      <w:r w:rsidR="002B4BE2" w:rsidRPr="007A4AD9">
        <w:rPr>
          <w:rFonts w:ascii="Times New Roman" w:hAnsi="Times New Roman"/>
          <w:b/>
          <w:color w:val="000000"/>
          <w:sz w:val="28"/>
          <w:szCs w:val="28"/>
          <w:shd w:val="clear" w:color="auto" w:fill="FFFFFF"/>
        </w:rPr>
        <w:t>коригуючи</w:t>
      </w:r>
      <w:r w:rsidR="002B4BE2">
        <w:rPr>
          <w:rFonts w:ascii="Times New Roman" w:hAnsi="Times New Roman"/>
          <w:b/>
          <w:color w:val="000000"/>
          <w:sz w:val="28"/>
          <w:szCs w:val="28"/>
          <w:shd w:val="clear" w:color="auto" w:fill="FFFFFF"/>
        </w:rPr>
        <w:t>х</w:t>
      </w:r>
      <w:r>
        <w:rPr>
          <w:rFonts w:ascii="Times New Roman" w:hAnsi="Times New Roman"/>
          <w:b/>
          <w:color w:val="000000"/>
          <w:sz w:val="28"/>
          <w:szCs w:val="28"/>
          <w:shd w:val="clear" w:color="auto" w:fill="FFFFFF"/>
        </w:rPr>
        <w:t xml:space="preserve"> (пом’якшувальних) заходів</w:t>
      </w:r>
      <w:r w:rsidRPr="007A4AD9">
        <w:rPr>
          <w:rFonts w:ascii="Times New Roman" w:hAnsi="Times New Roman"/>
          <w:b/>
          <w:color w:val="000000"/>
          <w:sz w:val="28"/>
          <w:szCs w:val="28"/>
          <w:shd w:val="clear" w:color="auto" w:fill="FFFFFF"/>
        </w:rPr>
        <w:t xml:space="preserve"> для малого підприємництва щодо запропонованого регулювання</w:t>
      </w:r>
    </w:p>
    <w:p w:rsidR="004409B0" w:rsidRDefault="005C31B6" w:rsidP="00287036">
      <w:pPr>
        <w:spacing w:line="240" w:lineRule="atLeast"/>
        <w:ind w:firstLine="709"/>
        <w:contextualSpacing/>
        <w:jc w:val="both"/>
        <w:rPr>
          <w:rFonts w:ascii="Times New Roman" w:hAnsi="Times New Roman"/>
          <w:color w:val="000000"/>
          <w:sz w:val="28"/>
          <w:szCs w:val="28"/>
          <w:lang w:val="uk-UA" w:eastAsia="ru-RU"/>
        </w:rPr>
      </w:pPr>
      <w:r w:rsidRPr="005C31B6">
        <w:rPr>
          <w:rFonts w:ascii="Times New Roman" w:hAnsi="Times New Roman"/>
          <w:color w:val="000000"/>
          <w:sz w:val="28"/>
          <w:szCs w:val="28"/>
          <w:lang w:val="uk-UA" w:eastAsia="ru-RU"/>
        </w:rPr>
        <w:t>Не передбачаєт</w:t>
      </w:r>
      <w:r w:rsidR="00BC6122">
        <w:rPr>
          <w:rFonts w:ascii="Times New Roman" w:hAnsi="Times New Roman"/>
          <w:color w:val="000000"/>
          <w:sz w:val="28"/>
          <w:szCs w:val="28"/>
          <w:lang w:val="uk-UA" w:eastAsia="ru-RU"/>
        </w:rPr>
        <w:t>ься розроблення коригуючих (пом</w:t>
      </w:r>
      <w:r w:rsidR="00BC6122" w:rsidRPr="005C31B6">
        <w:rPr>
          <w:rFonts w:ascii="Times New Roman" w:hAnsi="Times New Roman"/>
          <w:color w:val="000000"/>
          <w:sz w:val="28"/>
          <w:szCs w:val="28"/>
          <w:lang w:val="uk-UA" w:eastAsia="ru-RU"/>
        </w:rPr>
        <w:t>’якшувальних</w:t>
      </w:r>
      <w:r w:rsidRPr="005C31B6">
        <w:rPr>
          <w:rFonts w:ascii="Times New Roman" w:hAnsi="Times New Roman"/>
          <w:color w:val="000000"/>
          <w:sz w:val="28"/>
          <w:szCs w:val="28"/>
          <w:lang w:val="uk-UA" w:eastAsia="ru-RU"/>
        </w:rPr>
        <w:t>) заходів.</w:t>
      </w:r>
    </w:p>
    <w:sectPr w:rsidR="004409B0" w:rsidSect="00287036">
      <w:headerReference w:type="default" r:id="rId10"/>
      <w:pgSz w:w="11906" w:h="16838"/>
      <w:pgMar w:top="1418" w:right="566"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7A" w:rsidRDefault="007B547A" w:rsidP="003D20ED">
      <w:pPr>
        <w:spacing w:after="0" w:line="240" w:lineRule="auto"/>
      </w:pPr>
      <w:r>
        <w:separator/>
      </w:r>
    </w:p>
  </w:endnote>
  <w:endnote w:type="continuationSeparator" w:id="0">
    <w:p w:rsidR="007B547A" w:rsidRDefault="007B547A" w:rsidP="003D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7A" w:rsidRDefault="007B547A" w:rsidP="003D20ED">
      <w:pPr>
        <w:spacing w:after="0" w:line="240" w:lineRule="auto"/>
      </w:pPr>
      <w:r>
        <w:separator/>
      </w:r>
    </w:p>
  </w:footnote>
  <w:footnote w:type="continuationSeparator" w:id="0">
    <w:p w:rsidR="007B547A" w:rsidRDefault="007B547A" w:rsidP="003D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B0" w:rsidRPr="003D20ED" w:rsidRDefault="00494DF2">
    <w:pPr>
      <w:pStyle w:val="a4"/>
      <w:jc w:val="center"/>
      <w:rPr>
        <w:rFonts w:ascii="Times New Roman" w:hAnsi="Times New Roman"/>
        <w:sz w:val="28"/>
        <w:szCs w:val="28"/>
      </w:rPr>
    </w:pPr>
    <w:r w:rsidRPr="003D20ED">
      <w:rPr>
        <w:rFonts w:ascii="Times New Roman" w:hAnsi="Times New Roman"/>
        <w:sz w:val="28"/>
        <w:szCs w:val="28"/>
      </w:rPr>
      <w:fldChar w:fldCharType="begin"/>
    </w:r>
    <w:r w:rsidR="004409B0" w:rsidRPr="003D20ED">
      <w:rPr>
        <w:rFonts w:ascii="Times New Roman" w:hAnsi="Times New Roman"/>
        <w:sz w:val="28"/>
        <w:szCs w:val="28"/>
      </w:rPr>
      <w:instrText xml:space="preserve"> PAGE   \* MERGEFORMAT </w:instrText>
    </w:r>
    <w:r w:rsidRPr="003D20ED">
      <w:rPr>
        <w:rFonts w:ascii="Times New Roman" w:hAnsi="Times New Roman"/>
        <w:sz w:val="28"/>
        <w:szCs w:val="28"/>
      </w:rPr>
      <w:fldChar w:fldCharType="separate"/>
    </w:r>
    <w:r w:rsidR="00333584">
      <w:rPr>
        <w:rFonts w:ascii="Times New Roman" w:hAnsi="Times New Roman"/>
        <w:noProof/>
        <w:sz w:val="28"/>
        <w:szCs w:val="28"/>
      </w:rPr>
      <w:t>6</w:t>
    </w:r>
    <w:r w:rsidRPr="003D20ED">
      <w:rPr>
        <w:rFonts w:ascii="Times New Roman" w:hAnsi="Times New Roman"/>
        <w:sz w:val="28"/>
        <w:szCs w:val="28"/>
      </w:rPr>
      <w:fldChar w:fldCharType="end"/>
    </w:r>
  </w:p>
  <w:p w:rsidR="004409B0" w:rsidRDefault="004409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80C"/>
    <w:multiLevelType w:val="hybridMultilevel"/>
    <w:tmpl w:val="6780123E"/>
    <w:lvl w:ilvl="0" w:tplc="A5FAEEF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CF23CD"/>
    <w:multiLevelType w:val="hybridMultilevel"/>
    <w:tmpl w:val="90AA6CD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BF6BDC"/>
    <w:multiLevelType w:val="hybridMultilevel"/>
    <w:tmpl w:val="2BB6614A"/>
    <w:lvl w:ilvl="0" w:tplc="F7587424">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8674F40"/>
    <w:multiLevelType w:val="hybridMultilevel"/>
    <w:tmpl w:val="0154328E"/>
    <w:lvl w:ilvl="0" w:tplc="5BF8A810">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3774F26"/>
    <w:multiLevelType w:val="hybridMultilevel"/>
    <w:tmpl w:val="6F3AA658"/>
    <w:lvl w:ilvl="0" w:tplc="EB48BED4">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B62B24"/>
    <w:multiLevelType w:val="hybridMultilevel"/>
    <w:tmpl w:val="58647804"/>
    <w:lvl w:ilvl="0" w:tplc="1D521C1A">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EE708A1"/>
    <w:multiLevelType w:val="hybridMultilevel"/>
    <w:tmpl w:val="79EE1524"/>
    <w:lvl w:ilvl="0" w:tplc="EA4CF38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6CF6654"/>
    <w:multiLevelType w:val="multilevel"/>
    <w:tmpl w:val="19CCF37C"/>
    <w:lvl w:ilvl="0">
      <w:start w:val="1"/>
      <w:numFmt w:val="decimal"/>
      <w:lvlText w:val="%1."/>
      <w:lvlJc w:val="left"/>
      <w:pPr>
        <w:ind w:left="461"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037" w:hanging="720"/>
      </w:pPr>
      <w:rPr>
        <w:rFonts w:hint="default"/>
      </w:rPr>
    </w:lvl>
    <w:lvl w:ilvl="3">
      <w:start w:val="1"/>
      <w:numFmt w:val="decimal"/>
      <w:isLgl/>
      <w:lvlText w:val="%1.%2.%3.%4."/>
      <w:lvlJc w:val="left"/>
      <w:pPr>
        <w:ind w:left="3005" w:hanging="1080"/>
      </w:pPr>
      <w:rPr>
        <w:rFonts w:hint="default"/>
      </w:rPr>
    </w:lvl>
    <w:lvl w:ilvl="4">
      <w:start w:val="1"/>
      <w:numFmt w:val="decimal"/>
      <w:isLgl/>
      <w:lvlText w:val="%1.%2.%3.%4.%5."/>
      <w:lvlJc w:val="left"/>
      <w:pPr>
        <w:ind w:left="3613" w:hanging="1080"/>
      </w:pPr>
      <w:rPr>
        <w:rFonts w:hint="default"/>
      </w:rPr>
    </w:lvl>
    <w:lvl w:ilvl="5">
      <w:start w:val="1"/>
      <w:numFmt w:val="decimal"/>
      <w:isLgl/>
      <w:lvlText w:val="%1.%2.%3.%4.%5.%6."/>
      <w:lvlJc w:val="left"/>
      <w:pPr>
        <w:ind w:left="4581" w:hanging="1440"/>
      </w:pPr>
      <w:rPr>
        <w:rFonts w:hint="default"/>
      </w:rPr>
    </w:lvl>
    <w:lvl w:ilvl="6">
      <w:start w:val="1"/>
      <w:numFmt w:val="decimal"/>
      <w:isLgl/>
      <w:lvlText w:val="%1.%2.%3.%4.%5.%6.%7."/>
      <w:lvlJc w:val="left"/>
      <w:pPr>
        <w:ind w:left="5549" w:hanging="1800"/>
      </w:pPr>
      <w:rPr>
        <w:rFonts w:hint="default"/>
      </w:rPr>
    </w:lvl>
    <w:lvl w:ilvl="7">
      <w:start w:val="1"/>
      <w:numFmt w:val="decimal"/>
      <w:isLgl/>
      <w:lvlText w:val="%1.%2.%3.%4.%5.%6.%7.%8."/>
      <w:lvlJc w:val="left"/>
      <w:pPr>
        <w:ind w:left="6157" w:hanging="1800"/>
      </w:pPr>
      <w:rPr>
        <w:rFonts w:hint="default"/>
      </w:rPr>
    </w:lvl>
    <w:lvl w:ilvl="8">
      <w:start w:val="1"/>
      <w:numFmt w:val="decimal"/>
      <w:isLgl/>
      <w:lvlText w:val="%1.%2.%3.%4.%5.%6.%7.%8.%9."/>
      <w:lvlJc w:val="left"/>
      <w:pPr>
        <w:ind w:left="7125" w:hanging="2160"/>
      </w:pPr>
      <w:rPr>
        <w:rFonts w:hint="default"/>
      </w:rPr>
    </w:lvl>
  </w:abstractNum>
  <w:abstractNum w:abstractNumId="9" w15:restartNumberingAfterBreak="0">
    <w:nsid w:val="74F93FBD"/>
    <w:multiLevelType w:val="hybridMultilevel"/>
    <w:tmpl w:val="E46A78B2"/>
    <w:lvl w:ilvl="0" w:tplc="C32E6A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54E00A3"/>
    <w:multiLevelType w:val="hybridMultilevel"/>
    <w:tmpl w:val="82A8D04C"/>
    <w:lvl w:ilvl="0" w:tplc="6FDA5B7E">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787F7669"/>
    <w:multiLevelType w:val="hybridMultilevel"/>
    <w:tmpl w:val="3B9416B8"/>
    <w:lvl w:ilvl="0" w:tplc="4C0E141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8F52CE8"/>
    <w:multiLevelType w:val="hybridMultilevel"/>
    <w:tmpl w:val="7A4C2E32"/>
    <w:lvl w:ilvl="0" w:tplc="7AFEFD0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A502BDE"/>
    <w:multiLevelType w:val="hybridMultilevel"/>
    <w:tmpl w:val="D382C6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5"/>
  </w:num>
  <w:num w:numId="4">
    <w:abstractNumId w:val="7"/>
  </w:num>
  <w:num w:numId="5">
    <w:abstractNumId w:val="12"/>
  </w:num>
  <w:num w:numId="6">
    <w:abstractNumId w:val="0"/>
  </w:num>
  <w:num w:numId="7">
    <w:abstractNumId w:val="9"/>
  </w:num>
  <w:num w:numId="8">
    <w:abstractNumId w:val="6"/>
  </w:num>
  <w:num w:numId="9">
    <w:abstractNumId w:val="8"/>
  </w:num>
  <w:num w:numId="10">
    <w:abstractNumId w:val="2"/>
  </w:num>
  <w:num w:numId="11">
    <w:abstractNumId w:val="11"/>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10"/>
    <w:rsid w:val="0005279E"/>
    <w:rsid w:val="00091FB9"/>
    <w:rsid w:val="000A3805"/>
    <w:rsid w:val="000D0D44"/>
    <w:rsid w:val="000D2511"/>
    <w:rsid w:val="000F42AA"/>
    <w:rsid w:val="00114D0A"/>
    <w:rsid w:val="00160A21"/>
    <w:rsid w:val="00192AE4"/>
    <w:rsid w:val="001B1D10"/>
    <w:rsid w:val="001D5B7D"/>
    <w:rsid w:val="001E44D0"/>
    <w:rsid w:val="00200715"/>
    <w:rsid w:val="00201A50"/>
    <w:rsid w:val="00271240"/>
    <w:rsid w:val="00277DF7"/>
    <w:rsid w:val="00287036"/>
    <w:rsid w:val="002A53AA"/>
    <w:rsid w:val="002B4BE2"/>
    <w:rsid w:val="0032081C"/>
    <w:rsid w:val="003237E9"/>
    <w:rsid w:val="00333584"/>
    <w:rsid w:val="003610EC"/>
    <w:rsid w:val="003D20ED"/>
    <w:rsid w:val="00416652"/>
    <w:rsid w:val="004409B0"/>
    <w:rsid w:val="00476F29"/>
    <w:rsid w:val="00494DF2"/>
    <w:rsid w:val="004A7EDA"/>
    <w:rsid w:val="004E20C1"/>
    <w:rsid w:val="00514E33"/>
    <w:rsid w:val="005920DD"/>
    <w:rsid w:val="005A5710"/>
    <w:rsid w:val="005B28CA"/>
    <w:rsid w:val="005C31B6"/>
    <w:rsid w:val="00615510"/>
    <w:rsid w:val="00663726"/>
    <w:rsid w:val="006A0434"/>
    <w:rsid w:val="006A54C3"/>
    <w:rsid w:val="006A5943"/>
    <w:rsid w:val="006C3938"/>
    <w:rsid w:val="006F69A2"/>
    <w:rsid w:val="00701A7D"/>
    <w:rsid w:val="007344AB"/>
    <w:rsid w:val="00737B7B"/>
    <w:rsid w:val="007556A0"/>
    <w:rsid w:val="007845BB"/>
    <w:rsid w:val="00791D98"/>
    <w:rsid w:val="007A4082"/>
    <w:rsid w:val="007A4AD9"/>
    <w:rsid w:val="007B547A"/>
    <w:rsid w:val="007C1C03"/>
    <w:rsid w:val="007D3694"/>
    <w:rsid w:val="00807E6C"/>
    <w:rsid w:val="0081139B"/>
    <w:rsid w:val="0081177F"/>
    <w:rsid w:val="00821E57"/>
    <w:rsid w:val="00832752"/>
    <w:rsid w:val="00843BB0"/>
    <w:rsid w:val="00847405"/>
    <w:rsid w:val="00865C96"/>
    <w:rsid w:val="00865D79"/>
    <w:rsid w:val="00910238"/>
    <w:rsid w:val="00917D3D"/>
    <w:rsid w:val="00993A97"/>
    <w:rsid w:val="009F5381"/>
    <w:rsid w:val="00A0517D"/>
    <w:rsid w:val="00A35330"/>
    <w:rsid w:val="00A47B94"/>
    <w:rsid w:val="00A505B7"/>
    <w:rsid w:val="00A550B9"/>
    <w:rsid w:val="00A62EB1"/>
    <w:rsid w:val="00A673E9"/>
    <w:rsid w:val="00A93E19"/>
    <w:rsid w:val="00AC7D64"/>
    <w:rsid w:val="00B1614C"/>
    <w:rsid w:val="00B33B24"/>
    <w:rsid w:val="00B57E9C"/>
    <w:rsid w:val="00B7285A"/>
    <w:rsid w:val="00B80BAD"/>
    <w:rsid w:val="00B91C4B"/>
    <w:rsid w:val="00BA02A0"/>
    <w:rsid w:val="00BB71F3"/>
    <w:rsid w:val="00BC3588"/>
    <w:rsid w:val="00BC40AC"/>
    <w:rsid w:val="00BC6122"/>
    <w:rsid w:val="00BC6730"/>
    <w:rsid w:val="00C17A63"/>
    <w:rsid w:val="00C85948"/>
    <w:rsid w:val="00CB017C"/>
    <w:rsid w:val="00CC3303"/>
    <w:rsid w:val="00CE436E"/>
    <w:rsid w:val="00CE59AA"/>
    <w:rsid w:val="00CF02A3"/>
    <w:rsid w:val="00E04F04"/>
    <w:rsid w:val="00E51976"/>
    <w:rsid w:val="00ED144C"/>
    <w:rsid w:val="00ED5FB8"/>
    <w:rsid w:val="00ED6FA0"/>
    <w:rsid w:val="00F05295"/>
    <w:rsid w:val="00F70AA0"/>
    <w:rsid w:val="00F87E24"/>
    <w:rsid w:val="00FB123A"/>
    <w:rsid w:val="00FC52E9"/>
    <w:rsid w:val="00FF5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21604"/>
  <w15:docId w15:val="{159DC466-DE17-4ABF-B691-1C470527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C96"/>
    <w:pPr>
      <w:spacing w:after="200" w:line="276"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1551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15">
    <w:name w:val="rvts15"/>
    <w:basedOn w:val="a0"/>
    <w:rsid w:val="00615510"/>
    <w:rPr>
      <w:rFonts w:cs="Times New Roman"/>
    </w:rPr>
  </w:style>
  <w:style w:type="character" w:customStyle="1" w:styleId="apple-converted-space">
    <w:name w:val="apple-converted-space"/>
    <w:basedOn w:val="a0"/>
    <w:rsid w:val="00615510"/>
    <w:rPr>
      <w:rFonts w:cs="Times New Roman"/>
    </w:rPr>
  </w:style>
  <w:style w:type="paragraph" w:customStyle="1" w:styleId="rvps2">
    <w:name w:val="rvps2"/>
    <w:basedOn w:val="a"/>
    <w:rsid w:val="00615510"/>
    <w:pPr>
      <w:spacing w:before="100" w:beforeAutospacing="1" w:after="100" w:afterAutospacing="1" w:line="240" w:lineRule="auto"/>
    </w:pPr>
    <w:rPr>
      <w:rFonts w:ascii="Times New Roman" w:eastAsia="Calibri" w:hAnsi="Times New Roman"/>
      <w:sz w:val="24"/>
      <w:szCs w:val="24"/>
      <w:lang w:eastAsia="ru-RU"/>
    </w:rPr>
  </w:style>
  <w:style w:type="table" w:styleId="a3">
    <w:name w:val="Table Grid"/>
    <w:basedOn w:val="a1"/>
    <w:rsid w:val="009F538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rsid w:val="000D0D44"/>
    <w:rPr>
      <w:rFonts w:eastAsia="Times New Roman"/>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
    <w:name w:val="Абзац списка1"/>
    <w:basedOn w:val="a"/>
    <w:rsid w:val="005A5710"/>
    <w:pPr>
      <w:ind w:left="720"/>
      <w:contextualSpacing/>
    </w:pPr>
    <w:rPr>
      <w:lang w:val="uk-UA"/>
    </w:rPr>
  </w:style>
  <w:style w:type="paragraph" w:customStyle="1" w:styleId="rvps3">
    <w:name w:val="rvps3"/>
    <w:basedOn w:val="a"/>
    <w:rsid w:val="005A5710"/>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rvts82">
    <w:name w:val="rvts82"/>
    <w:basedOn w:val="a0"/>
    <w:rsid w:val="005A5710"/>
    <w:rPr>
      <w:rFonts w:cs="Times New Roman"/>
    </w:rPr>
  </w:style>
  <w:style w:type="paragraph" w:styleId="a4">
    <w:name w:val="header"/>
    <w:basedOn w:val="a"/>
    <w:link w:val="a5"/>
    <w:rsid w:val="003D20ED"/>
    <w:pPr>
      <w:tabs>
        <w:tab w:val="center" w:pos="4677"/>
        <w:tab w:val="right" w:pos="9355"/>
      </w:tabs>
      <w:spacing w:after="0" w:line="240" w:lineRule="auto"/>
    </w:pPr>
  </w:style>
  <w:style w:type="character" w:customStyle="1" w:styleId="a5">
    <w:name w:val="Верхний колонтитул Знак"/>
    <w:basedOn w:val="a0"/>
    <w:link w:val="a4"/>
    <w:locked/>
    <w:rsid w:val="003D20ED"/>
    <w:rPr>
      <w:rFonts w:cs="Times New Roman"/>
    </w:rPr>
  </w:style>
  <w:style w:type="paragraph" w:styleId="a6">
    <w:name w:val="footer"/>
    <w:basedOn w:val="a"/>
    <w:link w:val="a7"/>
    <w:semiHidden/>
    <w:rsid w:val="003D20ED"/>
    <w:pPr>
      <w:tabs>
        <w:tab w:val="center" w:pos="4677"/>
        <w:tab w:val="right" w:pos="9355"/>
      </w:tabs>
      <w:spacing w:after="0" w:line="240" w:lineRule="auto"/>
    </w:pPr>
  </w:style>
  <w:style w:type="character" w:customStyle="1" w:styleId="a7">
    <w:name w:val="Нижний колонтитул Знак"/>
    <w:basedOn w:val="a0"/>
    <w:link w:val="a6"/>
    <w:semiHidden/>
    <w:locked/>
    <w:rsid w:val="003D20ED"/>
    <w:rPr>
      <w:rFonts w:cs="Times New Roman"/>
    </w:rPr>
  </w:style>
  <w:style w:type="paragraph" w:styleId="HTML">
    <w:name w:val="HTML Preformatted"/>
    <w:basedOn w:val="a"/>
    <w:link w:val="HTML0"/>
    <w:semiHidden/>
    <w:rsid w:val="0099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locked/>
    <w:rsid w:val="00993A97"/>
    <w:rPr>
      <w:rFonts w:ascii="Courier New" w:hAnsi="Courier New" w:cs="Courier New"/>
      <w:sz w:val="20"/>
      <w:szCs w:val="20"/>
      <w:lang w:val="x-none" w:eastAsia="ru-RU"/>
    </w:rPr>
  </w:style>
  <w:style w:type="paragraph" w:styleId="a8">
    <w:name w:val="List Paragraph"/>
    <w:basedOn w:val="a"/>
    <w:uiPriority w:val="34"/>
    <w:qFormat/>
    <w:rsid w:val="00CB017C"/>
    <w:pPr>
      <w:ind w:left="720"/>
      <w:contextualSpacing/>
    </w:pPr>
  </w:style>
  <w:style w:type="paragraph" w:styleId="a9">
    <w:name w:val="Balloon Text"/>
    <w:basedOn w:val="a"/>
    <w:link w:val="aa"/>
    <w:rsid w:val="00287036"/>
    <w:pPr>
      <w:spacing w:after="0" w:line="240" w:lineRule="auto"/>
    </w:pPr>
    <w:rPr>
      <w:rFonts w:ascii="Segoe UI" w:hAnsi="Segoe UI" w:cs="Segoe UI"/>
      <w:sz w:val="18"/>
      <w:szCs w:val="18"/>
    </w:rPr>
  </w:style>
  <w:style w:type="character" w:customStyle="1" w:styleId="aa">
    <w:name w:val="Текст выноски Знак"/>
    <w:basedOn w:val="a0"/>
    <w:link w:val="a9"/>
    <w:rsid w:val="00287036"/>
    <w:rPr>
      <w:rFonts w:ascii="Segoe UI" w:eastAsia="Times New Roman" w:hAnsi="Segoe UI" w:cs="Segoe UI"/>
      <w:sz w:val="18"/>
      <w:szCs w:val="18"/>
      <w:lang w:val="ru-RU" w:eastAsia="en-US"/>
    </w:rPr>
  </w:style>
  <w:style w:type="paragraph" w:styleId="ab">
    <w:name w:val="Revision"/>
    <w:hidden/>
    <w:uiPriority w:val="99"/>
    <w:semiHidden/>
    <w:rsid w:val="00B91C4B"/>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801-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r.minjust.gov.ua/ua/extracte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D674-C572-4EF1-98FE-9E4151CA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6947</Words>
  <Characters>3960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ТЕСТ</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dc:title>
  <dc:creator>rublenko</dc:creator>
  <cp:lastModifiedBy>Юсина Лидия</cp:lastModifiedBy>
  <cp:revision>4</cp:revision>
  <cp:lastPrinted>2019-09-06T09:59:00Z</cp:lastPrinted>
  <dcterms:created xsi:type="dcterms:W3CDTF">2019-09-06T08:39:00Z</dcterms:created>
  <dcterms:modified xsi:type="dcterms:W3CDTF">2019-09-06T11:12:00Z</dcterms:modified>
</cp:coreProperties>
</file>