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2F" w:rsidRDefault="004F0899">
      <w:pPr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0"/>
          <w:lang w:val="uk-UA" w:eastAsia="ru-RU"/>
        </w:rPr>
        <w:t>ПОЯСНЮВАЛЬНА ЗАПИСКА</w:t>
      </w:r>
    </w:p>
    <w:p w:rsidR="00D4322F" w:rsidRDefault="004F0899">
      <w:pPr>
        <w:ind w:firstLine="0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/>
          <w:bCs/>
          <w:iCs/>
          <w:sz w:val="28"/>
          <w:szCs w:val="28"/>
          <w:lang w:val="uk-UA" w:eastAsia="ja-JP"/>
        </w:rPr>
        <w:t>постанови Кабінету Міністрів України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постанови Кабінету Міністрів України від 23 грудня 2015 р. № 1186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»</w:t>
      </w:r>
    </w:p>
    <w:p w:rsidR="00D4322F" w:rsidRDefault="00D4322F">
      <w:pPr>
        <w:ind w:firstLine="567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D4322F" w:rsidRDefault="004F0899">
      <w:pPr>
        <w:ind w:firstLine="567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bookmarkStart w:id="1" w:name="_Hlk22910692"/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1. Мета </w:t>
      </w:r>
    </w:p>
    <w:bookmarkEnd w:id="1"/>
    <w:p w:rsidR="00D4322F" w:rsidRDefault="004F0899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Проєкт </w:t>
      </w:r>
      <w:r>
        <w:rPr>
          <w:rFonts w:ascii="Times New Roman" w:hAnsi="Times New Roman"/>
          <w:bCs/>
          <w:iCs/>
          <w:sz w:val="28"/>
          <w:szCs w:val="28"/>
          <w:lang w:val="uk-UA" w:eastAsia="ja-JP"/>
        </w:rPr>
        <w:t xml:space="preserve">постанови Кабінету Міністрів України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lang w:val="uk-UA"/>
        </w:rPr>
        <w:t>Про внесення змін до постанови Кабінету Міністрів України від 23 грудня 2015 р. № 1186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» (далі – проєкт акта) розроблено на виконання вимог законів  України «Про ліцензування видів господарської діяльності» (далі – Закон про ліцензування) та «Про внутрішній водний транспорт» (далі – Закон про ВВТ), а також наближення національного законодавства до законодавства ЄС.</w:t>
      </w:r>
    </w:p>
    <w:p w:rsidR="00D4322F" w:rsidRPr="000218D0" w:rsidRDefault="00D4322F">
      <w:pPr>
        <w:ind w:firstLine="567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D4322F" w:rsidRDefault="004F0899">
      <w:pPr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2" w:name="_Hlk22910727"/>
      <w:r>
        <w:rPr>
          <w:rFonts w:ascii="Times New Roman" w:hAnsi="Times New Roman"/>
          <w:b/>
          <w:sz w:val="28"/>
          <w:szCs w:val="28"/>
          <w:lang w:val="uk-UA" w:eastAsia="ru-RU"/>
        </w:rPr>
        <w:t>2. Проблема, яка потребує розв’язання</w:t>
      </w:r>
    </w:p>
    <w:bookmarkEnd w:id="2"/>
    <w:p w:rsidR="00D4322F" w:rsidRDefault="004F089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пункту 24 частини першої статті 7 Закону про ліцензування ліцензуванню підлягає, зокрема, такий вид господарської діяльності як перевезення пасажирів, небезпечних вантажів та небезпечних відходів річковим, морським транспортом.</w:t>
      </w:r>
    </w:p>
    <w:p w:rsidR="00D4322F" w:rsidRDefault="004F0899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Закону про ліцензування затверджено постанову Кабінету Міністрів України від 23 грудня 2017 р. № 1186 «Про затвердження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транспортом» (далі – Ліцензійні умови). Зазначені 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іцензійні умови  встановлюють вичерпний перелік документів, що додаються до заяви про отримання ліцензії, а також організаційні, кадрові та технологічні вимоги, обов’язкові для виконання суб’єктами господарювання, які провадять господарську діяльність з перевезення пасажирів, небезпечних вантажів та небезпечних відходів річковим, морським транспортом.</w:t>
      </w:r>
    </w:p>
    <w:p w:rsidR="00D4322F" w:rsidRDefault="004F0899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Одночасно, Законом про ліцензування передбачено, що ліцензіат має право переоформити ліцензію, розширити або звузити провадження виду господарської діяльності. Також, дія ліцензії може бути зупинена та відновлена повністю або частково, а також анульована як повністю так і частково.</w:t>
      </w:r>
    </w:p>
    <w:p w:rsidR="00D4322F" w:rsidRDefault="004F0899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Однак, 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іючими Ліцензійними умовами не врегульовано питання подачі відповідних заяв до Морської адміністрації, як органу ліцензування, для здійснення відповідних дій. </w:t>
      </w:r>
    </w:p>
    <w:p w:rsidR="00D4322F" w:rsidRDefault="004F0899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метою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 – членами, з іншої сторони  (далі – Угода про Асоціацію) постановою Кабінету Міністрів України від 25 жовтня 2017 р. № 1106 «Про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 затверджено План заходів з виконання Угоди про Асоціацію, завданням 1819 якого передбачено, зокрема, в</w:t>
      </w:r>
      <w:r>
        <w:rPr>
          <w:rFonts w:ascii="Times New Roman" w:hAnsi="Times New Roman"/>
          <w:sz w:val="28"/>
          <w:szCs w:val="28"/>
          <w:lang w:val="uk-UA" w:eastAsia="uk-UA"/>
        </w:rPr>
        <w:t>несення змін до законодавства України щодо професійної компетенції перевізника для судноплавства на внутрішньому водному транспорті – з метою імплементації Директиви Ради 87/540/ЄЕС від 09 листопада 1987 р. про доступ до професійної діяльності оператора перевезень товарів національними і міжнародними водними шляхами, а також про взаємне визнання дипломів, сертифікатів та інших офіційних посвідчень класифікації для її здійснення (далі – Директива 540) (положення Угоди про Асоціацію: стаття 368, додаток ХХХІІ).</w:t>
      </w:r>
    </w:p>
    <w:p w:rsidR="00D4322F" w:rsidRDefault="004F089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03.12.2020 прийнято Закон України «Про внутрішній водний транспорт» (далі – Закон про ВВТ), який, за виключенням окремих статей, набирає чинності 01.01.2022. </w:t>
      </w:r>
      <w:r>
        <w:rPr>
          <w:rFonts w:ascii="Times New Roman" w:hAnsi="Times New Roman"/>
          <w:sz w:val="28"/>
          <w:szCs w:val="28"/>
          <w:lang w:val="uk-UA"/>
        </w:rPr>
        <w:t xml:space="preserve">Закон про ВВТ </w:t>
      </w:r>
      <w:r>
        <w:rPr>
          <w:rFonts w:ascii="Times New Roman" w:hAnsi="Times New Roman"/>
          <w:sz w:val="28"/>
          <w:szCs w:val="28"/>
          <w:lang w:val="uk-UA" w:eastAsia="uk-UA"/>
        </w:rPr>
        <w:t>визначає правові, економічні та організаційні засади функціонування внутрішнього водного транспорту і спрямований на створення сприятливих умов для його розвитку, задоволення потреб громадян у доступних, якісних та безпечних перевезеннях.</w:t>
      </w:r>
    </w:p>
    <w:p w:rsidR="00D4322F" w:rsidRDefault="004F0899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Законом про ВВТ введено і нову термінологію, зокрема, «внутрішній водний транспорт», «мале судно», «судно внутрішнього плавання». Відповідно, це вимагає приведення у відповідність підзаконних нормативно-правових актів.</w:t>
      </w:r>
    </w:p>
    <w:p w:rsidR="00D4322F" w:rsidRDefault="004F0899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Законом про ВВТ введено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 національне законодавство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термін </w:t>
      </w:r>
      <w:r>
        <w:rPr>
          <w:rFonts w:ascii="Times New Roman" w:hAnsi="Times New Roman"/>
          <w:sz w:val="28"/>
          <w:szCs w:val="28"/>
          <w:lang w:val="uk-UA" w:eastAsia="uk-UA"/>
        </w:rPr>
        <w:t>перевізника внутрішнім водним транспортом.</w:t>
      </w:r>
    </w:p>
    <w:p w:rsidR="00D4322F" w:rsidRDefault="004F089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Перевізник - суб’єкт господарювання, що здійснює перевезення вантажів, пасажирів та їхнього багажу, пошти суднами внутрішнього плавання.</w:t>
      </w:r>
    </w:p>
    <w:p w:rsidR="00D4322F" w:rsidRDefault="004F089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Водночас, відповідно до статті 55 Закону про ВВТ перевізник вважається таким, що має професійну компетентність, за наявності в особи, що здійснює управління діяльністю з перевезення вантажів на постійній основі, дійсного свідоцтва професійної компетентності перевізника внутрішнім водним транспортом. </w:t>
      </w:r>
    </w:p>
    <w:p w:rsidR="00D4322F" w:rsidRDefault="004F0899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Враховуючи викладене, Ліцензійні умови провадження господарської діяльності з перевезення пасажирів, небезпечних вантажів та небезпечних відходів річковим, морським транспортом потребують внесення змін, зокрема в частині доповнення кадрових вимог, що стосуються перевезення внутрішнім водним транспортом.</w:t>
      </w:r>
    </w:p>
    <w:p w:rsidR="00D4322F" w:rsidRDefault="004F0899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Прийняття зазначених змін також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сприятиме створенню здорової конкуренції на ринку перевезень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та сприятиме безпечному наданню послуг, в частині перевезення небезпечних вантажів внутрішнім водним транспортом, шляхом забезпечення реалізації норм статті 55 Закону про ВВТ, яка імплементує норми Директиви 540.</w:t>
      </w:r>
    </w:p>
    <w:p w:rsidR="00D4322F" w:rsidRPr="000218D0" w:rsidRDefault="00D4322F">
      <w:pPr>
        <w:ind w:firstLine="567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bookmarkStart w:id="3" w:name="_Hlk22910767"/>
    </w:p>
    <w:p w:rsidR="00D4322F" w:rsidRDefault="004F0899">
      <w:pPr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3. Основні положення проєкту акта </w:t>
      </w:r>
    </w:p>
    <w:p w:rsidR="00D4322F" w:rsidRDefault="004F0899">
      <w:pPr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Проєктом акта пропонується привести </w:t>
      </w:r>
      <w:r>
        <w:rPr>
          <w:rFonts w:ascii="Times New Roman" w:hAnsi="Times New Roman"/>
          <w:sz w:val="28"/>
          <w:szCs w:val="28"/>
          <w:lang w:val="uk-UA"/>
        </w:rPr>
        <w:t xml:space="preserve">Ліцензійні умови у відповідність до Закону про ліцензування та Закону про ВВТ в частині: термінології та назв документів; подачі документів на отримання ліцензії/розширення провадження виду господарської діяльності, переоформлення ліцензії, призупинення та відновлення ліцензії, розширення/звуження провадження виду господарської діяльності;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доповнення кадрових вимог, що стосуються перевезення небезпечних вантажів та небезпечних відходів внутрішнім водним транспортом; використання ліцензіатом пасажирських суден,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які мають бути придатні для обслуговування осіб з маломобільних груп населення.</w:t>
      </w:r>
    </w:p>
    <w:bookmarkEnd w:id="3"/>
    <w:p w:rsidR="00D4322F" w:rsidRPr="000218D0" w:rsidRDefault="00D4322F">
      <w:pPr>
        <w:ind w:firstLine="0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D4322F" w:rsidRDefault="004F0899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bookmarkStart w:id="4" w:name="_Hlk22910820"/>
      <w:r>
        <w:rPr>
          <w:rFonts w:ascii="Times New Roman" w:hAnsi="Times New Roman"/>
          <w:b/>
          <w:sz w:val="28"/>
          <w:szCs w:val="28"/>
          <w:lang w:val="uk-UA"/>
        </w:rPr>
        <w:t xml:space="preserve">4. Правові аспекти </w:t>
      </w:r>
    </w:p>
    <w:p w:rsidR="00D4322F" w:rsidRDefault="004F0899">
      <w:pPr>
        <w:tabs>
          <w:tab w:val="left" w:pos="-3686"/>
          <w:tab w:val="num" w:pos="1068"/>
        </w:tabs>
        <w:ind w:right="-64"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Правовими підставами розроблення проєкту наказу є такі нормативно-правові акти: </w:t>
      </w:r>
    </w:p>
    <w:p w:rsidR="00D4322F" w:rsidRDefault="004F0899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 Угода про асоціацію між Україною, з однієї сторони, та Європейським Союзом, Європейським Співтовариством з атомної енергії і їхніми державами – членами, з іншої сторони;</w:t>
      </w:r>
    </w:p>
    <w:p w:rsidR="00D4322F" w:rsidRDefault="004F0899">
      <w:pPr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Директива Ради 87/540/ЄЕС від 09 листопада 1987 р. про доступ до професійної діяльності оператора перевезень товарів національними і міжнародними водними шляхами, а також про взаємне визнання дипломів, сертифікатів та інших офіційних посвідчень класифікації для її здійснення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D4322F" w:rsidRDefault="004F0899">
      <w:pPr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Закон України «Про ліцензування видів господарської діяльності»;</w:t>
      </w:r>
    </w:p>
    <w:p w:rsidR="00D4322F" w:rsidRDefault="004F0899">
      <w:pPr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Закон України «Про внутрішній водний транспорт»;</w:t>
      </w:r>
    </w:p>
    <w:p w:rsidR="00D4322F" w:rsidRDefault="004F0899">
      <w:pPr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План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постановою Кабінету Міністрів України від 25 жовтня 2017 р. №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1106 «Про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сторони».</w:t>
      </w:r>
    </w:p>
    <w:p w:rsidR="00D4322F" w:rsidRPr="000218D0" w:rsidRDefault="00D4322F">
      <w:pPr>
        <w:ind w:firstLine="567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D4322F" w:rsidRDefault="004F0899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Фінансово-економічне обґрунтування</w:t>
      </w:r>
    </w:p>
    <w:p w:rsidR="00D4322F" w:rsidRDefault="004F0899">
      <w:pPr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Реалізація акта не потребує додаткового </w:t>
      </w:r>
      <w:r>
        <w:rPr>
          <w:rFonts w:ascii="Times New Roman" w:hAnsi="Times New Roman"/>
          <w:sz w:val="28"/>
          <w:szCs w:val="28"/>
          <w:lang w:val="uk-UA"/>
        </w:rPr>
        <w:t>фінансування з Державного чи місцевого бюджетів.</w:t>
      </w:r>
    </w:p>
    <w:bookmarkEnd w:id="4"/>
    <w:p w:rsidR="00D4322F" w:rsidRPr="000218D0" w:rsidRDefault="00D4322F">
      <w:pPr>
        <w:ind w:firstLine="567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D4322F" w:rsidRDefault="004F0899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5" w:name="_Hlk22910875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6. Позиція заінтересованих сторін </w:t>
      </w:r>
    </w:p>
    <w:bookmarkEnd w:id="5"/>
    <w:p w:rsidR="00D4322F" w:rsidRDefault="004F0899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Реалізація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державної; сфери наукової та науково-технічної діяльності. </w:t>
      </w:r>
    </w:p>
    <w:p w:rsidR="00D4322F" w:rsidRPr="000218D0" w:rsidRDefault="00D4322F">
      <w:pPr>
        <w:ind w:firstLine="567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D4322F" w:rsidRPr="00EE44D2" w:rsidRDefault="004F0899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6" w:name="_Hlk22911004"/>
      <w:r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Pr="00EE44D2">
        <w:rPr>
          <w:rFonts w:ascii="Times New Roman" w:hAnsi="Times New Roman"/>
          <w:b/>
          <w:sz w:val="28"/>
          <w:szCs w:val="28"/>
          <w:lang w:val="uk-UA"/>
        </w:rPr>
        <w:t>Оцінка відповідності</w:t>
      </w:r>
    </w:p>
    <w:p w:rsidR="00EE44D2" w:rsidRPr="00EE44D2" w:rsidRDefault="00EE44D2" w:rsidP="008549C4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44D2">
        <w:rPr>
          <w:rFonts w:ascii="Times New Roman" w:hAnsi="Times New Roman"/>
          <w:sz w:val="28"/>
          <w:szCs w:val="28"/>
          <w:lang w:val="uk-UA" w:eastAsia="uk-UA"/>
        </w:rPr>
        <w:t xml:space="preserve">Проєкт акта </w:t>
      </w:r>
      <w:r w:rsidRPr="00EE44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стосуються зобов’язань України у сфері європейської інтеграції, які визначені в пункті 1 </w:t>
      </w:r>
      <w:r w:rsidRPr="00EE44D2">
        <w:rPr>
          <w:rFonts w:ascii="Times New Roman" w:hAnsi="Times New Roman"/>
          <w:sz w:val="28"/>
          <w:szCs w:val="28"/>
          <w:lang w:val="uk-UA"/>
        </w:rPr>
        <w:t>статті 368 Угоди про асоціацію між Україною, з однієї сторони, та Європейським Союзом, Європейським Спів</w:t>
      </w:r>
      <w:r w:rsidRPr="00EE44D2">
        <w:rPr>
          <w:rFonts w:ascii="Times New Roman" w:hAnsi="Times New Roman"/>
          <w:sz w:val="28"/>
          <w:szCs w:val="28"/>
          <w:lang w:val="uk-UA"/>
        </w:rPr>
        <w:lastRenderedPageBreak/>
        <w:t>товариством з атомної енергії і їхніми державами-членами, з іншої сторони щодо с</w:t>
      </w:r>
      <w:r w:rsidRPr="00EE44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прияння реструктуризації та оновленню транспортного сектору України і поступовій гармонізації діючих стандартів та політики з існуючими в ЄС, зокрема шляхом впровадження заходів, викладених у Додатку </w:t>
      </w:r>
      <w:r w:rsidRPr="00EE44D2">
        <w:rPr>
          <w:rFonts w:ascii="Times New Roman" w:hAnsi="Times New Roman"/>
          <w:sz w:val="28"/>
          <w:szCs w:val="28"/>
          <w:shd w:val="clear" w:color="auto" w:fill="FFFFFF"/>
        </w:rPr>
        <w:t>XXXI</w:t>
      </w:r>
      <w:r w:rsidRPr="00EE44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 до цієї Угоди, без шкоди для зобов’язань, що випливають з окремих транспортних угод, укладених між Сторонами</w:t>
      </w:r>
      <w:r w:rsidR="008549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bookmarkEnd w:id="6"/>
    <w:p w:rsidR="00D4322F" w:rsidRDefault="004F089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Проєкт акта не містить положень,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що: </w:t>
      </w:r>
      <w:r>
        <w:rPr>
          <w:rFonts w:ascii="Times New Roman" w:hAnsi="Times New Roman"/>
          <w:sz w:val="28"/>
          <w:szCs w:val="28"/>
          <w:lang w:val="uk-UA" w:eastAsia="uk-UA"/>
        </w:rPr>
        <w:t>стосуються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ризиків вчинення корупційних правопорушень та правопорушень, пов’язаних з корупцією</w:t>
      </w:r>
      <w:bookmarkStart w:id="7" w:name="n3506"/>
      <w:bookmarkEnd w:id="7"/>
      <w:r>
        <w:rPr>
          <w:rFonts w:ascii="Times New Roman" w:hAnsi="Times New Roman"/>
          <w:sz w:val="28"/>
          <w:szCs w:val="28"/>
          <w:lang w:val="uk-UA" w:eastAsia="uk-UA"/>
        </w:rPr>
        <w:t>; створює підстави для дискримінації.</w:t>
      </w:r>
    </w:p>
    <w:p w:rsidR="00D4322F" w:rsidRPr="000218D0" w:rsidRDefault="004F0899">
      <w:pPr>
        <w:ind w:firstLine="567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0218D0">
        <w:rPr>
          <w:rFonts w:ascii="Times New Roman" w:hAnsi="Times New Roman"/>
          <w:bCs/>
          <w:sz w:val="16"/>
          <w:szCs w:val="16"/>
          <w:lang w:val="uk-UA"/>
        </w:rPr>
        <w:t xml:space="preserve"> </w:t>
      </w:r>
      <w:r w:rsidRPr="000218D0">
        <w:rPr>
          <w:rFonts w:ascii="Times New Roman" w:hAnsi="Times New Roman"/>
          <w:b/>
          <w:sz w:val="16"/>
          <w:szCs w:val="16"/>
          <w:lang w:val="uk-UA" w:eastAsia="ru-RU"/>
        </w:rPr>
        <w:t xml:space="preserve"> </w:t>
      </w:r>
    </w:p>
    <w:p w:rsidR="00C852A8" w:rsidRDefault="00C852A8" w:rsidP="00C852A8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 Прогноз результатів</w:t>
      </w:r>
    </w:p>
    <w:p w:rsidR="0000289B" w:rsidRPr="0000289B" w:rsidRDefault="0000289B" w:rsidP="0000289B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Реалізація акта 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</w:t>
      </w:r>
      <w:r w:rsidRPr="0000289B">
        <w:rPr>
          <w:rFonts w:ascii="Times New Roman" w:hAnsi="Times New Roman"/>
          <w:sz w:val="28"/>
          <w:szCs w:val="28"/>
          <w:lang w:val="uk-UA" w:eastAsia="uk-UA"/>
        </w:rPr>
        <w:t xml:space="preserve">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  <w:r w:rsidRPr="0000289B">
        <w:rPr>
          <w:rFonts w:ascii="Times New Roman" w:hAnsi="Times New Roman"/>
          <w:sz w:val="28"/>
          <w:szCs w:val="28"/>
          <w:lang w:val="uk-UA"/>
        </w:rPr>
        <w:t>Реалізація акта матиме позитивний вплив на інтереси заінтересованих сторін.  Інформація про вплив реалізації акту н</w:t>
      </w:r>
      <w:r w:rsidRPr="0000289B">
        <w:rPr>
          <w:rFonts w:ascii="Times New Roman" w:hAnsi="Times New Roman"/>
          <w:sz w:val="28"/>
          <w:szCs w:val="28"/>
          <w:shd w:val="clear" w:color="auto" w:fill="FFFFFF"/>
        </w:rPr>
        <w:t>а інтереси заінтересованих сторін, до пояснювальної записки додається</w:t>
      </w:r>
      <w:r w:rsidRPr="000028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00289B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852A8" w:rsidRPr="00E8700F" w:rsidRDefault="00C852A8" w:rsidP="00C852A8">
      <w:pPr>
        <w:pStyle w:val="ab"/>
        <w:spacing w:before="0"/>
        <w:rPr>
          <w:rFonts w:ascii="Times New Roman" w:hAnsi="Times New Roman"/>
          <w:sz w:val="28"/>
          <w:szCs w:val="28"/>
          <w:lang w:val="uk-UA"/>
        </w:rPr>
      </w:pPr>
      <w:r w:rsidRPr="00E8700F">
        <w:rPr>
          <w:rFonts w:ascii="Times New Roman" w:hAnsi="Times New Roman"/>
          <w:sz w:val="28"/>
          <w:szCs w:val="28"/>
          <w:lang w:val="uk-UA"/>
        </w:rPr>
        <w:t>Прийняття акта дозволить забезпечити приведення Ліцензійних умов у відповідність до норм Закону України «Про ліцензування видів господарської діяльності» та Закону України «Про внутрішній водний транспорт», підвищення рівня безпеки судноплавства</w:t>
      </w:r>
      <w:r w:rsidRPr="00E8700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4322F" w:rsidRDefault="00D4322F">
      <w:pPr>
        <w:pStyle w:val="ab"/>
        <w:spacing w:before="0"/>
        <w:rPr>
          <w:rFonts w:ascii="Times New Roman" w:hAnsi="Times New Roman"/>
          <w:bCs/>
          <w:sz w:val="28"/>
          <w:szCs w:val="28"/>
          <w:lang w:val="uk-UA"/>
        </w:rPr>
      </w:pPr>
    </w:p>
    <w:p w:rsidR="00C852A8" w:rsidRDefault="00C852A8">
      <w:pPr>
        <w:pStyle w:val="ab"/>
        <w:spacing w:before="0"/>
        <w:rPr>
          <w:rFonts w:ascii="Times New Roman" w:hAnsi="Times New Roman"/>
          <w:bCs/>
          <w:sz w:val="28"/>
          <w:szCs w:val="28"/>
          <w:lang w:val="uk-UA"/>
        </w:rPr>
      </w:pPr>
    </w:p>
    <w:p w:rsidR="00D4322F" w:rsidRDefault="004F0899">
      <w:pPr>
        <w:ind w:firstLine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Міністр інфраструктури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Олександр КУРБАКОВ</w:t>
      </w:r>
    </w:p>
    <w:p w:rsidR="00D4322F" w:rsidRDefault="004F0899">
      <w:pPr>
        <w:ind w:firstLine="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_____ ______________2021 р.</w:t>
      </w:r>
      <w:r w:rsidR="000218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sectPr w:rsidR="00D4322F" w:rsidSect="00647FC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62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DF" w:rsidRDefault="00EE5BDF"/>
  </w:endnote>
  <w:endnote w:type="continuationSeparator" w:id="0">
    <w:p w:rsidR="00EE5BDF" w:rsidRDefault="00EE5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2F" w:rsidRDefault="004F0899">
    <w:pPr>
      <w:pStyle w:val="a3"/>
      <w:framePr w:wrap="around" w:vAnchor="text" w:hAnchor="margin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#</w:t>
    </w:r>
    <w:r>
      <w:rPr>
        <w:rStyle w:val="af4"/>
      </w:rPr>
      <w:fldChar w:fldCharType="end"/>
    </w:r>
  </w:p>
  <w:p w:rsidR="00D4322F" w:rsidRDefault="00D4322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2F" w:rsidRPr="000218D0" w:rsidRDefault="00D4322F">
    <w:pPr>
      <w:pStyle w:val="a3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DF" w:rsidRDefault="00EE5BDF"/>
  </w:footnote>
  <w:footnote w:type="continuationSeparator" w:id="0">
    <w:p w:rsidR="00EE5BDF" w:rsidRDefault="00EE5B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2F" w:rsidRDefault="004F0899">
    <w:pPr>
      <w:pStyle w:val="a5"/>
      <w:framePr w:wrap="around" w:vAnchor="text" w:hAnchor="margin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#</w:t>
    </w:r>
    <w:r>
      <w:rPr>
        <w:rStyle w:val="af4"/>
      </w:rPr>
      <w:fldChar w:fldCharType="end"/>
    </w:r>
  </w:p>
  <w:p w:rsidR="00D4322F" w:rsidRDefault="00D432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6589"/>
      <w:docPartObj>
        <w:docPartGallery w:val="Page Numbers (Top of Page)"/>
        <w:docPartUnique/>
      </w:docPartObj>
    </w:sdtPr>
    <w:sdtEndPr/>
    <w:sdtContent>
      <w:p w:rsidR="00647FC5" w:rsidRDefault="00647F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12D" w:rsidRPr="0024712D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9B7"/>
    <w:multiLevelType w:val="hybridMultilevel"/>
    <w:tmpl w:val="1158E4F2"/>
    <w:lvl w:ilvl="0" w:tplc="C7FEFE1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9728D0"/>
    <w:multiLevelType w:val="hybridMultilevel"/>
    <w:tmpl w:val="AB4C3602"/>
    <w:lvl w:ilvl="0" w:tplc="482C3A8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C42C7C"/>
    <w:multiLevelType w:val="hybridMultilevel"/>
    <w:tmpl w:val="7974DFE2"/>
    <w:lvl w:ilvl="0" w:tplc="C9AA2DC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EB2F76"/>
    <w:multiLevelType w:val="hybridMultilevel"/>
    <w:tmpl w:val="258CF4EE"/>
    <w:lvl w:ilvl="0" w:tplc="8368C2A8">
      <w:start w:val="7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EA74AD"/>
    <w:multiLevelType w:val="hybridMultilevel"/>
    <w:tmpl w:val="9FECB674"/>
    <w:lvl w:ilvl="0" w:tplc="C9AA2DCC">
      <w:start w:val="9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E537C8"/>
    <w:multiLevelType w:val="hybridMultilevel"/>
    <w:tmpl w:val="7B7A7DA4"/>
    <w:lvl w:ilvl="0" w:tplc="C54A52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2F"/>
    <w:rsid w:val="0000289B"/>
    <w:rsid w:val="000218D0"/>
    <w:rsid w:val="000749E1"/>
    <w:rsid w:val="000A6B81"/>
    <w:rsid w:val="00226B0D"/>
    <w:rsid w:val="00237288"/>
    <w:rsid w:val="0024712D"/>
    <w:rsid w:val="002803BF"/>
    <w:rsid w:val="00400847"/>
    <w:rsid w:val="004F0899"/>
    <w:rsid w:val="00647FC5"/>
    <w:rsid w:val="00732CDD"/>
    <w:rsid w:val="0078353F"/>
    <w:rsid w:val="00827309"/>
    <w:rsid w:val="008549C4"/>
    <w:rsid w:val="00A63F88"/>
    <w:rsid w:val="00C852A8"/>
    <w:rsid w:val="00D4322F"/>
    <w:rsid w:val="00EE44D2"/>
    <w:rsid w:val="00E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FD249-4A7D-460F-A38E-2DE1D402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pPr>
      <w:keepNext/>
      <w:spacing w:before="240" w:after="60"/>
      <w:ind w:firstLine="0"/>
      <w:outlineLvl w:val="2"/>
    </w:pPr>
    <w:rPr>
      <w:rFonts w:ascii="Arial" w:hAnsi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8"/>
      <w:szCs w:val="20"/>
      <w:lang w:val="uk-UA" w:eastAsia="ru-RU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customStyle="1" w:styleId="5">
    <w:name w:val="Основний текст (5)"/>
    <w:basedOn w:val="a"/>
    <w:link w:val="50"/>
    <w:pPr>
      <w:shd w:val="clear" w:color="auto" w:fill="FFFFFF"/>
      <w:spacing w:line="322" w:lineRule="exact"/>
      <w:ind w:firstLine="0"/>
      <w:jc w:val="center"/>
    </w:pPr>
    <w:rPr>
      <w:sz w:val="25"/>
      <w:szCs w:val="25"/>
    </w:rPr>
  </w:style>
  <w:style w:type="paragraph" w:styleId="a8">
    <w:name w:val="Balloon Text"/>
    <w:basedOn w:val="a"/>
    <w:link w:val="a9"/>
    <w:semiHidden/>
    <w:rPr>
      <w:rFonts w:ascii="Segoe UI" w:hAnsi="Segoe UI"/>
      <w:sz w:val="18"/>
      <w:szCs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rFonts w:ascii="Times New Roman" w:hAnsi="Times New Roman"/>
      <w:color w:val="FF0000"/>
      <w:sz w:val="28"/>
      <w:szCs w:val="20"/>
      <w:lang w:val="uk-UA" w:eastAsia="uk-UA"/>
    </w:rPr>
  </w:style>
  <w:style w:type="paragraph" w:customStyle="1" w:styleId="1">
    <w:name w:val="Без интервала1"/>
    <w:pPr>
      <w:ind w:firstLine="0"/>
    </w:pPr>
    <w:rPr>
      <w:lang w:val="uk-UA"/>
    </w:rPr>
  </w:style>
  <w:style w:type="paragraph" w:customStyle="1" w:styleId="10">
    <w:name w:val="Заголовок №1"/>
    <w:basedOn w:val="a"/>
    <w:link w:val="11"/>
    <w:pPr>
      <w:shd w:val="clear" w:color="auto" w:fill="FFFFFF"/>
      <w:spacing w:line="322" w:lineRule="exact"/>
      <w:ind w:firstLine="0"/>
      <w:jc w:val="center"/>
      <w:outlineLvl w:val="0"/>
    </w:pPr>
    <w:rPr>
      <w:sz w:val="25"/>
      <w:szCs w:val="25"/>
    </w:rPr>
  </w:style>
  <w:style w:type="paragraph" w:customStyle="1" w:styleId="Style21">
    <w:name w:val="Style21"/>
    <w:basedOn w:val="a"/>
    <w:pPr>
      <w:widowControl w:val="0"/>
      <w:spacing w:line="324" w:lineRule="exact"/>
      <w:ind w:firstLine="696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b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ac">
    <w:name w:val="Body Text"/>
    <w:basedOn w:val="a"/>
    <w:link w:val="ad"/>
    <w:semiHidden/>
    <w:pPr>
      <w:spacing w:after="120"/>
    </w:pPr>
  </w:style>
  <w:style w:type="paragraph" w:styleId="ae">
    <w:name w:val="annotation text"/>
    <w:basedOn w:val="a"/>
    <w:link w:val="af"/>
    <w:semiHidden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rPr>
      <w:b/>
      <w:bCs/>
    </w:rPr>
  </w:style>
  <w:style w:type="character" w:styleId="af2">
    <w:name w:val="line number"/>
    <w:basedOn w:val="a0"/>
    <w:semiHidden/>
  </w:style>
  <w:style w:type="character" w:styleId="af3">
    <w:name w:val="Hyperlink"/>
    <w:basedOn w:val="a0"/>
    <w:rPr>
      <w:color w:val="0000FF"/>
      <w:u w:val="single"/>
    </w:rPr>
  </w:style>
  <w:style w:type="character" w:customStyle="1" w:styleId="a4">
    <w:name w:val="Нижний колонтитул Знак"/>
    <w:basedOn w:val="a0"/>
    <w:link w:val="a3"/>
    <w:rPr>
      <w:rFonts w:ascii="Times New Roman" w:hAnsi="Times New Roman"/>
      <w:sz w:val="28"/>
      <w:szCs w:val="20"/>
      <w:lang w:val="uk-UA" w:eastAsia="ru-RU"/>
    </w:rPr>
  </w:style>
  <w:style w:type="character" w:styleId="af4">
    <w:name w:val="page number"/>
    <w:basedOn w:val="a0"/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  <w:szCs w:val="20"/>
      <w:lang w:val="uk-UA" w:eastAsia="ru-RU"/>
    </w:rPr>
  </w:style>
  <w:style w:type="character" w:customStyle="1" w:styleId="50">
    <w:name w:val="Основний текст (5)_"/>
    <w:link w:val="5"/>
    <w:rPr>
      <w:sz w:val="25"/>
      <w:szCs w:val="25"/>
    </w:rPr>
  </w:style>
  <w:style w:type="character" w:customStyle="1" w:styleId="a9">
    <w:name w:val="Текст выноски Знак"/>
    <w:basedOn w:val="a0"/>
    <w:link w:val="a8"/>
    <w:semiHidden/>
    <w:rPr>
      <w:rFonts w:ascii="Segoe UI" w:hAnsi="Segoe UI"/>
      <w:sz w:val="18"/>
      <w:szCs w:val="18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/>
      <w:sz w:val="20"/>
      <w:szCs w:val="20"/>
      <w:lang w:eastAsia="ru-RU"/>
    </w:rPr>
  </w:style>
  <w:style w:type="character" w:customStyle="1" w:styleId="rvts9">
    <w:name w:val="rvts9"/>
    <w:basedOn w:val="a0"/>
  </w:style>
  <w:style w:type="character" w:customStyle="1" w:styleId="rvts37">
    <w:name w:val="rvts37"/>
    <w:basedOn w:val="a0"/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hAnsi="Times New Roman"/>
      <w:color w:val="FF0000"/>
      <w:sz w:val="28"/>
      <w:szCs w:val="20"/>
      <w:lang w:val="uk-UA" w:eastAsia="uk-UA"/>
    </w:rPr>
  </w:style>
  <w:style w:type="character" w:customStyle="1" w:styleId="11">
    <w:name w:val="Заголовок №1_"/>
    <w:link w:val="10"/>
    <w:rPr>
      <w:sz w:val="25"/>
      <w:szCs w:val="25"/>
    </w:rPr>
  </w:style>
  <w:style w:type="character" w:customStyle="1" w:styleId="rvts23">
    <w:name w:val="rvts23"/>
    <w:basedOn w:val="a0"/>
  </w:style>
  <w:style w:type="character" w:customStyle="1" w:styleId="30">
    <w:name w:val="Заголовок 3 Знак"/>
    <w:basedOn w:val="a0"/>
    <w:link w:val="3"/>
    <w:rPr>
      <w:rFonts w:ascii="Arial" w:hAnsi="Arial"/>
      <w:b/>
      <w:bCs/>
      <w:sz w:val="26"/>
      <w:szCs w:val="26"/>
      <w:lang w:val="uk-UA" w:eastAsia="ru-RU"/>
    </w:rPr>
  </w:style>
  <w:style w:type="character" w:customStyle="1" w:styleId="ad">
    <w:name w:val="Основной текст Знак"/>
    <w:basedOn w:val="a0"/>
    <w:link w:val="ac"/>
    <w:semiHidden/>
  </w:style>
  <w:style w:type="character" w:styleId="af5">
    <w:name w:val="annotation reference"/>
    <w:basedOn w:val="a0"/>
    <w:semiHidden/>
    <w:rPr>
      <w:sz w:val="16"/>
      <w:szCs w:val="16"/>
    </w:rPr>
  </w:style>
  <w:style w:type="character" w:customStyle="1" w:styleId="af">
    <w:name w:val="Текст примечания Знак"/>
    <w:basedOn w:val="a0"/>
    <w:link w:val="ae"/>
    <w:semiHidden/>
    <w:rPr>
      <w:sz w:val="20"/>
      <w:szCs w:val="20"/>
    </w:rPr>
  </w:style>
  <w:style w:type="character" w:customStyle="1" w:styleId="af1">
    <w:name w:val="Тема примечания Знак"/>
    <w:basedOn w:val="af"/>
    <w:link w:val="af0"/>
    <w:semiHidden/>
    <w:rPr>
      <w:b/>
      <w:bCs/>
      <w:sz w:val="20"/>
      <w:szCs w:val="20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</dc:creator>
  <cp:lastModifiedBy>Москаленко Інна</cp:lastModifiedBy>
  <cp:revision>2</cp:revision>
  <cp:lastPrinted>2021-05-31T13:15:00Z</cp:lastPrinted>
  <dcterms:created xsi:type="dcterms:W3CDTF">2021-10-18T12:16:00Z</dcterms:created>
  <dcterms:modified xsi:type="dcterms:W3CDTF">2021-10-18T12:16:00Z</dcterms:modified>
</cp:coreProperties>
</file>