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82" w:rsidRPr="00EC3282" w:rsidRDefault="00EC3282" w:rsidP="00EC32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C3282">
        <w:rPr>
          <w:rFonts w:ascii="TimesNewRomanPS-BoldMT" w:hAnsi="TimesNewRomanPS-BoldMT" w:cs="TimesNewRomanPS-BoldMT"/>
          <w:b/>
          <w:bCs/>
          <w:sz w:val="28"/>
          <w:szCs w:val="28"/>
        </w:rPr>
        <w:t>ПОРІВНЯЛЬНА ТАБЛИЦЯ</w:t>
      </w:r>
    </w:p>
    <w:p w:rsidR="00690FAD" w:rsidRDefault="00EC3282" w:rsidP="00EC32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C328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до проєкту постанови </w:t>
      </w:r>
      <w:r w:rsidR="007D3E94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Кабінету Міністрів України </w:t>
      </w:r>
      <w:bookmarkStart w:id="0" w:name="_GoBack"/>
      <w:bookmarkEnd w:id="0"/>
      <w:r w:rsidRPr="00EC3282">
        <w:rPr>
          <w:rFonts w:ascii="TimesNewRomanPS-BoldMT" w:hAnsi="TimesNewRomanPS-BoldMT" w:cs="TimesNewRomanPS-BoldMT"/>
          <w:b/>
          <w:bCs/>
          <w:sz w:val="28"/>
          <w:szCs w:val="28"/>
        </w:rPr>
        <w:t>«Деякі питання виконання вимог Закону України «Про гарантування речових прав на об’єкти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EC3282">
        <w:rPr>
          <w:rFonts w:ascii="TimesNewRomanPS-BoldMT" w:hAnsi="TimesNewRomanPS-BoldMT" w:cs="TimesNewRomanPS-BoldMT"/>
          <w:b/>
          <w:bCs/>
          <w:sz w:val="28"/>
          <w:szCs w:val="28"/>
        </w:rPr>
        <w:t>нерухомого майна, які будуть споруджені в майбутньому»</w:t>
      </w:r>
    </w:p>
    <w:p w:rsidR="00EC3282" w:rsidRDefault="00EC3282" w:rsidP="00EC32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7280"/>
        <w:gridCol w:w="7883"/>
      </w:tblGrid>
      <w:tr w:rsidR="00EC3282" w:rsidTr="00EC3282">
        <w:tc>
          <w:tcPr>
            <w:tcW w:w="7280" w:type="dxa"/>
          </w:tcPr>
          <w:p w:rsidR="00EC3282" w:rsidRDefault="00EC3282" w:rsidP="00EC32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Зміст положення акта законодавства</w:t>
            </w:r>
          </w:p>
        </w:tc>
        <w:tc>
          <w:tcPr>
            <w:tcW w:w="7883" w:type="dxa"/>
          </w:tcPr>
          <w:p w:rsidR="00EC3282" w:rsidRDefault="00EC3282" w:rsidP="00EC32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Зміст відповідного положення проекту акта</w:t>
            </w:r>
          </w:p>
        </w:tc>
      </w:tr>
      <w:tr w:rsidR="00EC3282" w:rsidTr="00EC3282">
        <w:tc>
          <w:tcPr>
            <w:tcW w:w="15163" w:type="dxa"/>
            <w:gridSpan w:val="2"/>
          </w:tcPr>
          <w:p w:rsidR="00EC3282" w:rsidRDefault="00EC3282" w:rsidP="00EC32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333333"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333333"/>
                <w:sz w:val="26"/>
                <w:szCs w:val="26"/>
              </w:rPr>
              <w:t>Порядок затвердження проектів будівництва і проведення їх експертизи, затверджений постановою Кабінету Міністрів</w:t>
            </w:r>
          </w:p>
          <w:p w:rsidR="00EC3282" w:rsidRDefault="00EC3282" w:rsidP="00EC32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333333"/>
                <w:sz w:val="26"/>
                <w:szCs w:val="26"/>
              </w:rPr>
              <w:t>України від 11 травня 2011 р. № 560</w:t>
            </w:r>
          </w:p>
        </w:tc>
      </w:tr>
      <w:tr w:rsidR="00EC3282" w:rsidTr="00EC3282">
        <w:tc>
          <w:tcPr>
            <w:tcW w:w="7280" w:type="dxa"/>
          </w:tcPr>
          <w:p w:rsidR="00EC3282" w:rsidRDefault="00EC3282" w:rsidP="00174CA3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3. При </w:t>
            </w:r>
            <w:proofErr w:type="spellStart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дво</w:t>
            </w:r>
            <w:proofErr w:type="spellEnd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- і </w:t>
            </w:r>
            <w:proofErr w:type="spellStart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тристадійному</w:t>
            </w:r>
            <w:proofErr w:type="spellEnd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 проектуванні проекти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будівництва затверджуються на стадії проект та робочий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проект і схвалюються на стадії техніко-економічне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обґрунтування, техніко-економічний розрахунок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ескізний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проект. У разі коли поділ будівництва на черги визначено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стадії розроблення техніко-економічного обґрунтування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(техніко-економічного </w:t>
            </w:r>
            <w:proofErr w:type="spellStart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розрахунка</w:t>
            </w:r>
            <w:proofErr w:type="spellEnd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, ескізного проекту),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схваленого в установленому порядку, проект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може затверджуватися в цілому або за чергами. Під час дії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воєнного стану розроблення проектів будівництва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капітального ремонту об’єктів (незалежно від класу наслідків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(відповідальності), пошкоджених в результаті воєнних дій,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допускається здійснювати у складі дефектного акта, у якому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визначаються фізичні обсяги робіт, пояснювальної записки,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якій зазначаються умови виконання робіт, та кошторисної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документації на підставі звіту за результатами обстеження,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розробленого відповідно до Порядку проведення обстеження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прийнятих в експлуатацію об’єктів будівництва,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затвердженого постановою Кабінету Міністрів України від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квітня 2017 р. № 257 (Офіційний вісник України, 2017 р., № 33,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ст. 1045). Зазначений звіт повинен містити висновок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технічний стан об’єкта, відомість пошкоджених (зруйнованих)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конструкцій, інженерних систем (із зазначенням ступеня та обсягів пошкоджень, їх технічного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стану), а також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рекомендовані заходи з відновлення експлуатаційної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придатності об’єкта. Рішення щодо обсягу проектної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документації (щодо можливості розроблення 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будівництва у складі дефектного акта, пояснювальної записки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та кошторисної документації) приймається головним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архітектором проекту та/або головним інженером проекту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погодженням із замовником, що зазначається у завданні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проектування.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282" w:rsidRDefault="00EC3282" w:rsidP="00174CA3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Зміни до затверджених (схвалених) проектів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вносяться на підставі завдання на проектування.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282" w:rsidRPr="00EC3282" w:rsidRDefault="00EC3282" w:rsidP="00174CA3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Схвалення та перезатвердження проектів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здійснюється у порядку, встановленому для їх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затвердження.</w:t>
            </w:r>
          </w:p>
          <w:p w:rsidR="00EC3282" w:rsidRPr="00EC3282" w:rsidRDefault="00EC3282" w:rsidP="00174CA3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Проекти будівництва, розроблені в електронній формі,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затверджуються розпорядчим документом, на який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накладається кваліфікований електронний підпис керівника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відповідального органу виконавчої влади або органу місцевого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самоврядування, інших державних органів, підприємств,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установ та організацій, визначених пунктами 4, 4-1, 4-2 та 4-3 цього Порядку.</w:t>
            </w:r>
          </w:p>
          <w:p w:rsidR="00EC3282" w:rsidRP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Відсутній</w:t>
            </w:r>
          </w:p>
        </w:tc>
        <w:tc>
          <w:tcPr>
            <w:tcW w:w="7883" w:type="dxa"/>
          </w:tcPr>
          <w:p w:rsidR="00EC3282" w:rsidRDefault="00EC3282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При </w:t>
            </w:r>
            <w:proofErr w:type="spellStart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дво</w:t>
            </w:r>
            <w:proofErr w:type="spellEnd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- і </w:t>
            </w:r>
            <w:proofErr w:type="spellStart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тристадійному</w:t>
            </w:r>
            <w:proofErr w:type="spellEnd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 проектуванні проекти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затверджуються на стадії проект та робочий проект і схвалюються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стадії техніко-економічне обґрунтування, техніко-економічний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розрахунок та ескізний проект. У разі коли поділ будівництва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черги визначено на стадії розроблення техніко-економічного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обґрунтування (техніко-економічного </w:t>
            </w:r>
            <w:proofErr w:type="spellStart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розрахунка</w:t>
            </w:r>
            <w:proofErr w:type="spellEnd"/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, ескізного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проекту), схваленого в установленому порядку, проект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може затверджуватися в цілому або за чергами. Під час дії воєнного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стану розроблення проектів будівництва з капітального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об’єктів (незалежно від класу наслідків (відповідальності),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пошкоджених в результаті воєнних дій, допускається здійснювати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складі дефектного акта, у якому визначаються фізичні обсяги робіт,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пояснювальної записки, в якій зазначаються умови виконання робіт,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та кошторисної документації на підставі звіту за результатами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обстеження, розробленого відповідно до Порядку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обстеження прийнятих в експлуатацію об’єктів будівництва,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затвердженого постановою Кабінету Міністрів України від 12 квітня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2017 р. № 257 (Офіційний вісник України, 2017 р., № 33, ст. 1045).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Зазначений звіт повинен містити висновок про технічний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об’єкта, відомість пошкоджених (зруйнованих) конструкцій,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інженерних систем (із зазначенням ступеня та обсягів пошкоджень,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їх технічного стану), а також рекомендовані заходи з відновлення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 xml:space="preserve">експлуатаційної придатності об’єкта. Рішення щодо обсягу проектної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документації (щодо можливості розроблення проекту будівництва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складі дефектного акта, пояснювальної записки та кошторисної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документації) приймається головним архітектором проекту та/або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головним інженером проекту за погодженням із замовником,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зазначається у завданні на проектування.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282" w:rsidRDefault="00EC3282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Зміни до затверджених (схвалених) проектів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вносяться на підставі завдання на проектування.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282" w:rsidRDefault="00EC3282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Схвалення та перезатвердження проектів будівництва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sz w:val="28"/>
                <w:szCs w:val="28"/>
              </w:rPr>
              <w:t>здійснюється у порядку, встановленому для їх затвердження.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82" w:rsidRDefault="00EC3282" w:rsidP="00EC32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282" w:rsidRPr="00EC3282" w:rsidRDefault="00EC3282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Актуалізація відомостей (даних) проектів будівництва, 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підставі якої замовником отримано право на виконання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будівельних робіт, здійснюється відповідно до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Порядку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поширення дії Закону України “Про гарантування речових прав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об’єкти нерухомого майна, які будуть споруджені в</w:t>
            </w:r>
            <w:r w:rsidR="00174C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майбутньому” на об’єкти будівництва та їх складові частини, які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після прийняття в експлуатацію закінченого будівництвом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об’єкта стануть самостійними об’єктами нерухомого майна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(квартира, гаражний бокс, інше житлове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або нежитлове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приміщення, </w:t>
            </w:r>
            <w:proofErr w:type="spellStart"/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машиномісце</w:t>
            </w:r>
            <w:proofErr w:type="spellEnd"/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тощо), право на виконання будівельних робіт щодо яких набуто до набрання чинності цього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закону, затвердженого постановою Кабінету Міністрів України 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 порядку визначеному Порядком ведення Єдиної державної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електронної системи у сфері будівництва, затвердженого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постановою Кабінету Міністрів України від </w:t>
            </w:r>
            <w:r w:rsidRPr="00EC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червня 2021 р.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681(Офіційний вісник України 2021 р., № 55, ст. 3401).</w:t>
            </w:r>
          </w:p>
        </w:tc>
      </w:tr>
      <w:tr w:rsidR="00EC3282" w:rsidTr="00EC3282">
        <w:tc>
          <w:tcPr>
            <w:tcW w:w="7280" w:type="dxa"/>
          </w:tcPr>
          <w:p w:rsidR="00EC3282" w:rsidRPr="00EC3282" w:rsidRDefault="00EC3282" w:rsidP="00EC32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Відсутній </w:t>
            </w:r>
          </w:p>
        </w:tc>
        <w:tc>
          <w:tcPr>
            <w:tcW w:w="7883" w:type="dxa"/>
          </w:tcPr>
          <w:p w:rsidR="00EC3282" w:rsidRPr="00EC3282" w:rsidRDefault="00EC3282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8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16¹</w:t>
            </w:r>
            <w:r w:rsid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  <w:r w:rsidRPr="00EC328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Актуалізація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звіту про результати експертизи проектної</w:t>
            </w:r>
          </w:p>
          <w:p w:rsidR="00EC3282" w:rsidRDefault="00EC3282" w:rsidP="00174CA3">
            <w:pPr>
              <w:pStyle w:val="a3"/>
              <w:ind w:firstLine="262"/>
              <w:jc w:val="both"/>
            </w:pP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документації на будівництво з позитивним висновком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здійснюється </w:t>
            </w:r>
            <w:r w:rsidRPr="00EC328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відповідно до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Порядку поширення дії Закону</w:t>
            </w:r>
            <w:r w:rsidR="00174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України “Про гарантування речових прав на об’єкти нерухомого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майна, які будуть споруджені в майбутньому” на об’єкти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будівництва та їх складові частини, які після прийняття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експлуатацію закінченого будівництвом об’єкта стануть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самостійними об’єктами нерухомого майна (квартира, гаражний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бокс, інше житлове або нежитлове приміщення, </w:t>
            </w:r>
            <w:proofErr w:type="spellStart"/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машиномісце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тощо), право на виконання будівельних робіт щодо яких набуто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до набрання чинності цього закону, затвердженого постановою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Кабінету Міністрів України та у порядку визначеному Порядком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ведення Єдиної державної електронної системи у сфері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>будівництва, затвердженого постановою Кабінету Міністрів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України від </w:t>
            </w:r>
            <w:r w:rsidRPr="00EC328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23 червня 2021 р. № 681 (Офіційний вісник України,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EC328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2021 р., № 55, ст. 3401).</w:t>
            </w:r>
          </w:p>
        </w:tc>
      </w:tr>
      <w:tr w:rsidR="00174CA3" w:rsidTr="003179D5">
        <w:tc>
          <w:tcPr>
            <w:tcW w:w="15163" w:type="dxa"/>
            <w:gridSpan w:val="2"/>
          </w:tcPr>
          <w:p w:rsidR="00174CA3" w:rsidRPr="00174CA3" w:rsidRDefault="00174CA3" w:rsidP="00174CA3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Порядок державної реєстрації речових прав на нерухоме майно та їх обтяжень, затверджений постановою Кабінету</w:t>
            </w:r>
          </w:p>
          <w:p w:rsidR="00174CA3" w:rsidRPr="00EC3282" w:rsidRDefault="00174CA3" w:rsidP="00174CA3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Міністрів України від 25 грудня 2015 р. № 1127</w:t>
            </w:r>
          </w:p>
        </w:tc>
      </w:tr>
      <w:tr w:rsidR="00EC3282" w:rsidTr="00EC3282">
        <w:tc>
          <w:tcPr>
            <w:tcW w:w="7280" w:type="dxa"/>
          </w:tcPr>
          <w:p w:rsidR="00174CA3" w:rsidRPr="00174CA3" w:rsidRDefault="00174CA3" w:rsidP="00174CA3">
            <w:pPr>
              <w:pStyle w:val="a3"/>
              <w:ind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>31. Державна реєстрація прав здійснюється за заявою,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 xml:space="preserve">поданою в електронній формі через Портал Дія чи на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підставі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>договорів про надання сервісної послуги, укладених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>технічним адміністратором Державного реєстру прав,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>інші інформаційні системи, що забезпечують ідентифікацію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 xml:space="preserve">користувача з використанням засобів електронної ідентифікації з високим рівнем довіри (далі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sz w:val="28"/>
                <w:szCs w:val="28"/>
              </w:rPr>
              <w:t>система для подачі заяви).</w:t>
            </w:r>
          </w:p>
          <w:p w:rsidR="00EC3282" w:rsidRPr="00174CA3" w:rsidRDefault="00174CA3" w:rsidP="00174C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sz w:val="28"/>
                <w:szCs w:val="28"/>
              </w:rPr>
              <w:t>Відсутній</w:t>
            </w:r>
          </w:p>
        </w:tc>
        <w:tc>
          <w:tcPr>
            <w:tcW w:w="7883" w:type="dxa"/>
          </w:tcPr>
          <w:p w:rsidR="00174CA3" w:rsidRP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31. Державна реєстрація прав здійснюється за заявою, поданою 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електронній формі через Портал Дія чи на підставі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договорів про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надання сервісної послуги, укладених з технічним адміністратором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Державного реєстру прав, через інші інформаційні системи, що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забезпечують ідентифікацію користувача з використанням засобів електронної ідентифікації з високим рівнем довіри (далі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інформаційна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система для подачі заяви).</w:t>
            </w:r>
          </w:p>
          <w:p w:rsidR="00174CA3" w:rsidRP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Державна реєстрація:</w:t>
            </w:r>
          </w:p>
          <w:p w:rsidR="00174CA3" w:rsidRP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права інвестора на об'єкти будівництва та їх складові частини,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щодо яких вчинено правочини, які передбачають право на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отримання об’єкта будівництва або його складових частин у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власність після прийняття в експлуатацію закінченого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будівництвом об’єкта, до прийняття рішення про поширення дії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Закону;</w:t>
            </w:r>
          </w:p>
          <w:p w:rsidR="00174CA3" w:rsidRP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спеціального майнового права на майбутні об’єкти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нерухомості, щодо яких не вчинено правочини, які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передбачають право на отримання об’єкта будівництва або його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складових частин у власність після прийняття в експлуатацію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закінченого будівництвом об’єкта, до прийняття рішення про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поширення дії Закону;</w:t>
            </w:r>
          </w:p>
          <w:p w:rsidR="00174CA3" w:rsidRP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гарантійної частки на майбутні об’єкти нерухомості,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визначеної відповідно до постанови Кабінету Міністрів України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від 3 січня 2023 р. № 8 “Про визначення мінімального розміру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гарантійної частки будівництва об’єктів нерухомого майна”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(крім випадків якщо залучення коштів для фінансування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(інвестування) будівництва об'єкта здійснюється через фонди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фінансування будівництва)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здійснюється на підставі заяви, поданої, у тому числі, у порядку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електронної інформаційної взаємодії між Єдиною державною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електронною системою у сфері будівництва та Державного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реєстру прав.</w:t>
            </w:r>
          </w:p>
          <w:p w:rsidR="00EC3282" w:rsidRPr="00174CA3" w:rsidRDefault="00174CA3" w:rsidP="00174CA3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…</w:t>
            </w:r>
          </w:p>
        </w:tc>
      </w:tr>
      <w:tr w:rsidR="00174CA3" w:rsidTr="00EC3282">
        <w:tc>
          <w:tcPr>
            <w:tcW w:w="7280" w:type="dxa"/>
          </w:tcPr>
          <w:p w:rsidR="00174CA3" w:rsidRPr="00EC3282" w:rsidRDefault="00174CA3" w:rsidP="00EC32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7883" w:type="dxa"/>
          </w:tcPr>
          <w:p w:rsidR="00174CA3" w:rsidRPr="00174CA3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76¹. Державна реєстрація прав, що проводиться відповідно до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Закону України «Про гарантування речових прав на об'єкти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нерухомого майна, які будуть споруджені в майбутньому», інших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нормативно-правових актах, прийнятих відповідно до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нього, державним реєстратором за зверненням заявника,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проводиться виключно на підставі відомостей отриманих з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Єдиної державної електронної системи у сфері будівництва та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одночасно щодо об’єкта будівництва і усіх майбутніх об’єктів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нерухомості.</w:t>
            </w:r>
          </w:p>
          <w:p w:rsidR="00174CA3" w:rsidRPr="00EC3282" w:rsidRDefault="00174CA3" w:rsidP="00174CA3">
            <w:pPr>
              <w:pStyle w:val="a3"/>
              <w:ind w:firstLine="262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Відомості про проведену державну реєстрацію прав з метою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подальшого контролю виконання вимог Закону України «Про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гарантування речових прав на об'єкти нерухомого майна, які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будуть споруджені в майбутньому» передаються з Державного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реєстру прав до Єдиної державної електронної системи у сфері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174C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будівництва у порядку інформаційної взаємодії цих систем.</w:t>
            </w:r>
          </w:p>
        </w:tc>
      </w:tr>
      <w:tr w:rsidR="00DE1425" w:rsidTr="00DD2B55">
        <w:tc>
          <w:tcPr>
            <w:tcW w:w="15163" w:type="dxa"/>
            <w:gridSpan w:val="2"/>
          </w:tcPr>
          <w:p w:rsidR="00DE1425" w:rsidRPr="00DE1425" w:rsidRDefault="00DE1425" w:rsidP="00DE1425">
            <w:pPr>
              <w:pStyle w:val="a3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Порядок ведення Державного реєстру речових прав на нерухоме майно, затверджений постановою Кабінету Міністрів</w:t>
            </w:r>
          </w:p>
          <w:p w:rsidR="00DE1425" w:rsidRPr="00EC3282" w:rsidRDefault="00DE1425" w:rsidP="00DE1425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України від 26 жовтня 2011 року № 1141</w:t>
            </w:r>
          </w:p>
        </w:tc>
      </w:tr>
      <w:tr w:rsidR="00DE1425" w:rsidTr="00EC3282">
        <w:tc>
          <w:tcPr>
            <w:tcW w:w="7280" w:type="dxa"/>
          </w:tcPr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7. Під час формування заяви про державну реєстрацію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додатково до відомостей, передбачених пунктом 6 цього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Порядку, вносяться відомості про: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1) тип державної реєстрації: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право власності, право довірчої власності як спосіб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зобов'язань;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відсутній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Під час формування заяви обирається один із передбачених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цим підпунктом типів державної реєстрації;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3) тип нерухомого майна: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земельна ділянка;</w:t>
            </w:r>
          </w:p>
          <w:p w:rsid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об'єкт будівництва (закінчений будівництвом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об'єкт).</w:t>
            </w:r>
          </w:p>
          <w:p w:rsidR="005B70BA" w:rsidRDefault="005B70BA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0BA" w:rsidRDefault="005B70BA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Під час формування заяви обирається один із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передбачених цим підпунктом типів нерухомого майна,</w:t>
            </w:r>
            <w:r w:rsidR="005B7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крім передбачених законодавством випадків, коли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b/>
                <w:sz w:val="28"/>
                <w:szCs w:val="28"/>
              </w:rPr>
              <w:t>обирається декілька типів нерухомого майна;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883" w:type="dxa"/>
          </w:tcPr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7. Під час формування заяви про державну реєстрацію прав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додатково до відомостей, передбачених пунктом 6 цього Порядку,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вносяться відомості про: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1) тип державної реєстрації: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право власності, право довірчої власності як спосіб забезпечення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виконання зобов'язань;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спеціальне майнове право, право інвестора;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…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Під час формування заяви обирається один або у випадках,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передбачених законодавством, декілька із передбачених цим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підпунктом типів державної реєстрації;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…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3) тип об’єкта речових прав: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земельна ділянка;</w:t>
            </w:r>
          </w:p>
          <w:p w:rsid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об'єкт будівництва;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майбутній об’єкт нерухомості;</w:t>
            </w:r>
          </w:p>
          <w:p w:rsidR="005B70BA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закінчений будівництвом об'єкт.</w:t>
            </w:r>
            <w:r w:rsid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  <w:p w:rsid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Під час формування заяви обирається один або у випадках,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передбачених законодавством, декілька із передбачених цим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підпунктом типів об’єкта речових прав;</w:t>
            </w:r>
          </w:p>
          <w:p w:rsidR="00DE1425" w:rsidRPr="00DE1425" w:rsidRDefault="00DE1425" w:rsidP="00DE1425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...</w:t>
            </w:r>
          </w:p>
        </w:tc>
      </w:tr>
      <w:tr w:rsidR="00DE1425" w:rsidTr="00EC3282">
        <w:tc>
          <w:tcPr>
            <w:tcW w:w="7280" w:type="dxa"/>
          </w:tcPr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 До Державного реєстру прав вносяться такі відомості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про нерухоме майно: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2) про об'єкт будівництва (закінчений будівництвом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об'єкт):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У разі використання у випадках, передбачених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законодавством, Єдиної державної електронної системи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сфері будівництва відомості про ідентифікатор об'єкта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будівництва (закінченого будівництвом об'єкта) в Єдиній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державній електронній системі у сфері будівництва, назва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об'єкта та його тип, загальна, житлова площа приміщень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об'єкта за допомогою програмних засобів 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реєстру прав автоматично вносяться на підставі відомостей,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отриманих з Єдиної державної електронної системи у сфері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будівництва.</w:t>
            </w:r>
          </w:p>
          <w:p w:rsidR="00DE1425" w:rsidRPr="00DE1425" w:rsidRDefault="00DE1425" w:rsidP="00DE1425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42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883" w:type="dxa"/>
          </w:tcPr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29. До Державного реєстру прав вносяться такі відомості про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нерухоме майно: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…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2) про об'єкт будівництва (закінчений будівництвом об'єкт),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майбутній об’єкт нерухомості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</w:t>
            </w:r>
          </w:p>
          <w:p w:rsid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…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разі використання у випадках, передбачених законодавством,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Єдиної державної електронної системи у сфері будівництва відомості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 ідентифікатор об'єкта будівництва (закінченого будівництвом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об'єкта), </w:t>
            </w: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майбутнього об’єкта будівництва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Єдиній державній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електронній системі у сфері будівництва, назва об'єкта та його тип,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загальна, житлова площа приміщень об'єкта за допомогою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програмних засобів ведення Державного реєстру прав автоматично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вносяться на підставі відомостей, отриманих з Єдиної державної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електронної системи у сфері будівництва.</w:t>
            </w:r>
          </w:p>
          <w:p w:rsidR="00DE1425" w:rsidRPr="00DE1425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…</w:t>
            </w:r>
          </w:p>
        </w:tc>
      </w:tr>
      <w:tr w:rsidR="00DE1425" w:rsidTr="00EC3282">
        <w:tc>
          <w:tcPr>
            <w:tcW w:w="7280" w:type="dxa"/>
          </w:tcPr>
          <w:p w:rsidR="005B70BA" w:rsidRPr="005B70BA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 До Державного реєстру прав вносяться такі відомості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про право власності, довірчої власності як способу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зобов'язання:</w:t>
            </w:r>
          </w:p>
          <w:p w:rsidR="005B70BA" w:rsidRPr="005B70BA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1) про власника, довірчого власника (у разі передачі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майна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довірчу власність як спосіб забезпечення виконання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зобов'язань):</w:t>
            </w:r>
          </w:p>
          <w:p w:rsidR="005B70BA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0BA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425" w:rsidRPr="00DE1425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883" w:type="dxa"/>
          </w:tcPr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30. До Державного реєстру прав вносяться такі відомості про право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власності, довірчої власності як способу забезпечення виконання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зобов'язання, </w:t>
            </w: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спеціальне майнове право, право інвестора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1) про власника, довірчого власника (у разі передачі майна 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довірчу власність як спосіб забезпечення виконання зобов'язань),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інвестора</w:t>
            </w: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</w:t>
            </w:r>
          </w:p>
          <w:p w:rsid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DE1425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…</w:t>
            </w:r>
          </w:p>
          <w:p w:rsidR="005B70BA" w:rsidRPr="00DE1425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5B70BA" w:rsidTr="009F75DE">
        <w:tc>
          <w:tcPr>
            <w:tcW w:w="15163" w:type="dxa"/>
            <w:gridSpan w:val="2"/>
          </w:tcPr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Порядок ведення Єдиної державної електронної системи у сфері будівництва, затверджений постановою Кабінету</w:t>
            </w:r>
          </w:p>
          <w:p w:rsidR="005B70BA" w:rsidRPr="005B70BA" w:rsidRDefault="005B70BA" w:rsidP="005B70BA">
            <w:pPr>
              <w:pStyle w:val="a3"/>
              <w:ind w:firstLine="40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Міністрів України від 23 червня 2021 р. № 681</w:t>
            </w:r>
          </w:p>
        </w:tc>
      </w:tr>
      <w:tr w:rsidR="005B70BA" w:rsidTr="00EC3282">
        <w:tc>
          <w:tcPr>
            <w:tcW w:w="7280" w:type="dxa"/>
          </w:tcPr>
          <w:p w:rsidR="005B70BA" w:rsidRPr="005B70BA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Відсутній </w:t>
            </w:r>
          </w:p>
        </w:tc>
        <w:tc>
          <w:tcPr>
            <w:tcW w:w="7883" w:type="dxa"/>
          </w:tcPr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73¹. Актуалізація відомостей (даних), що міститься в електронній системі, у випадках визначених законодавством, здійснюється відповідними уповноваженими особами, шляхом підтвердження/внесення відомостей (даних) до електронної системи у </w:t>
            </w:r>
            <w:proofErr w:type="spellStart"/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машнозчитуванному</w:t>
            </w:r>
            <w:proofErr w:type="spellEnd"/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форматі на підставі відомостей (даних), які містяться у наданих замовником для актуалізації відомостях, документах у паперовій або електронній формі, та шляхом додавання сканованого примірника документа у разі його подання в паперовій формі.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Актуалізовані відомості (дані) підписуються такими уповноваженими особами шляхом накладання електронного підпису, що базується на кваліфікованому сертифікаті електронного підпису.</w:t>
            </w:r>
          </w:p>
        </w:tc>
      </w:tr>
      <w:tr w:rsidR="005B70BA" w:rsidTr="003E4CA5">
        <w:tc>
          <w:tcPr>
            <w:tcW w:w="15163" w:type="dxa"/>
            <w:gridSpan w:val="2"/>
          </w:tcPr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Порядок присвоєння адрес об’єктам будівництва, об’єктам нерухомого майна, затверджений постановою Кабінету</w:t>
            </w:r>
          </w:p>
          <w:p w:rsidR="005B70BA" w:rsidRPr="005B70BA" w:rsidRDefault="005B70BA" w:rsidP="005B70BA">
            <w:pPr>
              <w:pStyle w:val="a3"/>
              <w:ind w:firstLine="40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Міністрів України від 7 липня 2021 р. № 690</w:t>
            </w:r>
          </w:p>
        </w:tc>
      </w:tr>
      <w:tr w:rsidR="005B70BA" w:rsidTr="00EC3282">
        <w:tc>
          <w:tcPr>
            <w:tcW w:w="7280" w:type="dxa"/>
          </w:tcPr>
          <w:p w:rsidR="005B70BA" w:rsidRPr="005B70BA" w:rsidRDefault="005B70BA" w:rsidP="005B70BA">
            <w:pPr>
              <w:pStyle w:val="a3"/>
              <w:ind w:firstLine="3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Відсутній </w:t>
            </w:r>
          </w:p>
        </w:tc>
        <w:tc>
          <w:tcPr>
            <w:tcW w:w="7883" w:type="dxa"/>
          </w:tcPr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3</w:t>
            </w: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vertAlign w:val="superscript"/>
              </w:rPr>
              <w:t>1</w:t>
            </w: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 Документи для присвоєння, зміни, коригування, анулювання адреси, подаються до уповноважених органів з присвоєння адрес: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виключно в електронній формі через електронний кабінет Єдиної державної електронної системи у сфері будівництва (далі – електронна система) - щодо об’єктів, що за класом наслідків (відповідальності) належать до об’єктів із середніми (СС2) та значними (СС3) наслідками;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особисто через центр надання адміністративних послуг або в електронній формі через електронний кабінет електронної системи або надсилаються рекомендованим листом з описом вкладення до центру надання адміністративних послуг – щодо об’єктів, що за класом наслідків (відповідальності) належать до об’єктів з незначними наслідками (СС1).</w:t>
            </w:r>
          </w:p>
          <w:p w:rsidR="005B70BA" w:rsidRPr="005B70BA" w:rsidRDefault="005B70BA" w:rsidP="005B70BA">
            <w:pPr>
              <w:pStyle w:val="a3"/>
              <w:ind w:firstLine="40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B70B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Документи, щодо об’єктів, на які поширюється дія Закону України “Про державну таємницю”, подаються замовником до уповноважених органів з присвоєння адрес в паперовій формі із дотриманням вимог Закону України “Про державну таємницю”.</w:t>
            </w:r>
          </w:p>
        </w:tc>
      </w:tr>
    </w:tbl>
    <w:p w:rsidR="00EC3282" w:rsidRDefault="00EC3282" w:rsidP="00EC328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B70BA" w:rsidRPr="005B70BA" w:rsidRDefault="005B70BA" w:rsidP="005B70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5B70BA">
        <w:rPr>
          <w:rFonts w:ascii="TimesNewRomanPSMT" w:hAnsi="TimesNewRomanPSMT" w:cs="TimesNewRomanPSMT"/>
          <w:sz w:val="28"/>
          <w:szCs w:val="28"/>
        </w:rPr>
        <w:t>Віце-прем’єр-міністр з відновлення України – Міністр</w:t>
      </w:r>
    </w:p>
    <w:p w:rsidR="005B70BA" w:rsidRPr="005B70BA" w:rsidRDefault="005B70BA" w:rsidP="005B70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5B70BA">
        <w:rPr>
          <w:rFonts w:ascii="TimesNewRomanPSMT" w:hAnsi="TimesNewRomanPSMT" w:cs="TimesNewRomanPSMT"/>
          <w:sz w:val="28"/>
          <w:szCs w:val="28"/>
        </w:rPr>
        <w:t xml:space="preserve">розвитку громад, територій та інфраструктури України </w:t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 w:rsidRPr="005B70BA">
        <w:rPr>
          <w:rFonts w:ascii="TimesNewRomanPSMT" w:hAnsi="TimesNewRomanPSMT" w:cs="TimesNewRomanPSMT"/>
          <w:sz w:val="28"/>
          <w:szCs w:val="28"/>
        </w:rPr>
        <w:t>Олександр КУБРАКОВ</w:t>
      </w:r>
    </w:p>
    <w:p w:rsidR="005B70BA" w:rsidRDefault="005B70BA" w:rsidP="005B70B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5B70BA" w:rsidRPr="00EC3282" w:rsidRDefault="005B70BA" w:rsidP="005B70B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6"/>
          <w:szCs w:val="26"/>
        </w:rPr>
        <w:t>«___» ______________ 2023 р.</w:t>
      </w:r>
    </w:p>
    <w:sectPr w:rsidR="005B70BA" w:rsidRPr="00EC3282" w:rsidSect="005B70BA">
      <w:headerReference w:type="default" r:id="rId6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5F" w:rsidRDefault="0045015F" w:rsidP="005B70BA">
      <w:pPr>
        <w:spacing w:after="0" w:line="240" w:lineRule="auto"/>
      </w:pPr>
      <w:r>
        <w:separator/>
      </w:r>
    </w:p>
  </w:endnote>
  <w:endnote w:type="continuationSeparator" w:id="0">
    <w:p w:rsidR="0045015F" w:rsidRDefault="0045015F" w:rsidP="005B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5F" w:rsidRDefault="0045015F" w:rsidP="005B70BA">
      <w:pPr>
        <w:spacing w:after="0" w:line="240" w:lineRule="auto"/>
      </w:pPr>
      <w:r>
        <w:separator/>
      </w:r>
    </w:p>
  </w:footnote>
  <w:footnote w:type="continuationSeparator" w:id="0">
    <w:p w:rsidR="0045015F" w:rsidRDefault="0045015F" w:rsidP="005B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581012"/>
      <w:docPartObj>
        <w:docPartGallery w:val="Page Numbers (Top of Page)"/>
        <w:docPartUnique/>
      </w:docPartObj>
    </w:sdtPr>
    <w:sdtEndPr/>
    <w:sdtContent>
      <w:p w:rsidR="005B70BA" w:rsidRDefault="005B70BA">
        <w:pPr>
          <w:pStyle w:val="a5"/>
          <w:jc w:val="center"/>
        </w:pPr>
        <w:r w:rsidRPr="005B70BA">
          <w:rPr>
            <w:rFonts w:ascii="Times New Roman" w:hAnsi="Times New Roman" w:cs="Times New Roman"/>
          </w:rPr>
          <w:fldChar w:fldCharType="begin"/>
        </w:r>
        <w:r w:rsidRPr="005B70BA">
          <w:rPr>
            <w:rFonts w:ascii="Times New Roman" w:hAnsi="Times New Roman" w:cs="Times New Roman"/>
          </w:rPr>
          <w:instrText>PAGE   \* MERGEFORMAT</w:instrText>
        </w:r>
        <w:r w:rsidRPr="005B70BA">
          <w:rPr>
            <w:rFonts w:ascii="Times New Roman" w:hAnsi="Times New Roman" w:cs="Times New Roman"/>
          </w:rPr>
          <w:fldChar w:fldCharType="separate"/>
        </w:r>
        <w:r w:rsidR="007D3E94">
          <w:rPr>
            <w:rFonts w:ascii="Times New Roman" w:hAnsi="Times New Roman" w:cs="Times New Roman"/>
            <w:noProof/>
          </w:rPr>
          <w:t>8</w:t>
        </w:r>
        <w:r w:rsidRPr="005B70BA">
          <w:rPr>
            <w:rFonts w:ascii="Times New Roman" w:hAnsi="Times New Roman" w:cs="Times New Roman"/>
          </w:rPr>
          <w:fldChar w:fldCharType="end"/>
        </w:r>
      </w:p>
    </w:sdtContent>
  </w:sdt>
  <w:p w:rsidR="005B70BA" w:rsidRDefault="005B7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14"/>
    <w:rsid w:val="00174CA3"/>
    <w:rsid w:val="00220814"/>
    <w:rsid w:val="0031547C"/>
    <w:rsid w:val="003168E2"/>
    <w:rsid w:val="0045015F"/>
    <w:rsid w:val="0051036F"/>
    <w:rsid w:val="005B70BA"/>
    <w:rsid w:val="00681410"/>
    <w:rsid w:val="007D3E94"/>
    <w:rsid w:val="009F3662"/>
    <w:rsid w:val="00D33427"/>
    <w:rsid w:val="00DE1425"/>
    <w:rsid w:val="00E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3AF6-22DD-4228-A962-1CE1B86C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8E2"/>
    <w:pPr>
      <w:spacing w:after="0" w:line="240" w:lineRule="auto"/>
    </w:pPr>
  </w:style>
  <w:style w:type="table" w:styleId="a4">
    <w:name w:val="Table Grid"/>
    <w:basedOn w:val="a1"/>
    <w:uiPriority w:val="39"/>
    <w:rsid w:val="00EC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70BA"/>
  </w:style>
  <w:style w:type="paragraph" w:styleId="a7">
    <w:name w:val="footer"/>
    <w:basedOn w:val="a"/>
    <w:link w:val="a8"/>
    <w:uiPriority w:val="99"/>
    <w:unhideWhenUsed/>
    <w:rsid w:val="005B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9699</Words>
  <Characters>5529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Корнієнко Ірина Віталіївна</dc:creator>
  <cp:keywords/>
  <dc:description/>
  <cp:lastModifiedBy>Корнієнко Ірина Віталіївна</cp:lastModifiedBy>
  <cp:revision>5</cp:revision>
  <dcterms:created xsi:type="dcterms:W3CDTF">2023-02-28T14:31:00Z</dcterms:created>
  <dcterms:modified xsi:type="dcterms:W3CDTF">2023-03-17T12:54:00Z</dcterms:modified>
</cp:coreProperties>
</file>