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25631" w14:textId="77777777" w:rsidR="003C39A0" w:rsidRPr="00F7670C" w:rsidRDefault="00F7670C">
      <w:pPr>
        <w:spacing w:after="0" w:line="240" w:lineRule="auto"/>
        <w:ind w:firstLine="460"/>
        <w:jc w:val="center"/>
        <w:rPr>
          <w:rFonts w:ascii="Times New Roman" w:eastAsia="Times New Roman" w:hAnsi="Times New Roman" w:cs="Times New Roman"/>
          <w:b/>
          <w:color w:val="000000"/>
          <w:sz w:val="26"/>
          <w:szCs w:val="26"/>
          <w:highlight w:val="white"/>
        </w:rPr>
      </w:pPr>
      <w:bookmarkStart w:id="0" w:name="_GoBack"/>
      <w:bookmarkEnd w:id="0"/>
      <w:r w:rsidRPr="00F7670C">
        <w:rPr>
          <w:rFonts w:ascii="Times New Roman" w:eastAsia="Times New Roman" w:hAnsi="Times New Roman" w:cs="Times New Roman"/>
          <w:b/>
          <w:color w:val="000000"/>
          <w:sz w:val="26"/>
          <w:szCs w:val="26"/>
          <w:highlight w:val="white"/>
        </w:rPr>
        <w:t>ПОРІВНЯЛЬНА ТАБЛИЦЯ</w:t>
      </w:r>
    </w:p>
    <w:p w14:paraId="53691387" w14:textId="77777777" w:rsidR="00F7670C" w:rsidRDefault="00F7670C">
      <w:pPr>
        <w:spacing w:after="0" w:line="240" w:lineRule="auto"/>
        <w:ind w:firstLine="460"/>
        <w:jc w:val="center"/>
        <w:rPr>
          <w:rFonts w:ascii="Times New Roman" w:eastAsia="Times New Roman" w:hAnsi="Times New Roman" w:cs="Times New Roman"/>
          <w:b/>
          <w:sz w:val="26"/>
          <w:szCs w:val="26"/>
        </w:rPr>
      </w:pPr>
      <w:r w:rsidRPr="00F7670C">
        <w:rPr>
          <w:color w:val="000000"/>
          <w:sz w:val="26"/>
          <w:szCs w:val="26"/>
        </w:rPr>
        <w:t> </w:t>
      </w:r>
      <w:r w:rsidRPr="00F7670C">
        <w:rPr>
          <w:rFonts w:ascii="Times New Roman" w:eastAsia="Times New Roman" w:hAnsi="Times New Roman" w:cs="Times New Roman"/>
          <w:b/>
          <w:color w:val="000000"/>
          <w:sz w:val="26"/>
          <w:szCs w:val="26"/>
          <w:highlight w:val="white"/>
        </w:rPr>
        <w:t xml:space="preserve">до проєкту </w:t>
      </w:r>
      <w:r w:rsidRPr="00F7670C">
        <w:rPr>
          <w:rFonts w:ascii="Times New Roman" w:eastAsia="Times New Roman" w:hAnsi="Times New Roman" w:cs="Times New Roman"/>
          <w:b/>
          <w:sz w:val="26"/>
          <w:szCs w:val="26"/>
          <w:highlight w:val="white"/>
        </w:rPr>
        <w:t xml:space="preserve">постанови Кабінету Міністрів </w:t>
      </w:r>
      <w:r w:rsidRPr="00F7670C">
        <w:rPr>
          <w:rFonts w:ascii="Times New Roman" w:eastAsia="Times New Roman" w:hAnsi="Times New Roman" w:cs="Times New Roman"/>
          <w:b/>
          <w:sz w:val="26"/>
          <w:szCs w:val="26"/>
        </w:rPr>
        <w:t xml:space="preserve">України </w:t>
      </w:r>
    </w:p>
    <w:p w14:paraId="772159E8" w14:textId="699D523E" w:rsidR="003C39A0" w:rsidRPr="00F7670C" w:rsidRDefault="004C0F32">
      <w:pPr>
        <w:spacing w:after="0" w:line="240" w:lineRule="auto"/>
        <w:ind w:firstLine="460"/>
        <w:jc w:val="center"/>
        <w:rPr>
          <w:rFonts w:ascii="Times New Roman" w:eastAsia="Times New Roman" w:hAnsi="Times New Roman" w:cs="Times New Roman"/>
          <w:sz w:val="26"/>
          <w:szCs w:val="26"/>
          <w:highlight w:val="yellow"/>
        </w:rPr>
      </w:pPr>
      <w:r w:rsidRPr="00F7670C">
        <w:rPr>
          <w:rFonts w:ascii="Times New Roman" w:eastAsia="Times New Roman" w:hAnsi="Times New Roman" w:cs="Times New Roman"/>
          <w:b/>
          <w:sz w:val="26"/>
          <w:szCs w:val="26"/>
        </w:rPr>
        <w:t>«</w:t>
      </w:r>
      <w:r w:rsidR="00F7670C" w:rsidRPr="00F7670C">
        <w:rPr>
          <w:rFonts w:ascii="Times New Roman" w:eastAsia="Times New Roman" w:hAnsi="Times New Roman" w:cs="Times New Roman"/>
          <w:b/>
          <w:sz w:val="26"/>
          <w:szCs w:val="26"/>
        </w:rPr>
        <w:t>Про</w:t>
      </w:r>
      <w:r w:rsidR="005D5874" w:rsidRPr="00F7670C">
        <w:rPr>
          <w:rFonts w:ascii="Times New Roman" w:eastAsia="Times New Roman" w:hAnsi="Times New Roman" w:cs="Times New Roman"/>
          <w:b/>
          <w:sz w:val="26"/>
          <w:szCs w:val="26"/>
        </w:rPr>
        <w:t xml:space="preserve"> реалізацію експериментальних проектів у сфері містобудівної діяльності</w:t>
      </w:r>
      <w:r w:rsidRPr="00F7670C">
        <w:rPr>
          <w:rFonts w:ascii="Times New Roman" w:eastAsia="Times New Roman" w:hAnsi="Times New Roman" w:cs="Times New Roman"/>
          <w:b/>
          <w:sz w:val="26"/>
          <w:szCs w:val="26"/>
        </w:rPr>
        <w:t>»</w:t>
      </w:r>
    </w:p>
    <w:p w14:paraId="55831DC1" w14:textId="77777777" w:rsidR="003C39A0" w:rsidRDefault="00F7670C">
      <w:pPr>
        <w:spacing w:after="0" w:line="240" w:lineRule="auto"/>
        <w:rPr>
          <w:rFonts w:ascii="Times New Roman" w:eastAsia="Times New Roman" w:hAnsi="Times New Roman" w:cs="Times New Roman"/>
          <w:sz w:val="28"/>
          <w:szCs w:val="28"/>
        </w:rPr>
      </w:pPr>
      <w:r>
        <w:rPr>
          <w:color w:val="000000"/>
          <w:sz w:val="28"/>
          <w:szCs w:val="28"/>
        </w:rPr>
        <w:t> </w:t>
      </w:r>
    </w:p>
    <w:tbl>
      <w:tblPr>
        <w:tblStyle w:val="a5"/>
        <w:tblW w:w="15128" w:type="dxa"/>
        <w:tblInd w:w="0" w:type="dxa"/>
        <w:tblLayout w:type="fixed"/>
        <w:tblLook w:val="0400" w:firstRow="0" w:lastRow="0" w:firstColumn="0" w:lastColumn="0" w:noHBand="0" w:noVBand="1"/>
      </w:tblPr>
      <w:tblGrid>
        <w:gridCol w:w="7564"/>
        <w:gridCol w:w="7564"/>
      </w:tblGrid>
      <w:tr w:rsidR="003C39A0" w:rsidRPr="005D5874" w14:paraId="7AD77694" w14:textId="77777777">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AB6C2" w14:textId="77777777" w:rsidR="00F7670C" w:rsidRPr="00F7670C" w:rsidRDefault="00F7670C">
            <w:pPr>
              <w:spacing w:after="0" w:line="240" w:lineRule="auto"/>
              <w:jc w:val="center"/>
              <w:rPr>
                <w:rFonts w:ascii="Times New Roman" w:eastAsia="Times New Roman" w:hAnsi="Times New Roman" w:cs="Times New Roman"/>
                <w:b/>
                <w:sz w:val="16"/>
                <w:szCs w:val="16"/>
              </w:rPr>
            </w:pPr>
          </w:p>
          <w:p w14:paraId="127F7440" w14:textId="3E9B65BC" w:rsidR="003C39A0" w:rsidRPr="00F7670C" w:rsidRDefault="00F7670C">
            <w:pPr>
              <w:spacing w:after="0" w:line="240" w:lineRule="auto"/>
              <w:jc w:val="center"/>
              <w:rPr>
                <w:rFonts w:ascii="Times New Roman" w:eastAsia="Times New Roman" w:hAnsi="Times New Roman" w:cs="Times New Roman"/>
                <w:b/>
                <w:sz w:val="26"/>
                <w:szCs w:val="26"/>
              </w:rPr>
            </w:pPr>
            <w:r w:rsidRPr="00F7670C">
              <w:rPr>
                <w:rFonts w:ascii="Times New Roman" w:eastAsia="Times New Roman" w:hAnsi="Times New Roman" w:cs="Times New Roman"/>
                <w:b/>
                <w:sz w:val="26"/>
                <w:szCs w:val="26"/>
              </w:rPr>
              <w:t>Зміст положення акта законодавства</w:t>
            </w:r>
          </w:p>
          <w:p w14:paraId="22195459" w14:textId="77777777" w:rsidR="00F7670C" w:rsidRPr="00F7670C" w:rsidRDefault="00F7670C">
            <w:pPr>
              <w:spacing w:after="0" w:line="240" w:lineRule="auto"/>
              <w:jc w:val="center"/>
              <w:rPr>
                <w:rFonts w:ascii="Times New Roman" w:eastAsia="Times New Roman" w:hAnsi="Times New Roman" w:cs="Times New Roman"/>
                <w:sz w:val="26"/>
                <w:szCs w:val="26"/>
              </w:rPr>
            </w:pPr>
          </w:p>
        </w:tc>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01CE6" w14:textId="77777777" w:rsidR="00F7670C" w:rsidRPr="00F7670C" w:rsidRDefault="00F7670C">
            <w:pPr>
              <w:spacing w:after="0" w:line="240" w:lineRule="auto"/>
              <w:jc w:val="center"/>
              <w:rPr>
                <w:rFonts w:ascii="Times New Roman" w:eastAsia="Times New Roman" w:hAnsi="Times New Roman" w:cs="Times New Roman"/>
                <w:b/>
                <w:sz w:val="16"/>
                <w:szCs w:val="16"/>
              </w:rPr>
            </w:pPr>
          </w:p>
          <w:p w14:paraId="40C5AF00" w14:textId="4C622C08" w:rsidR="003C39A0" w:rsidRPr="00F7670C" w:rsidRDefault="00F7670C">
            <w:pPr>
              <w:spacing w:after="0" w:line="240" w:lineRule="auto"/>
              <w:jc w:val="center"/>
              <w:rPr>
                <w:rFonts w:ascii="Times New Roman" w:eastAsia="Times New Roman" w:hAnsi="Times New Roman" w:cs="Times New Roman"/>
                <w:sz w:val="26"/>
                <w:szCs w:val="26"/>
              </w:rPr>
            </w:pPr>
            <w:r w:rsidRPr="00F7670C">
              <w:rPr>
                <w:rFonts w:ascii="Times New Roman" w:eastAsia="Times New Roman" w:hAnsi="Times New Roman" w:cs="Times New Roman"/>
                <w:b/>
                <w:sz w:val="26"/>
                <w:szCs w:val="26"/>
              </w:rPr>
              <w:t>Зміст відповідного положення проекту акта</w:t>
            </w:r>
          </w:p>
        </w:tc>
      </w:tr>
      <w:tr w:rsidR="003C39A0" w:rsidRPr="005D5874" w14:paraId="3B7E8278" w14:textId="77777777">
        <w:trPr>
          <w:trHeight w:val="280"/>
        </w:trPr>
        <w:tc>
          <w:tcPr>
            <w:tcW w:w="151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E3C59" w14:textId="77777777" w:rsidR="004C0F32" w:rsidRPr="00F7670C" w:rsidRDefault="004C0F32">
            <w:pPr>
              <w:spacing w:after="0" w:line="240" w:lineRule="auto"/>
              <w:jc w:val="center"/>
              <w:rPr>
                <w:rFonts w:ascii="Times New Roman" w:eastAsia="Times New Roman" w:hAnsi="Times New Roman" w:cs="Times New Roman"/>
                <w:b/>
                <w:sz w:val="16"/>
                <w:szCs w:val="16"/>
              </w:rPr>
            </w:pPr>
          </w:p>
          <w:p w14:paraId="5112C4F9" w14:textId="5B8B0673" w:rsidR="003C39A0" w:rsidRPr="00F7670C" w:rsidRDefault="00F7670C" w:rsidP="00F7670C">
            <w:pPr>
              <w:spacing w:after="0" w:line="240" w:lineRule="auto"/>
              <w:jc w:val="center"/>
              <w:rPr>
                <w:rFonts w:ascii="Times New Roman" w:eastAsia="Times New Roman" w:hAnsi="Times New Roman" w:cs="Times New Roman"/>
                <w:b/>
                <w:sz w:val="26"/>
                <w:szCs w:val="26"/>
              </w:rPr>
            </w:pPr>
            <w:r w:rsidRPr="00F7670C">
              <w:rPr>
                <w:rFonts w:ascii="Times New Roman" w:eastAsia="Times New Roman" w:hAnsi="Times New Roman" w:cs="Times New Roman"/>
                <w:b/>
                <w:sz w:val="26"/>
                <w:szCs w:val="26"/>
              </w:rPr>
              <w:t xml:space="preserve">Постанова Кабінету Міністрів України від 3 березня 2004 р. № 220 </w:t>
            </w:r>
            <w:r w:rsidR="004C0F32" w:rsidRPr="00F7670C">
              <w:rPr>
                <w:rFonts w:ascii="Times New Roman" w:eastAsia="Times New Roman" w:hAnsi="Times New Roman" w:cs="Times New Roman"/>
                <w:b/>
                <w:sz w:val="26"/>
                <w:szCs w:val="26"/>
              </w:rPr>
              <w:t>«</w:t>
            </w:r>
            <w:r w:rsidRPr="00F7670C">
              <w:rPr>
                <w:rFonts w:ascii="Times New Roman" w:eastAsia="Times New Roman" w:hAnsi="Times New Roman" w:cs="Times New Roman"/>
                <w:b/>
                <w:sz w:val="26"/>
                <w:szCs w:val="26"/>
              </w:rPr>
              <w:t>Про затвердження Типового договору оренди землі</w:t>
            </w:r>
            <w:r w:rsidR="004C0F32" w:rsidRPr="00F7670C">
              <w:rPr>
                <w:rFonts w:ascii="Times New Roman" w:eastAsia="Times New Roman" w:hAnsi="Times New Roman" w:cs="Times New Roman"/>
                <w:b/>
                <w:sz w:val="26"/>
                <w:szCs w:val="26"/>
              </w:rPr>
              <w:t>»</w:t>
            </w:r>
          </w:p>
          <w:p w14:paraId="36ECF4F7" w14:textId="1C4D7E98" w:rsidR="004C0F32" w:rsidRPr="00F7670C" w:rsidRDefault="004C0F32">
            <w:pPr>
              <w:spacing w:after="0" w:line="240" w:lineRule="auto"/>
              <w:jc w:val="center"/>
              <w:rPr>
                <w:rFonts w:ascii="Times New Roman" w:eastAsia="Times New Roman" w:hAnsi="Times New Roman" w:cs="Times New Roman"/>
                <w:sz w:val="16"/>
                <w:szCs w:val="16"/>
              </w:rPr>
            </w:pPr>
          </w:p>
        </w:tc>
      </w:tr>
      <w:tr w:rsidR="003C39A0" w:rsidRPr="005D5874" w14:paraId="75AC783C" w14:textId="77777777">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00E28" w14:textId="77777777" w:rsidR="003C39A0" w:rsidRPr="005D5874" w:rsidRDefault="00F7670C">
            <w:pPr>
              <w:spacing w:after="0" w:line="240" w:lineRule="auto"/>
              <w:jc w:val="right"/>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ЗАТВЕРДЖЕНО</w:t>
            </w:r>
          </w:p>
          <w:p w14:paraId="230C0932" w14:textId="77777777" w:rsidR="003C39A0" w:rsidRPr="005D5874" w:rsidRDefault="00F7670C">
            <w:pPr>
              <w:spacing w:after="0" w:line="240" w:lineRule="auto"/>
              <w:jc w:val="right"/>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постановою Кабінету Міністрів України</w:t>
            </w:r>
          </w:p>
          <w:p w14:paraId="1FC995F6" w14:textId="77777777" w:rsidR="003C39A0" w:rsidRPr="005D5874" w:rsidRDefault="00F7670C">
            <w:pPr>
              <w:spacing w:after="0" w:line="240" w:lineRule="auto"/>
              <w:jc w:val="right"/>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від 3 березня 2004 р. № 220</w:t>
            </w:r>
          </w:p>
          <w:p w14:paraId="138ACD32"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4EEEADF0" w14:textId="77777777" w:rsidR="003C39A0" w:rsidRPr="005D5874" w:rsidRDefault="00F7670C">
            <w:pPr>
              <w:spacing w:after="0" w:line="240" w:lineRule="auto"/>
              <w:jc w:val="center"/>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ТИПОВИЙ</w:t>
            </w:r>
            <w:r w:rsidRPr="005D5874">
              <w:rPr>
                <w:rFonts w:ascii="Times New Roman" w:eastAsia="Times New Roman" w:hAnsi="Times New Roman" w:cs="Times New Roman"/>
                <w:sz w:val="24"/>
                <w:szCs w:val="24"/>
              </w:rPr>
              <w:br/>
              <w:t xml:space="preserve"> договір оренди землі</w:t>
            </w:r>
          </w:p>
          <w:p w14:paraId="3593A190"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w:t>
            </w:r>
          </w:p>
          <w:p w14:paraId="7BA9CED3"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3C7079BA" w14:textId="77777777" w:rsidR="003C39A0" w:rsidRPr="005D5874" w:rsidRDefault="00F7670C">
            <w:pPr>
              <w:spacing w:after="0" w:line="240" w:lineRule="auto"/>
              <w:jc w:val="center"/>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Умови використання земельної ділянки (земельних ділянок)</w:t>
            </w:r>
          </w:p>
          <w:p w14:paraId="41FA9ED3"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 xml:space="preserve"> </w:t>
            </w:r>
          </w:p>
          <w:p w14:paraId="46ABDEB7" w14:textId="77777777" w:rsidR="003C39A0" w:rsidRPr="005D5874" w:rsidRDefault="00F7670C">
            <w:pPr>
              <w:spacing w:after="0" w:line="240" w:lineRule="auto"/>
              <w:ind w:firstLine="20"/>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15. Земельна ділянка (земельні ділянки) передається в оренду для _____________________________________________________________</w:t>
            </w:r>
            <w:r w:rsidRPr="005D5874">
              <w:rPr>
                <w:rFonts w:ascii="Times New Roman" w:eastAsia="Times New Roman" w:hAnsi="Times New Roman" w:cs="Times New Roman"/>
                <w:sz w:val="24"/>
                <w:szCs w:val="24"/>
              </w:rPr>
              <w:br/>
              <w:t xml:space="preserve">                                            (мета використання)</w:t>
            </w:r>
          </w:p>
          <w:p w14:paraId="4A8BF90F"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_____________________________________________________________</w:t>
            </w:r>
          </w:p>
          <w:p w14:paraId="76DE8179"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5119F4AB" w14:textId="77777777" w:rsidR="003C39A0" w:rsidRPr="005D5874" w:rsidRDefault="00F7670C">
            <w:pPr>
              <w:spacing w:after="0" w:line="240" w:lineRule="auto"/>
              <w:ind w:firstLine="20"/>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16. Цільове призначення земельної ділянки (земельних ділянок) __________________________________________________________________________________________________________________________</w:t>
            </w:r>
          </w:p>
          <w:p w14:paraId="6BCC2BBF"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12B7203F"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17. Умови збереження стану об'єкта оренди**____________________</w:t>
            </w:r>
          </w:p>
          <w:p w14:paraId="165CCD0F"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w:t>
            </w:r>
          </w:p>
          <w:p w14:paraId="43664E09" w14:textId="7445921A" w:rsidR="00F7670C" w:rsidRDefault="00F7670C">
            <w:pPr>
              <w:spacing w:after="0" w:line="240" w:lineRule="auto"/>
              <w:rPr>
                <w:rFonts w:ascii="Times New Roman" w:eastAsia="Times New Roman" w:hAnsi="Times New Roman" w:cs="Times New Roman"/>
                <w:sz w:val="24"/>
                <w:szCs w:val="24"/>
              </w:rPr>
            </w:pPr>
          </w:p>
          <w:p w14:paraId="2C02EA08" w14:textId="77777777" w:rsidR="004F6BA6" w:rsidRDefault="004F6BA6">
            <w:pPr>
              <w:spacing w:after="0" w:line="240" w:lineRule="auto"/>
              <w:rPr>
                <w:rFonts w:ascii="Times New Roman" w:eastAsia="Times New Roman" w:hAnsi="Times New Roman" w:cs="Times New Roman"/>
                <w:sz w:val="24"/>
                <w:szCs w:val="24"/>
              </w:rPr>
            </w:pPr>
          </w:p>
          <w:p w14:paraId="2BEE5E36" w14:textId="6AB1D5DC" w:rsidR="003C39A0" w:rsidRPr="005D5874" w:rsidRDefault="00F7670C">
            <w:pPr>
              <w:spacing w:after="0" w:line="240" w:lineRule="auto"/>
              <w:rPr>
                <w:rFonts w:ascii="Times New Roman" w:eastAsia="Times New Roman" w:hAnsi="Times New Roman" w:cs="Times New Roman"/>
                <w:b/>
                <w:sz w:val="24"/>
                <w:szCs w:val="24"/>
              </w:rPr>
            </w:pPr>
            <w:r w:rsidRPr="00F7670C">
              <w:rPr>
                <w:rFonts w:ascii="Times New Roman" w:eastAsia="Times New Roman" w:hAnsi="Times New Roman" w:cs="Times New Roman"/>
                <w:b/>
                <w:bCs/>
                <w:sz w:val="24"/>
                <w:szCs w:val="24"/>
              </w:rPr>
              <w:t>В</w:t>
            </w:r>
            <w:r w:rsidRPr="005D5874">
              <w:rPr>
                <w:rFonts w:ascii="Times New Roman" w:eastAsia="Times New Roman" w:hAnsi="Times New Roman" w:cs="Times New Roman"/>
                <w:b/>
                <w:sz w:val="24"/>
                <w:szCs w:val="24"/>
              </w:rPr>
              <w:t>ідсутній</w:t>
            </w:r>
          </w:p>
          <w:p w14:paraId="72A110F0"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2813ABEE"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15B79883"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3F62A545"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466B0D13"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13E176E9"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4B9B766D"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261B0CC4"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76C57485" w14:textId="7306F778" w:rsidR="003C39A0" w:rsidRPr="005D5874" w:rsidRDefault="00F76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Pr="005D5874">
              <w:rPr>
                <w:rFonts w:ascii="Times New Roman" w:eastAsia="Times New Roman" w:hAnsi="Times New Roman" w:cs="Times New Roman"/>
                <w:b/>
                <w:sz w:val="24"/>
                <w:szCs w:val="24"/>
              </w:rPr>
              <w:t>ідсутній</w:t>
            </w:r>
          </w:p>
          <w:p w14:paraId="101410CC"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6CD52CF6"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492AC4D0"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08CD4BB0"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46DD5689"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344D9711"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1FA94417"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3BA5E2D3"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65FB8288"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7CCB78FD"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24ED7D18"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45E4CCDF"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759467F7"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59657094"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239CD5BA"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52C012FE" w14:textId="77777777" w:rsidR="003C39A0" w:rsidRPr="005D5874" w:rsidRDefault="003C39A0">
            <w:pPr>
              <w:spacing w:after="0" w:line="240" w:lineRule="auto"/>
              <w:jc w:val="center"/>
              <w:rPr>
                <w:rFonts w:ascii="Times New Roman" w:eastAsia="Times New Roman" w:hAnsi="Times New Roman" w:cs="Times New Roman"/>
                <w:sz w:val="24"/>
                <w:szCs w:val="24"/>
              </w:rPr>
            </w:pPr>
          </w:p>
          <w:p w14:paraId="3E44DB24" w14:textId="77777777" w:rsidR="003C39A0" w:rsidRPr="005D5874" w:rsidRDefault="00F7670C">
            <w:pPr>
              <w:spacing w:after="0" w:line="240" w:lineRule="auto"/>
              <w:jc w:val="center"/>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Умови повернення земельної ділянки (земельних ділянок)</w:t>
            </w:r>
          </w:p>
          <w:p w14:paraId="7297C393"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4336D3E4" w14:textId="77777777" w:rsidR="003C39A0" w:rsidRPr="005D5874" w:rsidRDefault="00F7670C">
            <w:pPr>
              <w:spacing w:after="0" w:line="240" w:lineRule="auto"/>
              <w:ind w:firstLine="20"/>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в оренду.</w:t>
            </w:r>
          </w:p>
          <w:p w14:paraId="0837515F" w14:textId="77777777" w:rsidR="003C39A0" w:rsidRDefault="00F7670C">
            <w:pPr>
              <w:spacing w:after="0" w:line="240" w:lineRule="auto"/>
              <w:ind w:firstLine="20"/>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lastRenderedPageBreak/>
              <w:t>…</w:t>
            </w:r>
          </w:p>
          <w:p w14:paraId="2ACFAD3F" w14:textId="77777777" w:rsidR="00F7670C" w:rsidRDefault="00F7670C">
            <w:pPr>
              <w:spacing w:after="0" w:line="240" w:lineRule="auto"/>
              <w:ind w:firstLine="20"/>
              <w:jc w:val="both"/>
              <w:rPr>
                <w:rFonts w:ascii="Times New Roman" w:eastAsia="Times New Roman" w:hAnsi="Times New Roman" w:cs="Times New Roman"/>
                <w:sz w:val="24"/>
                <w:szCs w:val="24"/>
              </w:rPr>
            </w:pPr>
          </w:p>
          <w:p w14:paraId="296BA47A" w14:textId="77777777" w:rsidR="00F7670C" w:rsidRPr="005D5874" w:rsidRDefault="00F7670C">
            <w:pPr>
              <w:spacing w:after="0" w:line="240" w:lineRule="auto"/>
              <w:ind w:firstLine="20"/>
              <w:jc w:val="both"/>
              <w:rPr>
                <w:rFonts w:ascii="Times New Roman" w:eastAsia="Times New Roman" w:hAnsi="Times New Roman" w:cs="Times New Roman"/>
                <w:sz w:val="24"/>
                <w:szCs w:val="24"/>
              </w:rPr>
            </w:pPr>
          </w:p>
        </w:tc>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19D36" w14:textId="77777777" w:rsidR="003C39A0" w:rsidRPr="005D5874" w:rsidRDefault="00F7670C">
            <w:pPr>
              <w:spacing w:after="0" w:line="240" w:lineRule="auto"/>
              <w:jc w:val="right"/>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lastRenderedPageBreak/>
              <w:t>ЗАТВЕРДЖЕНО</w:t>
            </w:r>
          </w:p>
          <w:p w14:paraId="6A48DFA1" w14:textId="77777777" w:rsidR="003C39A0" w:rsidRPr="005D5874" w:rsidRDefault="00F7670C">
            <w:pPr>
              <w:spacing w:after="0" w:line="240" w:lineRule="auto"/>
              <w:jc w:val="right"/>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постановою Кабінету Міністрів України</w:t>
            </w:r>
          </w:p>
          <w:p w14:paraId="08B81A7A" w14:textId="77777777" w:rsidR="003C39A0" w:rsidRPr="005D5874" w:rsidRDefault="00F7670C">
            <w:pPr>
              <w:spacing w:after="0" w:line="240" w:lineRule="auto"/>
              <w:jc w:val="right"/>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від 3 березня 2004 р. № 220</w:t>
            </w:r>
          </w:p>
          <w:p w14:paraId="19DC7EE2"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3AFC5F4C" w14:textId="77777777" w:rsidR="003C39A0" w:rsidRPr="005D5874" w:rsidRDefault="00F7670C">
            <w:pPr>
              <w:spacing w:after="0" w:line="240" w:lineRule="auto"/>
              <w:jc w:val="center"/>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ТИПОВИЙ</w:t>
            </w:r>
            <w:r w:rsidRPr="005D5874">
              <w:rPr>
                <w:rFonts w:ascii="Times New Roman" w:eastAsia="Times New Roman" w:hAnsi="Times New Roman" w:cs="Times New Roman"/>
                <w:sz w:val="24"/>
                <w:szCs w:val="24"/>
              </w:rPr>
              <w:br/>
              <w:t xml:space="preserve"> договір оренди землі</w:t>
            </w:r>
          </w:p>
          <w:p w14:paraId="7EE0AD1D"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w:t>
            </w:r>
          </w:p>
          <w:p w14:paraId="0C5E2ED2"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1436D661" w14:textId="77777777" w:rsidR="003C39A0" w:rsidRPr="005D5874" w:rsidRDefault="00F7670C">
            <w:pPr>
              <w:spacing w:after="0" w:line="240" w:lineRule="auto"/>
              <w:jc w:val="center"/>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Умови використання земельної ділянки (земельних ділянок)</w:t>
            </w:r>
          </w:p>
          <w:p w14:paraId="16CB0189"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 xml:space="preserve"> </w:t>
            </w:r>
          </w:p>
          <w:p w14:paraId="0506A463" w14:textId="77777777" w:rsidR="003C39A0" w:rsidRPr="005D5874" w:rsidRDefault="00F7670C">
            <w:pPr>
              <w:spacing w:after="0" w:line="240" w:lineRule="auto"/>
              <w:ind w:firstLine="20"/>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15. Земельна ділянка (земельні ділянки) передається в оренду для _____________________________________________________________</w:t>
            </w:r>
            <w:r w:rsidRPr="005D5874">
              <w:rPr>
                <w:rFonts w:ascii="Times New Roman" w:eastAsia="Times New Roman" w:hAnsi="Times New Roman" w:cs="Times New Roman"/>
                <w:sz w:val="24"/>
                <w:szCs w:val="24"/>
              </w:rPr>
              <w:br/>
              <w:t xml:space="preserve">                                            (мета використання)</w:t>
            </w:r>
          </w:p>
          <w:p w14:paraId="6ADD259B"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_____________________________________________________________</w:t>
            </w:r>
          </w:p>
          <w:p w14:paraId="40F89BA0"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1C772DC2" w14:textId="77777777" w:rsidR="003C39A0" w:rsidRPr="005D5874" w:rsidRDefault="00F7670C">
            <w:pPr>
              <w:spacing w:after="0" w:line="240" w:lineRule="auto"/>
              <w:ind w:firstLine="20"/>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16. Цільове призначення земельної ділянки (земельних ділянок) __________________________________________________________________________________________________________________________</w:t>
            </w:r>
          </w:p>
          <w:p w14:paraId="23231CC8"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1513EC11"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17. Умови збереження стану об'єкта оренди**____________________</w:t>
            </w:r>
          </w:p>
          <w:p w14:paraId="3853FFA0" w14:textId="77777777" w:rsidR="003C39A0" w:rsidRPr="005D5874" w:rsidRDefault="00F7670C">
            <w:pPr>
              <w:spacing w:after="0" w:line="240" w:lineRule="auto"/>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w:t>
            </w:r>
          </w:p>
          <w:p w14:paraId="0982607D" w14:textId="0BA5727E" w:rsidR="003C39A0" w:rsidRDefault="003C39A0">
            <w:pPr>
              <w:spacing w:after="0" w:line="240" w:lineRule="auto"/>
              <w:rPr>
                <w:rFonts w:ascii="Times New Roman" w:eastAsia="Times New Roman" w:hAnsi="Times New Roman" w:cs="Times New Roman"/>
                <w:sz w:val="24"/>
                <w:szCs w:val="24"/>
              </w:rPr>
            </w:pPr>
          </w:p>
          <w:p w14:paraId="65260624" w14:textId="77777777" w:rsidR="004F6BA6" w:rsidRPr="005D5874" w:rsidRDefault="004F6BA6">
            <w:pPr>
              <w:spacing w:after="0" w:line="240" w:lineRule="auto"/>
              <w:rPr>
                <w:rFonts w:ascii="Times New Roman" w:eastAsia="Times New Roman" w:hAnsi="Times New Roman" w:cs="Times New Roman"/>
                <w:sz w:val="24"/>
                <w:szCs w:val="24"/>
              </w:rPr>
            </w:pPr>
          </w:p>
          <w:p w14:paraId="69BC5A33"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18. На земельній ділянці дозволено (не дозволено) зводити в</w:t>
            </w:r>
          </w:p>
          <w:p w14:paraId="79DD389B"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w:t>
            </w:r>
          </w:p>
          <w:p w14:paraId="36D18998"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(непотрібне закреслити)  </w:t>
            </w:r>
          </w:p>
          <w:p w14:paraId="1F986CA7"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установленому законодавством порядку жилі, виробничі, культурно-побутові та інші будівлі і споруди. Такі будівельні роботи здійснюються без згоди (за згодою) орендодавця.</w:t>
            </w:r>
          </w:p>
          <w:p w14:paraId="358D13BE"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w:t>
            </w:r>
          </w:p>
          <w:p w14:paraId="003B2809"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(непотрібне закреслити)</w:t>
            </w:r>
          </w:p>
          <w:p w14:paraId="787B83BC" w14:textId="77777777" w:rsidR="003C39A0" w:rsidRPr="005D5874" w:rsidRDefault="003C39A0">
            <w:pPr>
              <w:spacing w:after="0" w:line="240" w:lineRule="auto"/>
              <w:jc w:val="both"/>
              <w:rPr>
                <w:rFonts w:ascii="Times New Roman" w:eastAsia="Times New Roman" w:hAnsi="Times New Roman" w:cs="Times New Roman"/>
                <w:b/>
                <w:sz w:val="24"/>
                <w:szCs w:val="24"/>
              </w:rPr>
            </w:pPr>
          </w:p>
          <w:p w14:paraId="3579B26B"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19. Земельна ділянка може бути передана (не може бути передана)</w:t>
            </w:r>
          </w:p>
          <w:p w14:paraId="18BE831F"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w:t>
            </w:r>
          </w:p>
          <w:p w14:paraId="5FB90457"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(непотрібне закреслити) </w:t>
            </w:r>
          </w:p>
          <w:p w14:paraId="57E873C4"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в суборенду без згоди (за згодою) орендодавця.</w:t>
            </w:r>
          </w:p>
          <w:p w14:paraId="0BAE1134"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w:t>
            </w:r>
          </w:p>
          <w:p w14:paraId="2FD6BA0E"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(непотрібне закреслити)</w:t>
            </w:r>
          </w:p>
          <w:p w14:paraId="5BAC6D79" w14:textId="77777777" w:rsidR="003C39A0" w:rsidRPr="005D5874" w:rsidRDefault="003C39A0">
            <w:pPr>
              <w:spacing w:after="0" w:line="240" w:lineRule="auto"/>
              <w:jc w:val="both"/>
              <w:rPr>
                <w:rFonts w:ascii="Times New Roman" w:eastAsia="Times New Roman" w:hAnsi="Times New Roman" w:cs="Times New Roman"/>
                <w:b/>
                <w:sz w:val="24"/>
                <w:szCs w:val="24"/>
              </w:rPr>
            </w:pPr>
          </w:p>
          <w:p w14:paraId="00F09241"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На       земельній       ділянці,       яка      передана      в      суборенду, </w:t>
            </w:r>
          </w:p>
          <w:p w14:paraId="28276C2E"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дозволено (не дозволено) зводити в установленому законодавством </w:t>
            </w:r>
          </w:p>
          <w:p w14:paraId="0B6DECC5"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w:t>
            </w:r>
          </w:p>
          <w:p w14:paraId="1320E832"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(непотрібне закреслити)</w:t>
            </w:r>
          </w:p>
          <w:p w14:paraId="70787ED8"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порядку жилі, виробничі, культурно-побутові та інші будівлі і споруди. Такі будівельні роботи здійснюються без згоди (за згодою)                          </w:t>
            </w:r>
          </w:p>
          <w:p w14:paraId="59A72143"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w:t>
            </w:r>
          </w:p>
          <w:p w14:paraId="7BB3E213"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 xml:space="preserve">                                                                              (непотрібне закреслити)</w:t>
            </w:r>
          </w:p>
          <w:p w14:paraId="3EF4F1D5" w14:textId="77777777" w:rsidR="003C39A0" w:rsidRPr="005D5874" w:rsidRDefault="00F7670C">
            <w:pPr>
              <w:spacing w:after="0" w:line="240" w:lineRule="auto"/>
              <w:jc w:val="both"/>
              <w:rPr>
                <w:rFonts w:ascii="Times New Roman" w:eastAsia="Times New Roman" w:hAnsi="Times New Roman" w:cs="Times New Roman"/>
                <w:b/>
                <w:sz w:val="24"/>
                <w:szCs w:val="24"/>
              </w:rPr>
            </w:pPr>
            <w:r w:rsidRPr="005D5874">
              <w:rPr>
                <w:rFonts w:ascii="Times New Roman" w:eastAsia="Times New Roman" w:hAnsi="Times New Roman" w:cs="Times New Roman"/>
                <w:b/>
                <w:sz w:val="24"/>
                <w:szCs w:val="24"/>
              </w:rPr>
              <w:t>орендодавця.</w:t>
            </w:r>
          </w:p>
          <w:p w14:paraId="55EE46D4" w14:textId="77777777" w:rsidR="003C39A0" w:rsidRPr="005D5874" w:rsidRDefault="003C39A0">
            <w:pPr>
              <w:spacing w:after="0" w:line="240" w:lineRule="auto"/>
              <w:jc w:val="both"/>
              <w:rPr>
                <w:rFonts w:ascii="Times New Roman" w:eastAsia="Times New Roman" w:hAnsi="Times New Roman" w:cs="Times New Roman"/>
                <w:b/>
                <w:sz w:val="24"/>
                <w:szCs w:val="24"/>
              </w:rPr>
            </w:pPr>
          </w:p>
          <w:p w14:paraId="369F9376" w14:textId="77777777" w:rsidR="003C39A0" w:rsidRPr="005D5874" w:rsidRDefault="00F7670C">
            <w:pPr>
              <w:spacing w:after="0" w:line="240" w:lineRule="auto"/>
              <w:jc w:val="center"/>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Умови повернення земельної ділянки (земельних ділянок)</w:t>
            </w:r>
          </w:p>
          <w:p w14:paraId="22E8F7E0" w14:textId="77777777" w:rsidR="003C39A0" w:rsidRPr="005D5874" w:rsidRDefault="003C39A0">
            <w:pPr>
              <w:spacing w:after="0" w:line="240" w:lineRule="auto"/>
              <w:jc w:val="both"/>
              <w:rPr>
                <w:rFonts w:ascii="Times New Roman" w:eastAsia="Times New Roman" w:hAnsi="Times New Roman" w:cs="Times New Roman"/>
                <w:sz w:val="24"/>
                <w:szCs w:val="24"/>
              </w:rPr>
            </w:pPr>
          </w:p>
          <w:p w14:paraId="5E7A1654" w14:textId="77777777" w:rsidR="003C39A0" w:rsidRPr="005D5874" w:rsidRDefault="00F7670C">
            <w:pPr>
              <w:spacing w:after="0" w:line="240" w:lineRule="auto"/>
              <w:ind w:firstLine="20"/>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в оренду.</w:t>
            </w:r>
          </w:p>
          <w:p w14:paraId="0CB77913" w14:textId="77777777" w:rsidR="003C39A0" w:rsidRPr="005D5874" w:rsidRDefault="00F7670C">
            <w:pPr>
              <w:spacing w:after="0" w:line="240" w:lineRule="auto"/>
              <w:ind w:firstLine="20"/>
              <w:jc w:val="both"/>
              <w:rPr>
                <w:rFonts w:ascii="Times New Roman" w:eastAsia="Times New Roman" w:hAnsi="Times New Roman" w:cs="Times New Roman"/>
                <w:sz w:val="24"/>
                <w:szCs w:val="24"/>
              </w:rPr>
            </w:pPr>
            <w:r w:rsidRPr="005D5874">
              <w:rPr>
                <w:rFonts w:ascii="Times New Roman" w:eastAsia="Times New Roman" w:hAnsi="Times New Roman" w:cs="Times New Roman"/>
                <w:sz w:val="24"/>
                <w:szCs w:val="24"/>
              </w:rPr>
              <w:lastRenderedPageBreak/>
              <w:t>…</w:t>
            </w:r>
          </w:p>
        </w:tc>
      </w:tr>
      <w:tr w:rsidR="003C39A0" w:rsidRPr="005D5874" w14:paraId="749B485F" w14:textId="77777777">
        <w:trPr>
          <w:trHeight w:val="280"/>
        </w:trPr>
        <w:tc>
          <w:tcPr>
            <w:tcW w:w="151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3EB9E" w14:textId="77777777" w:rsidR="004C0F32" w:rsidRDefault="004C0F3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719C638" w14:textId="080C9B67" w:rsidR="003C39A0" w:rsidRPr="00F7670C" w:rsidRDefault="00F7670C">
            <w:pPr>
              <w:pBdr>
                <w:top w:val="nil"/>
                <w:left w:val="nil"/>
                <w:bottom w:val="nil"/>
                <w:right w:val="nil"/>
                <w:between w:val="nil"/>
              </w:pBdr>
              <w:spacing w:after="0" w:line="240" w:lineRule="auto"/>
              <w:jc w:val="center"/>
              <w:rPr>
                <w:rFonts w:ascii="Times New Roman" w:eastAsia="Times New Roman" w:hAnsi="Times New Roman" w:cs="Times New Roman"/>
                <w:b/>
                <w:sz w:val="26"/>
                <w:szCs w:val="26"/>
              </w:rPr>
            </w:pPr>
            <w:r w:rsidRPr="00F7670C">
              <w:rPr>
                <w:rFonts w:ascii="Times New Roman" w:eastAsia="Times New Roman" w:hAnsi="Times New Roman" w:cs="Times New Roman"/>
                <w:b/>
                <w:sz w:val="26"/>
                <w:szCs w:val="26"/>
              </w:rPr>
              <w:t xml:space="preserve">Порядок державної реєстрації речових прав на нерухоме майно та їх обтяжень, затверджений постановою Кабінету Міністрів України </w:t>
            </w:r>
            <w:r w:rsidR="004C0F32" w:rsidRPr="00F7670C">
              <w:rPr>
                <w:rFonts w:ascii="Times New Roman" w:eastAsia="Times New Roman" w:hAnsi="Times New Roman" w:cs="Times New Roman"/>
                <w:b/>
                <w:sz w:val="26"/>
                <w:szCs w:val="26"/>
              </w:rPr>
              <w:t xml:space="preserve">«Про державну реєстрацію речових прав на нерухоме майно та їх обтяжень» </w:t>
            </w:r>
            <w:r w:rsidRPr="00F7670C">
              <w:rPr>
                <w:rFonts w:ascii="Times New Roman" w:eastAsia="Times New Roman" w:hAnsi="Times New Roman" w:cs="Times New Roman"/>
                <w:b/>
                <w:sz w:val="26"/>
                <w:szCs w:val="26"/>
              </w:rPr>
              <w:t xml:space="preserve">від 25 грудня 2015 р. № 1127 </w:t>
            </w:r>
          </w:p>
          <w:p w14:paraId="748D87AF" w14:textId="4463E9FA" w:rsidR="004C0F32" w:rsidRPr="005D5874" w:rsidRDefault="004C0F3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r w:rsidR="003C39A0" w:rsidRPr="005D5874" w14:paraId="38C74E6E" w14:textId="77777777">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451D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2. Терміни, що вживаються у цьому Порядку, мають таке значення:</w:t>
            </w:r>
          </w:p>
          <w:p w14:paraId="00B5EA34" w14:textId="77777777" w:rsidR="00F7670C"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7B8E5EFA" w14:textId="5DE68323"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В</w:t>
            </w:r>
            <w:r w:rsidRPr="005D5874">
              <w:rPr>
                <w:rFonts w:ascii="Times New Roman" w:eastAsia="Times New Roman" w:hAnsi="Times New Roman" w:cs="Times New Roman"/>
                <w:b/>
                <w:color w:val="333333"/>
                <w:sz w:val="24"/>
                <w:szCs w:val="24"/>
              </w:rPr>
              <w:t>ідсутній</w:t>
            </w:r>
          </w:p>
          <w:p w14:paraId="1FDEA1F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AF87864"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92F713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C1813F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2C3C12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AD5D2C1"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08030AF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7C73DF9"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1A180C7"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BD62DE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02ACE2E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D8A3AF2"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A444C50"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закінчений будівництвом об’єкт - закінчений будівництвом об’єкт, який після прийняття об’єкта в експлуатацію є самостійним об’єктом нерухомого майна;</w:t>
            </w:r>
          </w:p>
          <w:p w14:paraId="593086A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5ABB77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майно - нерухоме майно, об’єкти незавершеного будівництва, майбутні об’єкти нерухомості, меліоративні мережі, складові частини меліоративних мереж.</w:t>
            </w:r>
          </w:p>
          <w:p w14:paraId="17A98262"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CFBA7A4"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sz w:val="24"/>
                <w:szCs w:val="24"/>
              </w:rPr>
            </w:pPr>
            <w:r w:rsidRPr="005D5874">
              <w:rPr>
                <w:rFonts w:ascii="Times New Roman" w:eastAsia="Times New Roman" w:hAnsi="Times New Roman" w:cs="Times New Roman"/>
                <w:color w:val="333333"/>
                <w:sz w:val="24"/>
                <w:szCs w:val="24"/>
              </w:rPr>
              <w:t xml:space="preserve">Інші терміни у цьому Порядку вживаються у значенні, наведеному в Законі України “Про державну реєстрацію речових прав на нерухоме </w:t>
            </w:r>
            <w:r w:rsidRPr="005D5874">
              <w:rPr>
                <w:rFonts w:ascii="Times New Roman" w:eastAsia="Times New Roman" w:hAnsi="Times New Roman" w:cs="Times New Roman"/>
                <w:color w:val="333333"/>
                <w:sz w:val="24"/>
                <w:szCs w:val="24"/>
              </w:rPr>
              <w:lastRenderedPageBreak/>
              <w:t>майно та їх обтяжень”, інших нормативно-правових актах, прийнятих відповідно до нього.</w:t>
            </w:r>
          </w:p>
        </w:tc>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B27B4"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2. Терміни, що вживаються у цьому Порядку, мають таке значення:</w:t>
            </w:r>
          </w:p>
          <w:p w14:paraId="6D0EF82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2531994"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заборона виконання підготовчих та будівельних робіт на об’єкті нерухомого майна, об’єкті будівництва (далі – заборона виконання підготовчих та будівельних робіт) – вид обтяження, яке встановлюється судовим рішенням та полягає у забороні користування земельною ділянкою, будівлею, спорудою, об’єктом будівництва, їх частиною (у тому числі квартирою, вбудованим, прибудованим чи вбудовано-прибудованим житловим та нежитловим приміщенням у будівлі, споруді, гаражним боксом, іншим житловим та нежитловим приміщенням) в частині здійснення на відповідному об’єкті підготовчих робіт, будівельних робіт та/або прийняття в експлуатацію закінченого будівництвом об’єкта;</w:t>
            </w:r>
          </w:p>
          <w:p w14:paraId="7909372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194CA45"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закінчений будівництвом об’єкт - закінчений будівництвом об’єкт, який після прийняття об’єкта в експлуатацію є самостійним об’єктом нерухомого майна;</w:t>
            </w:r>
          </w:p>
          <w:p w14:paraId="7420BED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745143F"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майно - нерухоме майно, об’єкти незавершеного будівництва, майбутні об’єкти нерухомості, меліоративні мережі, складові частини меліоративних мереж.</w:t>
            </w:r>
          </w:p>
          <w:p w14:paraId="202670E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DC63AB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sz w:val="24"/>
                <w:szCs w:val="24"/>
              </w:rPr>
            </w:pPr>
            <w:r w:rsidRPr="005D5874">
              <w:rPr>
                <w:rFonts w:ascii="Times New Roman" w:eastAsia="Times New Roman" w:hAnsi="Times New Roman" w:cs="Times New Roman"/>
                <w:color w:val="333333"/>
                <w:sz w:val="24"/>
                <w:szCs w:val="24"/>
              </w:rPr>
              <w:t xml:space="preserve">Інші терміни у цьому Порядку вживаються у значенні, наведеному в Законі України “Про державну реєстрацію речових прав на нерухоме </w:t>
            </w:r>
            <w:r w:rsidRPr="005D5874">
              <w:rPr>
                <w:rFonts w:ascii="Times New Roman" w:eastAsia="Times New Roman" w:hAnsi="Times New Roman" w:cs="Times New Roman"/>
                <w:color w:val="333333"/>
                <w:sz w:val="24"/>
                <w:szCs w:val="24"/>
              </w:rPr>
              <w:lastRenderedPageBreak/>
              <w:t>майно та їх обтяжень”, інших нормативно-правових актах, прийнятих відповідно до нього.</w:t>
            </w:r>
          </w:p>
        </w:tc>
      </w:tr>
      <w:tr w:rsidR="003C39A0" w:rsidRPr="005D5874" w14:paraId="3399AF9B" w14:textId="77777777">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8A49B"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19. Державний реєстратор за результатом прийнятого рішення щодо державної реєстрації прав відкриває розділ в Державному реєстрі прав та/або вносить до відкритого розділу або спеціального розділу Державного реєстру прав відповідні відомості про речові права, обтяження речових прав.</w:t>
            </w:r>
          </w:p>
          <w:p w14:paraId="396FB58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0D951455"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B39AB24"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У випадках, передбачених законом, державний реєстратор за результатом прийнятого рішення щодо державної реєстрації прав також закриває розділ в Державному реєстрі прав.</w:t>
            </w:r>
          </w:p>
        </w:tc>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748A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xml:space="preserve">19. Державний реєстратор за результатом прийнятого рішення щодо державної реєстрації прав відкриває розділ в Державному реєстрі прав та/або вносить до відкритого розділу або спеціального розділу Державного реєстру прав відповідні відомості про речові права, обтяження речових прав </w:t>
            </w:r>
            <w:r w:rsidRPr="005D5874">
              <w:rPr>
                <w:rFonts w:ascii="Times New Roman" w:eastAsia="Times New Roman" w:hAnsi="Times New Roman" w:cs="Times New Roman"/>
                <w:b/>
                <w:color w:val="333333"/>
                <w:sz w:val="24"/>
                <w:szCs w:val="24"/>
              </w:rPr>
              <w:t>(у тому числі заборону виконання підготовчих та будівельних робіт)</w:t>
            </w:r>
            <w:r w:rsidRPr="005D5874">
              <w:rPr>
                <w:rFonts w:ascii="Times New Roman" w:eastAsia="Times New Roman" w:hAnsi="Times New Roman" w:cs="Times New Roman"/>
                <w:color w:val="333333"/>
                <w:sz w:val="24"/>
                <w:szCs w:val="24"/>
              </w:rPr>
              <w:t>.</w:t>
            </w:r>
          </w:p>
          <w:p w14:paraId="3B5A76C6"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88B507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У випадках, передбачених законом, державний реєстратор за результатом прийнятого рішення щодо державної реєстрації прав також закриває розділ в Державному реєстрі прав.</w:t>
            </w:r>
          </w:p>
        </w:tc>
      </w:tr>
      <w:tr w:rsidR="003C39A0" w:rsidRPr="005D5874" w14:paraId="644BF854" w14:textId="77777777">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29BC3" w14:textId="5F589A1F" w:rsidR="003C39A0" w:rsidRPr="005D5874" w:rsidRDefault="004F6BA6"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В</w:t>
            </w:r>
            <w:r w:rsidR="00F7670C" w:rsidRPr="005D5874">
              <w:rPr>
                <w:rFonts w:ascii="Times New Roman" w:eastAsia="Times New Roman" w:hAnsi="Times New Roman" w:cs="Times New Roman"/>
                <w:b/>
                <w:color w:val="333333"/>
                <w:sz w:val="24"/>
                <w:szCs w:val="24"/>
              </w:rPr>
              <w:t>ідсутній</w:t>
            </w:r>
          </w:p>
        </w:tc>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E4222" w14:textId="7C360FDE"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22</w:t>
            </w:r>
            <w:r w:rsidRPr="00F7670C">
              <w:rPr>
                <w:rFonts w:ascii="Times New Roman" w:eastAsia="Times New Roman" w:hAnsi="Times New Roman" w:cs="Times New Roman"/>
                <w:b/>
                <w:color w:val="333333"/>
                <w:sz w:val="24"/>
                <w:szCs w:val="24"/>
                <w:vertAlign w:val="superscript"/>
              </w:rPr>
              <w:t>1</w:t>
            </w:r>
            <w:r w:rsidRPr="005D5874">
              <w:rPr>
                <w:rFonts w:ascii="Times New Roman" w:eastAsia="Times New Roman" w:hAnsi="Times New Roman" w:cs="Times New Roman"/>
                <w:b/>
                <w:color w:val="333333"/>
                <w:sz w:val="24"/>
                <w:szCs w:val="24"/>
              </w:rPr>
              <w:t>. Державний реєстратор у разі отримання судового рішення про заборону виконання підготовчих та будівельних робіт на об’єкті нерухомого майна, об’єкті незавершеного будівництва, об’єкті будівництва одночасно з державною реєстрацією такої заборони в Державному реєстрі прав здійснює реєстрацію зупинення права на виконання підготовчих та/або будівельних робіт в Реєстрі будівельної діяльності Єдиної державної електронної системи у сфері будівництва. У разі якщо об’єкт будівництва складається з декількох об’єктів або частин (у тому числі черг, пускових комплексів), право на виконання підготовчих та/або будівельних робіт зупиняється на об’єкті або частині, визначених судовим рішенням.</w:t>
            </w:r>
          </w:p>
        </w:tc>
      </w:tr>
      <w:tr w:rsidR="003C39A0" w:rsidRPr="005D5874" w14:paraId="206025B2" w14:textId="77777777">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29085"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xml:space="preserve">23. За наявності підстав для відмови в державній реєстрації прав, що визначені </w:t>
            </w:r>
            <w:hyperlink r:id="rId6">
              <w:r w:rsidRPr="005D5874">
                <w:rPr>
                  <w:rFonts w:ascii="Times New Roman" w:eastAsia="Times New Roman" w:hAnsi="Times New Roman" w:cs="Times New Roman"/>
                  <w:color w:val="333333"/>
                  <w:sz w:val="24"/>
                  <w:szCs w:val="24"/>
                </w:rPr>
                <w:t>Законом України</w:t>
              </w:r>
            </w:hyperlink>
            <w:r w:rsidRPr="005D5874">
              <w:rPr>
                <w:rFonts w:ascii="Times New Roman" w:eastAsia="Times New Roman" w:hAnsi="Times New Roman" w:cs="Times New Roman"/>
                <w:color w:val="333333"/>
                <w:sz w:val="24"/>
                <w:szCs w:val="24"/>
              </w:rPr>
              <w:t xml:space="preserve"> “Про державну реєстрацію речових прав на нерухоме майно та їх обтяжень”, державний реєстратор приймає відповідне рішення, яке повинне містити вичерпний перелік обставин, що стали підставою для його прийняття, з відповідним обґрунтуванням їх застосування.</w:t>
            </w:r>
          </w:p>
          <w:p w14:paraId="18EF2EA3"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4F6A808" w14:textId="77777777" w:rsidR="003C39A0"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 xml:space="preserve">У разі відмови у державній реєстрації у зв’язку із прийняттям Радою національної безпеки і оборони України та введенням в дію Указом Президента України рішення про застосування санкцій, передбачених </w:t>
            </w:r>
            <w:hyperlink r:id="rId7" w:anchor="n26">
              <w:r w:rsidRPr="005D5874">
                <w:rPr>
                  <w:rFonts w:ascii="Times New Roman" w:eastAsia="Times New Roman" w:hAnsi="Times New Roman" w:cs="Times New Roman"/>
                  <w:color w:val="333333"/>
                  <w:sz w:val="24"/>
                  <w:szCs w:val="24"/>
                </w:rPr>
                <w:t>пунктами 1</w:t>
              </w:r>
            </w:hyperlink>
            <w:r w:rsidRPr="005D5874">
              <w:rPr>
                <w:rFonts w:ascii="Times New Roman" w:eastAsia="Times New Roman" w:hAnsi="Times New Roman" w:cs="Times New Roman"/>
                <w:color w:val="333333"/>
                <w:sz w:val="24"/>
                <w:szCs w:val="24"/>
              </w:rPr>
              <w:t xml:space="preserve">, </w:t>
            </w:r>
            <w:hyperlink r:id="rId8" w:anchor="n32">
              <w:r w:rsidRPr="005D5874">
                <w:rPr>
                  <w:rFonts w:ascii="Times New Roman" w:eastAsia="Times New Roman" w:hAnsi="Times New Roman" w:cs="Times New Roman"/>
                  <w:color w:val="333333"/>
                  <w:sz w:val="24"/>
                  <w:szCs w:val="24"/>
                </w:rPr>
                <w:t>7</w:t>
              </w:r>
            </w:hyperlink>
            <w:r w:rsidRPr="005D5874">
              <w:rPr>
                <w:rFonts w:ascii="Times New Roman" w:eastAsia="Times New Roman" w:hAnsi="Times New Roman" w:cs="Times New Roman"/>
                <w:color w:val="333333"/>
                <w:sz w:val="24"/>
                <w:szCs w:val="24"/>
              </w:rPr>
              <w:t xml:space="preserve">, </w:t>
            </w:r>
            <w:hyperlink r:id="rId9" w:anchor="n41">
              <w:r w:rsidRPr="005D5874">
                <w:rPr>
                  <w:rFonts w:ascii="Times New Roman" w:eastAsia="Times New Roman" w:hAnsi="Times New Roman" w:cs="Times New Roman"/>
                  <w:color w:val="333333"/>
                  <w:sz w:val="24"/>
                  <w:szCs w:val="24"/>
                </w:rPr>
                <w:t>16</w:t>
              </w:r>
            </w:hyperlink>
            <w:r w:rsidRPr="005D5874">
              <w:rPr>
                <w:rFonts w:ascii="Times New Roman" w:eastAsia="Times New Roman" w:hAnsi="Times New Roman" w:cs="Times New Roman"/>
                <w:color w:val="333333"/>
                <w:sz w:val="24"/>
                <w:szCs w:val="24"/>
              </w:rPr>
              <w:t xml:space="preserve"> та </w:t>
            </w:r>
            <w:hyperlink r:id="rId10" w:anchor="n72">
              <w:r w:rsidRPr="005D5874">
                <w:rPr>
                  <w:rFonts w:ascii="Times New Roman" w:eastAsia="Times New Roman" w:hAnsi="Times New Roman" w:cs="Times New Roman"/>
                  <w:color w:val="333333"/>
                  <w:sz w:val="24"/>
                  <w:szCs w:val="24"/>
                </w:rPr>
                <w:t>24-1</w:t>
              </w:r>
            </w:hyperlink>
            <w:r w:rsidRPr="005D5874">
              <w:rPr>
                <w:rFonts w:ascii="Times New Roman" w:eastAsia="Times New Roman" w:hAnsi="Times New Roman" w:cs="Times New Roman"/>
                <w:color w:val="333333"/>
                <w:sz w:val="24"/>
                <w:szCs w:val="24"/>
              </w:rPr>
              <w:t xml:space="preserve"> частини першої статті 4 Закону України “Про санкції”, державний реєстратор протягом трьох робочих днів з дня прийняття рішення щодо відмови в державній реєстрації прав надсилає до Мін’юсту копію такого рішення.</w:t>
            </w:r>
          </w:p>
          <w:p w14:paraId="119E4A7A" w14:textId="77777777" w:rsidR="004F6BA6" w:rsidRDefault="004F6BA6"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ADCE168" w14:textId="5C21517E" w:rsidR="004F6BA6" w:rsidRPr="004F6BA6" w:rsidRDefault="004F6BA6"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4F6BA6">
              <w:rPr>
                <w:rFonts w:ascii="Times New Roman" w:eastAsia="Times New Roman" w:hAnsi="Times New Roman" w:cs="Times New Roman"/>
                <w:b/>
                <w:color w:val="333333"/>
                <w:sz w:val="24"/>
                <w:szCs w:val="24"/>
              </w:rPr>
              <w:t xml:space="preserve">Відсутній </w:t>
            </w:r>
          </w:p>
        </w:tc>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0237A"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 xml:space="preserve">23. За наявності підстав для відмови в державній реєстрації прав, що визначені </w:t>
            </w:r>
            <w:hyperlink r:id="rId11">
              <w:r w:rsidRPr="005D5874">
                <w:rPr>
                  <w:rFonts w:ascii="Times New Roman" w:eastAsia="Times New Roman" w:hAnsi="Times New Roman" w:cs="Times New Roman"/>
                  <w:color w:val="333333"/>
                  <w:sz w:val="24"/>
                  <w:szCs w:val="24"/>
                </w:rPr>
                <w:t>Законом України</w:t>
              </w:r>
            </w:hyperlink>
            <w:r w:rsidRPr="005D5874">
              <w:rPr>
                <w:rFonts w:ascii="Times New Roman" w:eastAsia="Times New Roman" w:hAnsi="Times New Roman" w:cs="Times New Roman"/>
                <w:color w:val="333333"/>
                <w:sz w:val="24"/>
                <w:szCs w:val="24"/>
              </w:rPr>
              <w:t xml:space="preserve"> “Про державну реєстрацію речових прав на нерухоме майно та їх обтяжень”, державний реєстратор приймає відповідне рішення, яке повинне містити вичерпний перелік обставин, що стали підставою для його прийняття, з відповідним обґрунтуванням їх застосування.</w:t>
            </w:r>
          </w:p>
          <w:p w14:paraId="441DF136"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BBB820D"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 xml:space="preserve">У разі відмови у державній реєстрації у зв’язку із прийняттям Радою національної безпеки і оборони України та введенням в дію Указом Президента України рішення про застосування санкцій, передбачених </w:t>
            </w:r>
            <w:hyperlink r:id="rId12" w:anchor="n26">
              <w:r w:rsidRPr="005D5874">
                <w:rPr>
                  <w:rFonts w:ascii="Times New Roman" w:eastAsia="Times New Roman" w:hAnsi="Times New Roman" w:cs="Times New Roman"/>
                  <w:color w:val="333333"/>
                  <w:sz w:val="24"/>
                  <w:szCs w:val="24"/>
                </w:rPr>
                <w:t>пунктами 1</w:t>
              </w:r>
            </w:hyperlink>
            <w:r w:rsidRPr="005D5874">
              <w:rPr>
                <w:rFonts w:ascii="Times New Roman" w:eastAsia="Times New Roman" w:hAnsi="Times New Roman" w:cs="Times New Roman"/>
                <w:color w:val="333333"/>
                <w:sz w:val="24"/>
                <w:szCs w:val="24"/>
              </w:rPr>
              <w:t xml:space="preserve">, </w:t>
            </w:r>
            <w:hyperlink r:id="rId13" w:anchor="n32">
              <w:r w:rsidRPr="005D5874">
                <w:rPr>
                  <w:rFonts w:ascii="Times New Roman" w:eastAsia="Times New Roman" w:hAnsi="Times New Roman" w:cs="Times New Roman"/>
                  <w:color w:val="333333"/>
                  <w:sz w:val="24"/>
                  <w:szCs w:val="24"/>
                </w:rPr>
                <w:t>7</w:t>
              </w:r>
            </w:hyperlink>
            <w:r w:rsidRPr="005D5874">
              <w:rPr>
                <w:rFonts w:ascii="Times New Roman" w:eastAsia="Times New Roman" w:hAnsi="Times New Roman" w:cs="Times New Roman"/>
                <w:color w:val="333333"/>
                <w:sz w:val="24"/>
                <w:szCs w:val="24"/>
              </w:rPr>
              <w:t xml:space="preserve">, </w:t>
            </w:r>
            <w:hyperlink r:id="rId14" w:anchor="n41">
              <w:r w:rsidRPr="005D5874">
                <w:rPr>
                  <w:rFonts w:ascii="Times New Roman" w:eastAsia="Times New Roman" w:hAnsi="Times New Roman" w:cs="Times New Roman"/>
                  <w:color w:val="333333"/>
                  <w:sz w:val="24"/>
                  <w:szCs w:val="24"/>
                </w:rPr>
                <w:t>16</w:t>
              </w:r>
            </w:hyperlink>
            <w:r w:rsidRPr="005D5874">
              <w:rPr>
                <w:rFonts w:ascii="Times New Roman" w:eastAsia="Times New Roman" w:hAnsi="Times New Roman" w:cs="Times New Roman"/>
                <w:color w:val="333333"/>
                <w:sz w:val="24"/>
                <w:szCs w:val="24"/>
              </w:rPr>
              <w:t xml:space="preserve"> та </w:t>
            </w:r>
            <w:hyperlink r:id="rId15" w:anchor="n72">
              <w:r w:rsidRPr="005D5874">
                <w:rPr>
                  <w:rFonts w:ascii="Times New Roman" w:eastAsia="Times New Roman" w:hAnsi="Times New Roman" w:cs="Times New Roman"/>
                  <w:color w:val="333333"/>
                  <w:sz w:val="24"/>
                  <w:szCs w:val="24"/>
                </w:rPr>
                <w:t>24-1</w:t>
              </w:r>
            </w:hyperlink>
            <w:r w:rsidRPr="005D5874">
              <w:rPr>
                <w:rFonts w:ascii="Times New Roman" w:eastAsia="Times New Roman" w:hAnsi="Times New Roman" w:cs="Times New Roman"/>
                <w:color w:val="333333"/>
                <w:sz w:val="24"/>
                <w:szCs w:val="24"/>
              </w:rPr>
              <w:t xml:space="preserve"> частини першої статті 4 Закону України “Про санкції”, державний реєстратор протягом трьох робочих днів з дня прийняття рішення щодо відмови в державній реєстрації прав надсилає до Мін’юсту копію такого рішення.</w:t>
            </w:r>
          </w:p>
          <w:p w14:paraId="737919F7"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07E6127E"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b/>
                <w:color w:val="333333"/>
                <w:sz w:val="24"/>
                <w:szCs w:val="24"/>
              </w:rPr>
              <w:t>Наявність в Державному реєстрі прав відомостей про заборону виконання підготовчих та будівельних робіт не є підставою для відмови в державній реєстрації прав.</w:t>
            </w:r>
          </w:p>
        </w:tc>
      </w:tr>
      <w:tr w:rsidR="003C39A0" w:rsidRPr="005D5874" w14:paraId="2A880696" w14:textId="77777777">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2E0CD" w14:textId="6ED10C21" w:rsidR="003C39A0" w:rsidRPr="005D5874" w:rsidRDefault="00F7670C" w:rsidP="004F6BA6">
            <w:pPr>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w:t>
            </w:r>
            <w:r w:rsidRPr="005D5874">
              <w:rPr>
                <w:rFonts w:ascii="Times New Roman" w:eastAsia="Times New Roman" w:hAnsi="Times New Roman" w:cs="Times New Roman"/>
                <w:b/>
                <w:sz w:val="24"/>
                <w:szCs w:val="24"/>
              </w:rPr>
              <w:t>ідсутній</w:t>
            </w:r>
          </w:p>
        </w:tc>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6E8B8" w14:textId="64CB3982"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81</w:t>
            </w:r>
            <w:r w:rsidRPr="00F7670C">
              <w:rPr>
                <w:rFonts w:ascii="Times New Roman" w:eastAsia="Times New Roman" w:hAnsi="Times New Roman" w:cs="Times New Roman"/>
                <w:b/>
                <w:color w:val="333333"/>
                <w:sz w:val="24"/>
                <w:szCs w:val="24"/>
                <w:vertAlign w:val="superscript"/>
              </w:rPr>
              <w:t>11</w:t>
            </w:r>
            <w:r w:rsidRPr="005D5874">
              <w:rPr>
                <w:rFonts w:ascii="Times New Roman" w:eastAsia="Times New Roman" w:hAnsi="Times New Roman" w:cs="Times New Roman"/>
                <w:b/>
                <w:color w:val="333333"/>
                <w:sz w:val="24"/>
                <w:szCs w:val="24"/>
              </w:rPr>
              <w:t>. Одночасно з внесенням відомостей про речові права на земельну ділянку, похідні від права власності, до Державного реєстру прав вноситься одна з таких відміток:</w:t>
            </w:r>
          </w:p>
          <w:p w14:paraId="6DDAC949"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7D68EBAE"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1) відмітка про наявність у правонабувача права щодо забудови відповідної земельної ділянки без згоди її власника чи іншої уповноваженої особи (щодо земельних ділянок державної, комунальної власності – органу виконавчої влади, органу місцевого самоврядування відповідно до повноважень, визначених статтею 122 Земельного кодексу України,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(далі – відмітка про наявність у правонабувача права щодо забудови відповідної земельної ділянки без згоди її власника чи іншої уповноваженої особи);</w:t>
            </w:r>
          </w:p>
          <w:p w14:paraId="3D265D49"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03D582BA"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2) відмітка про наявність у правонабувача права щодо забудови відповідної земельної ділянки за згодою її власника чи іншої уповноваженої особи;</w:t>
            </w:r>
          </w:p>
          <w:p w14:paraId="3104DEC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22E4586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lastRenderedPageBreak/>
              <w:t>3) відмітка про заборону забудови земельної ділянки користувачем.</w:t>
            </w:r>
          </w:p>
          <w:p w14:paraId="2D1F6F62"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2A00DCE4"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Відмітки, визначені підпунктами 1–3 цього пункту, вносяться до Державного реєстру прав на підставі договору або рішення суду. У разі відсутності у договорі або рішенні суду відомостей про відповідне право щодо забудови земельної ділянки до Державного реєстру прав вноситься:</w:t>
            </w:r>
          </w:p>
          <w:p w14:paraId="7E26EBF1"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363689F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 xml:space="preserve">відмітка про наявність у правонабувача права щодо забудови відповідної земельної ділянки без згоди її власника чи іншої уповноваженої особи - у разі внесення відомостей про право постійного користування земельною ділянкою, суперфіцію або земельного сервітуту, вид якого передбачає можливість будівництва; </w:t>
            </w:r>
          </w:p>
          <w:p w14:paraId="6556B319"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4A21AA0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відмітка про наявність у правонабувача права щодо забудови відповідної земельної ділянки за згодою її власника чи іншої уповноваженої особи - у разі внесення відомостей про право оренди</w:t>
            </w:r>
            <w:r w:rsidRPr="004F6BA6">
              <w:rPr>
                <w:rFonts w:ascii="Times New Roman" w:eastAsia="Times New Roman" w:hAnsi="Times New Roman" w:cs="Times New Roman"/>
                <w:b/>
                <w:color w:val="333333"/>
                <w:sz w:val="24"/>
                <w:szCs w:val="24"/>
              </w:rPr>
              <w:t>/суборенди</w:t>
            </w:r>
            <w:r w:rsidRPr="005D5874">
              <w:rPr>
                <w:rFonts w:ascii="Times New Roman" w:eastAsia="Times New Roman" w:hAnsi="Times New Roman" w:cs="Times New Roman"/>
                <w:b/>
                <w:color w:val="333333"/>
                <w:sz w:val="24"/>
                <w:szCs w:val="24"/>
              </w:rPr>
              <w:t xml:space="preserve"> земельної ділянки;</w:t>
            </w:r>
          </w:p>
          <w:p w14:paraId="088500F3"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71823068"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sz w:val="24"/>
                <w:szCs w:val="24"/>
              </w:rPr>
            </w:pPr>
            <w:r w:rsidRPr="005D5874">
              <w:rPr>
                <w:rFonts w:ascii="Times New Roman" w:eastAsia="Times New Roman" w:hAnsi="Times New Roman" w:cs="Times New Roman"/>
                <w:b/>
                <w:color w:val="333333"/>
                <w:sz w:val="24"/>
                <w:szCs w:val="24"/>
              </w:rPr>
              <w:t>відмітка про заборону забудови земельної ділянки користувачем - у разі внесення відомостей про емфітевзиса або земельного сервітуту, вид якого не передбачає можливість будівництва.</w:t>
            </w:r>
          </w:p>
        </w:tc>
      </w:tr>
      <w:tr w:rsidR="003C39A0" w:rsidRPr="005D5874" w14:paraId="7C467ABA" w14:textId="77777777">
        <w:trPr>
          <w:trHeight w:val="320"/>
        </w:trPr>
        <w:tc>
          <w:tcPr>
            <w:tcW w:w="151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43DEB" w14:textId="77777777" w:rsidR="005D5874" w:rsidRPr="00F7670C" w:rsidRDefault="005D5874" w:rsidP="004F6BA6">
            <w:pPr>
              <w:pBdr>
                <w:top w:val="nil"/>
                <w:left w:val="nil"/>
                <w:bottom w:val="nil"/>
                <w:right w:val="nil"/>
                <w:between w:val="nil"/>
              </w:pBdr>
              <w:spacing w:after="0" w:line="240" w:lineRule="auto"/>
              <w:ind w:firstLine="306"/>
              <w:jc w:val="center"/>
              <w:rPr>
                <w:rFonts w:ascii="Times New Roman" w:eastAsia="Times New Roman" w:hAnsi="Times New Roman" w:cs="Times New Roman"/>
                <w:b/>
                <w:sz w:val="16"/>
                <w:szCs w:val="16"/>
              </w:rPr>
            </w:pPr>
          </w:p>
          <w:p w14:paraId="62F7FD32" w14:textId="77777777" w:rsidR="00F7670C" w:rsidRDefault="00F7670C" w:rsidP="004F6BA6">
            <w:pPr>
              <w:pBdr>
                <w:top w:val="nil"/>
                <w:left w:val="nil"/>
                <w:bottom w:val="nil"/>
                <w:right w:val="nil"/>
                <w:between w:val="nil"/>
              </w:pBdr>
              <w:spacing w:after="0" w:line="240" w:lineRule="auto"/>
              <w:ind w:firstLine="306"/>
              <w:jc w:val="center"/>
              <w:rPr>
                <w:rFonts w:ascii="Times New Roman" w:eastAsia="Times New Roman" w:hAnsi="Times New Roman" w:cs="Times New Roman"/>
                <w:b/>
                <w:sz w:val="26"/>
                <w:szCs w:val="26"/>
              </w:rPr>
            </w:pPr>
            <w:r w:rsidRPr="00F7670C">
              <w:rPr>
                <w:rFonts w:ascii="Times New Roman" w:eastAsia="Times New Roman" w:hAnsi="Times New Roman" w:cs="Times New Roman"/>
                <w:b/>
                <w:sz w:val="26"/>
                <w:szCs w:val="26"/>
              </w:rPr>
              <w:t xml:space="preserve">Порядок ведення Державного реєстру речових прав на нерухоме майно, </w:t>
            </w:r>
          </w:p>
          <w:p w14:paraId="66F142BB" w14:textId="09B0E96F" w:rsidR="003C39A0" w:rsidRPr="00F7670C" w:rsidRDefault="00F7670C" w:rsidP="004F6BA6">
            <w:pPr>
              <w:pBdr>
                <w:top w:val="nil"/>
                <w:left w:val="nil"/>
                <w:bottom w:val="nil"/>
                <w:right w:val="nil"/>
                <w:between w:val="nil"/>
              </w:pBdr>
              <w:spacing w:after="0" w:line="240" w:lineRule="auto"/>
              <w:ind w:firstLine="306"/>
              <w:jc w:val="center"/>
              <w:rPr>
                <w:rFonts w:ascii="Times New Roman" w:eastAsia="Times New Roman" w:hAnsi="Times New Roman" w:cs="Times New Roman"/>
                <w:b/>
                <w:sz w:val="26"/>
                <w:szCs w:val="26"/>
              </w:rPr>
            </w:pPr>
            <w:r w:rsidRPr="00F7670C">
              <w:rPr>
                <w:rFonts w:ascii="Times New Roman" w:eastAsia="Times New Roman" w:hAnsi="Times New Roman" w:cs="Times New Roman"/>
                <w:b/>
                <w:sz w:val="26"/>
                <w:szCs w:val="26"/>
              </w:rPr>
              <w:t>затверджений постановою Кабінету Міністрів України від 26 жовтня 2011 р. № 1141</w:t>
            </w:r>
          </w:p>
          <w:p w14:paraId="3F716542" w14:textId="0BCF942D" w:rsidR="005D5874" w:rsidRPr="00F7670C" w:rsidRDefault="005D5874" w:rsidP="004F6BA6">
            <w:pPr>
              <w:pBdr>
                <w:top w:val="nil"/>
                <w:left w:val="nil"/>
                <w:bottom w:val="nil"/>
                <w:right w:val="nil"/>
                <w:between w:val="nil"/>
              </w:pBdr>
              <w:spacing w:after="0" w:line="240" w:lineRule="auto"/>
              <w:ind w:firstLine="306"/>
              <w:jc w:val="center"/>
              <w:rPr>
                <w:rFonts w:ascii="Times New Roman" w:eastAsia="Times New Roman" w:hAnsi="Times New Roman" w:cs="Times New Roman"/>
                <w:b/>
                <w:sz w:val="16"/>
                <w:szCs w:val="16"/>
              </w:rPr>
            </w:pPr>
          </w:p>
        </w:tc>
      </w:tr>
      <w:tr w:rsidR="003C39A0" w:rsidRPr="005D5874" w14:paraId="23511501" w14:textId="77777777">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F250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31. До Державного реєстру прав вносяться такі відомості про інше речове право, похідне від права власності:</w:t>
            </w:r>
          </w:p>
          <w:p w14:paraId="299CA0AA"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8CC5DCA"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1) про правонабувача:</w:t>
            </w:r>
          </w:p>
          <w:p w14:paraId="53370BE3"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01CFE6E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для фізичних осіб:</w:t>
            </w:r>
          </w:p>
          <w:p w14:paraId="1FD9BA75"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ED2D71F"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прізвище, власне ім’я та по батькові (за наявності);</w:t>
            </w:r>
          </w:p>
          <w:p w14:paraId="7993AF14"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1B084FB"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унікальний номер запису в Єдиному державному демографічному реєстрі (за наявності);</w:t>
            </w:r>
          </w:p>
          <w:p w14:paraId="5BEA6E9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BA290A5"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реєстраційний номер облікової картки платника податків.</w:t>
            </w:r>
          </w:p>
          <w:p w14:paraId="3693DD56"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19F0C7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У разі відсутності у фізичної особи реєстраційного номера облікової картки платника податків через свої релігійні переконання, про що офіційно повідомлено відповідному контролюючому органу, додатково вносяться відомості про реквізити паспорта громадянина України:</w:t>
            </w:r>
          </w:p>
          <w:p w14:paraId="2DAD7A4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339FD1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серія (за наявності);</w:t>
            </w:r>
          </w:p>
          <w:p w14:paraId="12AE634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7223B48"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номер;</w:t>
            </w:r>
          </w:p>
          <w:p w14:paraId="0749195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A5EE75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дата видачі;</w:t>
            </w:r>
          </w:p>
          <w:p w14:paraId="45DCE2C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5F573D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уповноважений суб’єкт, що його видав;</w:t>
            </w:r>
          </w:p>
          <w:p w14:paraId="7468EC3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83C0620"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строк дії (за наявності);</w:t>
            </w:r>
          </w:p>
          <w:p w14:paraId="31C3E05A"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282B7BC"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додаткові відомості (за наявності);</w:t>
            </w:r>
          </w:p>
          <w:p w14:paraId="2BCF756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0D6A1B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для юридичних осіб:</w:t>
            </w:r>
          </w:p>
          <w:p w14:paraId="5505D785"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C29E97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повне найменування юридичної особи;</w:t>
            </w:r>
          </w:p>
          <w:p w14:paraId="4EEDBC57"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15F2E1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 ідентифікаційний код згідно з ЄДРПОУ (для юридичних осіб, створених відповідно до законодавства України);</w:t>
            </w:r>
          </w:p>
          <w:p w14:paraId="0B783C6B"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EB2855A"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податковий номер, присвоєний контролюючим органом відповідно до законодавства України (для юридичних осіб, створених відповідно до законодавства іноземної держави);</w:t>
            </w:r>
          </w:p>
          <w:p w14:paraId="41B2952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B11C41F"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найменування пайового інвестиційного фонду та його реєстраційний код за Єдиним державним реєстром інститутів спільного інвестування (у разі набуття речового права, похідного від права власності, за рахунок активів пайового інвестиційного фонду);</w:t>
            </w:r>
          </w:p>
          <w:p w14:paraId="739DE53A"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0B6FC79A"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для територіальних громад:</w:t>
            </w:r>
          </w:p>
          <w:p w14:paraId="5A491737"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10C82A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найменування органу місцевого самоврядування;</w:t>
            </w:r>
          </w:p>
          <w:p w14:paraId="17FC38A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21704B0"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ідентифікаційний код згідно з ЄДРПОУ органу місцевого самоврядування;</w:t>
            </w:r>
          </w:p>
          <w:p w14:paraId="081BA47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7820D0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для держави:</w:t>
            </w:r>
          </w:p>
          <w:p w14:paraId="43399EA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4893F5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повне найменування органу державної влади, що здійснює управління (розпоряджання) об’єктом речових прав;</w:t>
            </w:r>
          </w:p>
          <w:p w14:paraId="704FED6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55391D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ідентифікаційний код згідно з ЄДРПОУ органу державної влади, що здійснює управління (розпоряджання) об’єктом речових прав.</w:t>
            </w:r>
          </w:p>
          <w:p w14:paraId="320E9DA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5C3D50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xml:space="preserve">У разі коли органом державної влади, що здійснює управління об’єктом речових прав, є Кабінет Міністрів України чи Верховна Рада України, для цілей ведення Державного реєстру прав зазначаються повне найменування юридичної особи, що забезпечує діяльність </w:t>
            </w:r>
            <w:r w:rsidRPr="005D5874">
              <w:rPr>
                <w:rFonts w:ascii="Times New Roman" w:eastAsia="Times New Roman" w:hAnsi="Times New Roman" w:cs="Times New Roman"/>
                <w:color w:val="333333"/>
                <w:sz w:val="24"/>
                <w:szCs w:val="24"/>
              </w:rPr>
              <w:lastRenderedPageBreak/>
              <w:t>Кабінету Міністрів України/Верховної Ради України, та її ідентифікаційний код згідно з ЄДРПОУ;</w:t>
            </w:r>
          </w:p>
          <w:p w14:paraId="74CF7B6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6BEEC5F"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2) вид речового права, похідного від права власності;</w:t>
            </w:r>
          </w:p>
          <w:p w14:paraId="757EE86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0A5B25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3) вид сервітуту, емфітевзису, суперфіцію (у разі коли речовим правом є сервітут, емфітевзис або суперфіцій);</w:t>
            </w:r>
          </w:p>
          <w:p w14:paraId="0FB7C365"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7CFC2F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4) номер частини земельної ділянки, на яку поширюється дія сервітуту, суборенди (у разі набуття сервітуту, суборенди на частину земельної ділянки);</w:t>
            </w:r>
          </w:p>
          <w:p w14:paraId="187796A9"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EDBA0D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5) дата укладення чи реєстрації (для договорів оренди землі, укладених та зареєстрованих до 1 січня 2013 р.) договору, за яким набувається речове право, похідне від права власності (у разі набуття речового права на підставі договору);</w:t>
            </w:r>
          </w:p>
          <w:p w14:paraId="0AB56073" w14:textId="1171B362" w:rsidR="003C39A0"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B41CC2E" w14:textId="724B29F1"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В</w:t>
            </w:r>
            <w:r w:rsidRPr="005D5874">
              <w:rPr>
                <w:rFonts w:ascii="Times New Roman" w:eastAsia="Times New Roman" w:hAnsi="Times New Roman" w:cs="Times New Roman"/>
                <w:b/>
                <w:color w:val="333333"/>
                <w:sz w:val="24"/>
                <w:szCs w:val="24"/>
              </w:rPr>
              <w:t>ідсутній</w:t>
            </w:r>
          </w:p>
          <w:p w14:paraId="5642E796"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5FBB4E77"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2FBE176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2A959587"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4796293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66B826A1"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41AECDC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6A19E6B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7EB60CD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2917A40B"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0AFD114B"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298D0ED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237E0D9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35DD27E3"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004FFFD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1817974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5C1452E4"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12BCEEF2"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7527781A"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06377483" w14:textId="0665DD54" w:rsidR="003C39A0"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0CE88BCD" w14:textId="20019FC1" w:rsidR="004F6BA6" w:rsidRDefault="004F6BA6"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795A7ACA" w14:textId="77777777" w:rsidR="004F6BA6" w:rsidRPr="005D5874" w:rsidRDefault="004F6BA6"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0D15F487"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6) строк дії договору, за яким набувається речове право, похідне від права власності (у разі набуття речового права на підставі договору на певний строк);</w:t>
            </w:r>
          </w:p>
          <w:p w14:paraId="1E5285E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EE8DFB7"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7) відомості про поновлення договору (у разі набуття права оренди, сервітуту, суперфіцію чи емфітевзису земельної ділянки);</w:t>
            </w:r>
          </w:p>
          <w:p w14:paraId="26DB4AA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5CC5E2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8) номер відомостей про оренду земельної ділянки чи про право користування чужою земельною ділянкою для сільськогосподарських потреб (емфітевзис) (у разі державної реєстрації суборенди земельної ділянки чи державної реєстрації оренди земельної ділянки, набутої на підставі договору, укладеного з емфітевтом);</w:t>
            </w:r>
          </w:p>
          <w:p w14:paraId="4C441A4A"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BB15DD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9) підстава для державної реєстрації іншого речового права, похідного від права власності:</w:t>
            </w:r>
          </w:p>
          <w:p w14:paraId="0E6A4D4A"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F23C250"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тип документа;</w:t>
            </w:r>
          </w:p>
          <w:p w14:paraId="39E233E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5EE11A4"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серія документа (за наявності);</w:t>
            </w:r>
          </w:p>
          <w:p w14:paraId="0927899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CD509A4"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номер документа;</w:t>
            </w:r>
          </w:p>
          <w:p w14:paraId="23DFB87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8B55A1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дата видачі документа;</w:t>
            </w:r>
          </w:p>
          <w:p w14:paraId="404D230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A45B01D"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уповноважений суб’єкт, що видав документ;</w:t>
            </w:r>
          </w:p>
          <w:p w14:paraId="0E8229F2"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28FE17C"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додаткові відомості про документ (за наявності).</w:t>
            </w:r>
          </w:p>
          <w:p w14:paraId="54CA3134"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BCE8BF4"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Підстава для державної реєстрації іншого речового права, похідного від права власності, за допомогою програмних засобів ведення Державного реєстру прав вноситься з переліку документів, поданих чи отриманих у порядку інформаційної взаємодії для державної реєстрації прав та відображених у відповідній заяві;</w:t>
            </w:r>
          </w:p>
          <w:p w14:paraId="6DDBF757"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AACAD6F"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10) абонентський номер мобільного телефона та/або адреса електронної пошти.</w:t>
            </w:r>
          </w:p>
          <w:p w14:paraId="3D86334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06AB86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У разі наявності в документах, поданих для державної реєстрації іншого речового права, похідного від права власності, відомостей про ціну (вартість) такого речового права та/або розмір плати за користування об’єктом речових прав додатково вносяться відомості про таку ціну (вартість) та/або розмір плати.</w:t>
            </w:r>
          </w:p>
          <w:p w14:paraId="79307644"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E718FC3" w14:textId="77777777" w:rsidR="00F7670C"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xml:space="preserve">У разі коли відомості про інше речове право, похідне від права власності, вносяться до спеціального розділу Державного реєстру прав додатково до відомостей, передбачених цим пунктом, вносяться відомості про власника та про об’єкт речових прав, передбачені </w:t>
            </w:r>
            <w:hyperlink r:id="rId16" w:anchor="n1061">
              <w:r w:rsidRPr="005D5874">
                <w:rPr>
                  <w:rFonts w:ascii="Times New Roman" w:eastAsia="Times New Roman" w:hAnsi="Times New Roman" w:cs="Times New Roman"/>
                  <w:color w:val="333333"/>
                  <w:sz w:val="24"/>
                  <w:szCs w:val="24"/>
                </w:rPr>
                <w:t>пунктами 29</w:t>
              </w:r>
            </w:hyperlink>
            <w:r w:rsidRPr="005D5874">
              <w:rPr>
                <w:rFonts w:ascii="Times New Roman" w:eastAsia="Times New Roman" w:hAnsi="Times New Roman" w:cs="Times New Roman"/>
                <w:color w:val="333333"/>
                <w:sz w:val="24"/>
                <w:szCs w:val="24"/>
              </w:rPr>
              <w:t xml:space="preserve"> і </w:t>
            </w:r>
            <w:hyperlink r:id="rId17" w:anchor="n1082">
              <w:r w:rsidRPr="005D5874">
                <w:rPr>
                  <w:rFonts w:ascii="Times New Roman" w:eastAsia="Times New Roman" w:hAnsi="Times New Roman" w:cs="Times New Roman"/>
                  <w:color w:val="333333"/>
                  <w:sz w:val="24"/>
                  <w:szCs w:val="24"/>
                </w:rPr>
                <w:t>30</w:t>
              </w:r>
            </w:hyperlink>
            <w:r w:rsidRPr="005D5874">
              <w:rPr>
                <w:rFonts w:ascii="Times New Roman" w:eastAsia="Times New Roman" w:hAnsi="Times New Roman" w:cs="Times New Roman"/>
                <w:color w:val="333333"/>
                <w:sz w:val="24"/>
                <w:szCs w:val="24"/>
              </w:rPr>
              <w:t xml:space="preserve"> цього Порядку (крім випадків, коли відповідно до законодавства власник відсутній).</w:t>
            </w:r>
          </w:p>
          <w:p w14:paraId="60F0196F" w14:textId="77777777" w:rsidR="004F6BA6" w:rsidRDefault="004F6BA6"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2683586" w14:textId="77777777" w:rsidR="004F6BA6" w:rsidRDefault="004F6BA6"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FC80A58" w14:textId="77777777" w:rsidR="004F6BA6" w:rsidRDefault="004F6BA6"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C9A0E70" w14:textId="77777777" w:rsidR="004F6BA6" w:rsidRDefault="004F6BA6"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7961498" w14:textId="77777777" w:rsidR="004F6BA6" w:rsidRDefault="004F6BA6"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CFD0E95" w14:textId="77777777" w:rsidR="004F6BA6" w:rsidRDefault="004F6BA6"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33619C5" w14:textId="7DDCDC51" w:rsidR="004F6BA6" w:rsidRPr="005D5874" w:rsidRDefault="004F6BA6"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tc>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7793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31. До Державного реєстру прав вносяться такі відомості про інше речове право, похідне від права власності:</w:t>
            </w:r>
          </w:p>
          <w:p w14:paraId="3141832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952338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1) про правонабувача:</w:t>
            </w:r>
          </w:p>
          <w:p w14:paraId="218FCE9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4F6073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для фізичних осіб:</w:t>
            </w:r>
          </w:p>
          <w:p w14:paraId="0D7FD34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BD9F04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прізвище, власне ім’я та по батькові (за наявності);</w:t>
            </w:r>
          </w:p>
          <w:p w14:paraId="72E40D03"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1D42CE5"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унікальний номер запису в Єдиному державному демографічному реєстрі (за наявності);</w:t>
            </w:r>
          </w:p>
          <w:p w14:paraId="33CB09F6"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0F49E1C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реєстраційний номер облікової картки платника податків.</w:t>
            </w:r>
          </w:p>
          <w:p w14:paraId="20669C94"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B91B01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У разі відсутності у фізичної особи реєстраційного номера облікової картки платника податків через свої релігійні переконання, про що офіційно повідомлено відповідному контролюючому органу, додатково вносяться відомості про реквізити паспорта громадянина України:</w:t>
            </w:r>
          </w:p>
          <w:p w14:paraId="3F1CF90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58B8FB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серія (за наявності);</w:t>
            </w:r>
          </w:p>
          <w:p w14:paraId="66151C18"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2E3C2E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номер;</w:t>
            </w:r>
          </w:p>
          <w:p w14:paraId="06B8C6E7"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9B33B1F"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дата видачі;</w:t>
            </w:r>
          </w:p>
          <w:p w14:paraId="6BEFFEB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10C507B"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уповноважений суб’єкт, що його видав;</w:t>
            </w:r>
          </w:p>
          <w:p w14:paraId="007864F7"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5C608F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строк дії (за наявності);</w:t>
            </w:r>
          </w:p>
          <w:p w14:paraId="395285C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DE41D45"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додаткові відомості (за наявності);</w:t>
            </w:r>
          </w:p>
          <w:p w14:paraId="2343B1BE"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706790C"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для юридичних осіб:</w:t>
            </w:r>
          </w:p>
          <w:p w14:paraId="4E5EB5F2"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276F708"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повне найменування юридичної особи;</w:t>
            </w:r>
          </w:p>
          <w:p w14:paraId="48EFB9E2"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FBAF3FC"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 ідентифікаційний код згідно з ЄДРПОУ (для юридичних осіб, створених відповідно до законодавства України);</w:t>
            </w:r>
          </w:p>
          <w:p w14:paraId="322EDF11"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B3064D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податковий номер, присвоєний контролюючим органом відповідно до законодавства України (для юридичних осіб, створених відповідно до законодавства іноземної держави);</w:t>
            </w:r>
          </w:p>
          <w:p w14:paraId="1A98975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AF3CB2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найменування пайового інвестиційного фонду та його реєстраційний код за Єдиним державним реєстром інститутів спільного інвестування (у разі набуття речового права, похідного від права власності, за рахунок активів пайового інвестиційного фонду);</w:t>
            </w:r>
          </w:p>
          <w:p w14:paraId="25C4DD53"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0C6B8A4E"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для територіальних громад:</w:t>
            </w:r>
          </w:p>
          <w:p w14:paraId="14A57AF3"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B6A80FD"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найменування органу місцевого самоврядування;</w:t>
            </w:r>
          </w:p>
          <w:p w14:paraId="2FE3330B"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A29EB4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ідентифікаційний код згідно з ЄДРПОУ органу місцевого самоврядування;</w:t>
            </w:r>
          </w:p>
          <w:p w14:paraId="75334101"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A51B12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для держави:</w:t>
            </w:r>
          </w:p>
          <w:p w14:paraId="3B05433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3F1457D"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повне найменування органу державної влади, що здійснює управління (розпоряджання) об’єктом речових прав;</w:t>
            </w:r>
          </w:p>
          <w:p w14:paraId="6A03AD71"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A21AA8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ідентифікаційний код згідно з ЄДРПОУ органу державної влади, що здійснює управління (розпоряджання) об’єктом речових прав.</w:t>
            </w:r>
          </w:p>
          <w:p w14:paraId="68970AA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057F8E5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 xml:space="preserve">У разі коли органом державної влади, що здійснює управління об’єктом речових прав, є Кабінет Міністрів України чи Верховна Рада України, для цілей ведення Державного реєстру прав зазначаються повне найменування юридичної особи, що забезпечує діяльність </w:t>
            </w:r>
            <w:r w:rsidRPr="005D5874">
              <w:rPr>
                <w:rFonts w:ascii="Times New Roman" w:eastAsia="Times New Roman" w:hAnsi="Times New Roman" w:cs="Times New Roman"/>
                <w:color w:val="333333"/>
                <w:sz w:val="24"/>
                <w:szCs w:val="24"/>
              </w:rPr>
              <w:lastRenderedPageBreak/>
              <w:t>Кабінету Міністрів України/Верховної Ради України, та її ідентифікаційний код згідно з ЄДРПОУ;</w:t>
            </w:r>
          </w:p>
          <w:p w14:paraId="09838C60"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6ACF547"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2) вид речового права, похідного від права власності;</w:t>
            </w:r>
          </w:p>
          <w:p w14:paraId="044A5354"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26B694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3) вид сервітуту, емфітевзису, суперфіцію (у разі коли речовим правом є сервітут, емфітевзис або суперфіцій);</w:t>
            </w:r>
          </w:p>
          <w:p w14:paraId="5DB27F44"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3C92F91"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4) номер частини земельної ділянки, на яку поширюється дія сервітуту, суборенди (у разі набуття сервітуту, суборенди на частину земельної ділянки);</w:t>
            </w:r>
          </w:p>
          <w:p w14:paraId="78329BA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88B190F"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5) дата укладення чи реєстрації (для договорів оренди землі, укладених та зареєстрованих до 1 січня 2013 р.) договору, за яким набувається речове право, похідне від права власності (у разі набуття речового права на підставі договору);</w:t>
            </w:r>
          </w:p>
          <w:p w14:paraId="1B4D2CCB"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ABC2123" w14:textId="48950035"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5</w:t>
            </w:r>
            <w:r w:rsidRPr="00F7670C">
              <w:rPr>
                <w:rFonts w:ascii="Times New Roman" w:eastAsia="Times New Roman" w:hAnsi="Times New Roman" w:cs="Times New Roman"/>
                <w:b/>
                <w:color w:val="333333"/>
                <w:sz w:val="24"/>
                <w:szCs w:val="24"/>
                <w:vertAlign w:val="superscript"/>
              </w:rPr>
              <w:t>1</w:t>
            </w:r>
            <w:r w:rsidRPr="005D5874">
              <w:rPr>
                <w:rFonts w:ascii="Times New Roman" w:eastAsia="Times New Roman" w:hAnsi="Times New Roman" w:cs="Times New Roman"/>
                <w:b/>
                <w:color w:val="333333"/>
                <w:sz w:val="24"/>
                <w:szCs w:val="24"/>
              </w:rPr>
              <w:t>)  у разі внесення відомостей про речові права на земельну ділянку, похідні від права власності, до Державного реєстру прав вноситься одна з таких відміток:</w:t>
            </w:r>
          </w:p>
          <w:p w14:paraId="1E50412A"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07E0AF1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відмітка про наявність у правонабувача права щодо забудови відповідної земельної ділянки без згоди її власника чи іншої уповноваженої особи (щодо земельних ділянок державної, комунальної власності – органу виконавчої влади, органу місцевого самоврядування відповідно до повноважень, визначених статтею 122 Земельного кодексу України,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(далі – відмітка про наявність у правонабувача права щодо забудови відповідної земельної ділянки без згоди її власника чи іншої уповноваженої особи);</w:t>
            </w:r>
          </w:p>
          <w:p w14:paraId="51A8EB9A"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58635746"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відмітка про наявність у правонабувача права щодо забудови відповідної земельної ділянки за згодою її власника чи іншої уповноваженої особи;</w:t>
            </w:r>
          </w:p>
          <w:p w14:paraId="7617FA95"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p>
          <w:p w14:paraId="10F5246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b/>
                <w:color w:val="333333"/>
                <w:sz w:val="24"/>
                <w:szCs w:val="24"/>
              </w:rPr>
            </w:pPr>
            <w:r w:rsidRPr="005D5874">
              <w:rPr>
                <w:rFonts w:ascii="Times New Roman" w:eastAsia="Times New Roman" w:hAnsi="Times New Roman" w:cs="Times New Roman"/>
                <w:b/>
                <w:color w:val="333333"/>
                <w:sz w:val="24"/>
                <w:szCs w:val="24"/>
              </w:rPr>
              <w:t>відмітка про заборону забудови земельної ділянки користувачем;</w:t>
            </w:r>
          </w:p>
          <w:p w14:paraId="27819FF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2E38554"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6) строк дії договору, за яким набувається речове право, похідне від права власності (у разі набуття речового права на підставі договору на певний строк);</w:t>
            </w:r>
          </w:p>
          <w:p w14:paraId="5D7EA7E1"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EFB3DB3"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7) відомості про поновлення договору (у разі набуття права оренди, сервітуту, суперфіцію чи емфітевзису земельної ділянки);</w:t>
            </w:r>
          </w:p>
          <w:p w14:paraId="677AE97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715C956F"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8) номер відомостей про оренду земельної ділянки чи про право користування чужою земельною ділянкою для сільськогосподарських потреб (емфітевзис) (у разі державної реєстрації суборенди земельної ділянки чи державної реєстрації оренди земельної ділянки, набутої на підставі договору, укладеного з емфітевтом);</w:t>
            </w:r>
          </w:p>
          <w:p w14:paraId="07DDBD89"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60BCEE22"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9) підстава для державної реєстрації іншого речового права, похідного від права власності:</w:t>
            </w:r>
          </w:p>
          <w:p w14:paraId="4B08857D"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0F5DEE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тип документа;</w:t>
            </w:r>
          </w:p>
          <w:p w14:paraId="13754399"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4AF0BD8"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серія документа (за наявності);</w:t>
            </w:r>
          </w:p>
          <w:p w14:paraId="1A6606FB"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572696C9"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номер документа;</w:t>
            </w:r>
          </w:p>
          <w:p w14:paraId="7E73816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038F55C"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дата видачі документа;</w:t>
            </w:r>
          </w:p>
          <w:p w14:paraId="14299E45"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1BA97A5C"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lastRenderedPageBreak/>
              <w:t>уповноважений суб’єкт, що видав документ;</w:t>
            </w:r>
          </w:p>
          <w:p w14:paraId="4FC7E53A"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2B1B8B0"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додаткові відомості про документ no(за наявності).</w:t>
            </w:r>
          </w:p>
          <w:p w14:paraId="370710E1"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251F5285"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Підстава для державної реєстрації іншого речового права, похідного від права власності, за допомогою програмних засобів ведення Державного реєстру прав вноситься з переліку документів, поданих чи отриманих у порядку інформаційної взаємодії для державної реєстрації прав та відображених у відповідній заяві;</w:t>
            </w:r>
          </w:p>
          <w:p w14:paraId="3DAD766F"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2A54A0E"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10) абонентський номер мобільного телефона та/або адреса електронної пошти.</w:t>
            </w:r>
          </w:p>
          <w:p w14:paraId="5A16CABC"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376C6B5C"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У разі наявності в документах, поданих для державної реєстрації іншого речового права, похідного від права власності, відомостей про ціну (вартість) такого речового права та/або розмір плати за користування об’єктом речових прав додатково вносяться відомості про таку ціну (вартість) та/або розмір плати.</w:t>
            </w:r>
          </w:p>
          <w:p w14:paraId="555F72D3" w14:textId="77777777" w:rsidR="003C39A0" w:rsidRPr="005D5874" w:rsidRDefault="003C39A0"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9C4F0A7" w14:textId="77777777" w:rsidR="003C39A0" w:rsidRPr="005D5874" w:rsidRDefault="00F7670C" w:rsidP="004F6BA6">
            <w:pPr>
              <w:shd w:val="clear" w:color="auto" w:fill="FFFFFF"/>
              <w:spacing w:after="0" w:line="240" w:lineRule="auto"/>
              <w:ind w:firstLine="306"/>
              <w:jc w:val="both"/>
              <w:rPr>
                <w:rFonts w:ascii="Times New Roman" w:eastAsia="Times New Roman" w:hAnsi="Times New Roman" w:cs="Times New Roman"/>
                <w:sz w:val="24"/>
                <w:szCs w:val="24"/>
              </w:rPr>
            </w:pPr>
            <w:r w:rsidRPr="005D5874">
              <w:rPr>
                <w:rFonts w:ascii="Times New Roman" w:eastAsia="Times New Roman" w:hAnsi="Times New Roman" w:cs="Times New Roman"/>
                <w:color w:val="333333"/>
                <w:sz w:val="24"/>
                <w:szCs w:val="24"/>
              </w:rPr>
              <w:t xml:space="preserve">У разі коли відомості про інше речове право, похідне від права власності, вносяться до спеціального розділу Державного реєстру прав додатково до відомостей, передбачених цим пунктом, вносяться відомості про власника та про об’єкт речових прав, передбачені </w:t>
            </w:r>
            <w:hyperlink r:id="rId18" w:anchor="n1061">
              <w:r w:rsidRPr="005D5874">
                <w:rPr>
                  <w:rFonts w:ascii="Times New Roman" w:eastAsia="Times New Roman" w:hAnsi="Times New Roman" w:cs="Times New Roman"/>
                  <w:color w:val="333333"/>
                  <w:sz w:val="24"/>
                  <w:szCs w:val="24"/>
                </w:rPr>
                <w:t>пунктами 29</w:t>
              </w:r>
            </w:hyperlink>
            <w:r w:rsidRPr="005D5874">
              <w:rPr>
                <w:rFonts w:ascii="Times New Roman" w:eastAsia="Times New Roman" w:hAnsi="Times New Roman" w:cs="Times New Roman"/>
                <w:color w:val="333333"/>
                <w:sz w:val="24"/>
                <w:szCs w:val="24"/>
              </w:rPr>
              <w:t xml:space="preserve"> і </w:t>
            </w:r>
            <w:hyperlink r:id="rId19" w:anchor="n1082">
              <w:r w:rsidRPr="005D5874">
                <w:rPr>
                  <w:rFonts w:ascii="Times New Roman" w:eastAsia="Times New Roman" w:hAnsi="Times New Roman" w:cs="Times New Roman"/>
                  <w:color w:val="333333"/>
                  <w:sz w:val="24"/>
                  <w:szCs w:val="24"/>
                </w:rPr>
                <w:t>30</w:t>
              </w:r>
            </w:hyperlink>
            <w:r w:rsidRPr="005D5874">
              <w:rPr>
                <w:rFonts w:ascii="Times New Roman" w:eastAsia="Times New Roman" w:hAnsi="Times New Roman" w:cs="Times New Roman"/>
                <w:color w:val="333333"/>
                <w:sz w:val="24"/>
                <w:szCs w:val="24"/>
              </w:rPr>
              <w:t xml:space="preserve"> цього Порядку (крім випадків, коли відповідно до законодавства власник відсутній).</w:t>
            </w:r>
          </w:p>
        </w:tc>
      </w:tr>
      <w:tr w:rsidR="005D5874" w:rsidRPr="005D5874" w14:paraId="0CB56328" w14:textId="77777777" w:rsidTr="00AA79FD">
        <w:tc>
          <w:tcPr>
            <w:tcW w:w="151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8BAB0" w14:textId="77777777" w:rsidR="005D5874" w:rsidRPr="00F7670C" w:rsidRDefault="005D5874" w:rsidP="004F6BA6">
            <w:pPr>
              <w:shd w:val="clear" w:color="auto" w:fill="FFFFFF"/>
              <w:spacing w:after="0" w:line="240" w:lineRule="auto"/>
              <w:ind w:firstLine="306"/>
              <w:jc w:val="center"/>
              <w:rPr>
                <w:rFonts w:ascii="Times New Roman" w:eastAsia="Times New Roman" w:hAnsi="Times New Roman" w:cs="Times New Roman"/>
                <w:b/>
                <w:bCs/>
                <w:color w:val="333333"/>
                <w:sz w:val="16"/>
                <w:szCs w:val="16"/>
              </w:rPr>
            </w:pPr>
          </w:p>
          <w:p w14:paraId="16DBE38D" w14:textId="145B03C6" w:rsidR="005D5874" w:rsidRPr="00F7670C" w:rsidRDefault="005D5874" w:rsidP="004F6BA6">
            <w:pPr>
              <w:shd w:val="clear" w:color="auto" w:fill="FFFFFF"/>
              <w:spacing w:after="0" w:line="240" w:lineRule="auto"/>
              <w:ind w:firstLine="306"/>
              <w:jc w:val="center"/>
              <w:rPr>
                <w:rFonts w:ascii="Times New Roman" w:eastAsia="Times New Roman" w:hAnsi="Times New Roman" w:cs="Times New Roman"/>
                <w:b/>
                <w:bCs/>
                <w:color w:val="333333"/>
                <w:sz w:val="16"/>
                <w:szCs w:val="16"/>
              </w:rPr>
            </w:pPr>
            <w:r w:rsidRPr="00F7670C">
              <w:rPr>
                <w:rFonts w:ascii="Times New Roman" w:eastAsia="Times New Roman" w:hAnsi="Times New Roman" w:cs="Times New Roman"/>
                <w:b/>
                <w:bCs/>
                <w:color w:val="333333"/>
                <w:sz w:val="26"/>
                <w:szCs w:val="26"/>
              </w:rPr>
              <w:t xml:space="preserve">Положення про Міністерство розвитку громад, територій та інфраструктури України, </w:t>
            </w:r>
            <w:r w:rsidR="00F7670C">
              <w:rPr>
                <w:rFonts w:ascii="Times New Roman" w:eastAsia="Times New Roman" w:hAnsi="Times New Roman" w:cs="Times New Roman"/>
                <w:b/>
                <w:bCs/>
                <w:color w:val="333333"/>
                <w:sz w:val="26"/>
                <w:szCs w:val="26"/>
              </w:rPr>
              <w:t xml:space="preserve">затверджене </w:t>
            </w:r>
            <w:r w:rsidRPr="00F7670C">
              <w:rPr>
                <w:rFonts w:ascii="Times New Roman" w:eastAsia="Times New Roman" w:hAnsi="Times New Roman" w:cs="Times New Roman"/>
                <w:b/>
                <w:bCs/>
                <w:color w:val="333333"/>
                <w:sz w:val="26"/>
                <w:szCs w:val="26"/>
              </w:rPr>
              <w:t>постанов</w:t>
            </w:r>
            <w:r w:rsidR="00F7670C">
              <w:rPr>
                <w:rFonts w:ascii="Times New Roman" w:eastAsia="Times New Roman" w:hAnsi="Times New Roman" w:cs="Times New Roman"/>
                <w:b/>
                <w:bCs/>
                <w:color w:val="333333"/>
                <w:sz w:val="26"/>
                <w:szCs w:val="26"/>
              </w:rPr>
              <w:t>ою</w:t>
            </w:r>
            <w:r w:rsidRPr="00F7670C">
              <w:rPr>
                <w:rFonts w:ascii="Times New Roman" w:eastAsia="Times New Roman" w:hAnsi="Times New Roman" w:cs="Times New Roman"/>
                <w:b/>
                <w:bCs/>
                <w:color w:val="333333"/>
                <w:sz w:val="26"/>
                <w:szCs w:val="26"/>
              </w:rPr>
              <w:t xml:space="preserve"> Кабінету Міністрів України від 30 червня 2015 р. № 460 </w:t>
            </w:r>
          </w:p>
        </w:tc>
      </w:tr>
      <w:tr w:rsidR="005D5874" w:rsidRPr="005D5874" w14:paraId="307F2B4F" w14:textId="77777777" w:rsidTr="004F6BA6">
        <w:trPr>
          <w:trHeight w:val="6071"/>
        </w:trPr>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031E4" w14:textId="4F441829" w:rsidR="005D5874" w:rsidRDefault="005D5874" w:rsidP="004F6BA6">
            <w:pPr>
              <w:pStyle w:val="rvps2"/>
              <w:shd w:val="clear" w:color="auto" w:fill="FFFFFF"/>
              <w:spacing w:before="0" w:beforeAutospacing="0" w:after="150" w:afterAutospacing="0"/>
              <w:ind w:firstLine="306"/>
              <w:jc w:val="both"/>
              <w:rPr>
                <w:color w:val="333333"/>
                <w:shd w:val="clear" w:color="auto" w:fill="FFFFFF"/>
              </w:rPr>
            </w:pPr>
            <w:r>
              <w:rPr>
                <w:color w:val="333333"/>
                <w:shd w:val="clear" w:color="auto" w:fill="FFFFFF"/>
              </w:rPr>
              <w:t>…</w:t>
            </w:r>
          </w:p>
          <w:p w14:paraId="3294A449" w14:textId="20672416" w:rsidR="005D5874" w:rsidRPr="005D5874" w:rsidRDefault="005D5874" w:rsidP="004F6BA6">
            <w:pPr>
              <w:pStyle w:val="rvps2"/>
              <w:shd w:val="clear" w:color="auto" w:fill="FFFFFF"/>
              <w:spacing w:before="0" w:beforeAutospacing="0" w:after="150" w:afterAutospacing="0"/>
              <w:ind w:firstLine="306"/>
              <w:jc w:val="both"/>
              <w:rPr>
                <w:color w:val="333333"/>
                <w:shd w:val="clear" w:color="auto" w:fill="FFFFFF"/>
              </w:rPr>
            </w:pPr>
            <w:r w:rsidRPr="005D5874">
              <w:rPr>
                <w:color w:val="333333"/>
                <w:shd w:val="clear" w:color="auto" w:fill="FFFFFF"/>
              </w:rPr>
              <w:t>4. Мінінфраструктури відповідно до покладених на нього завдань:</w:t>
            </w:r>
          </w:p>
          <w:p w14:paraId="0ACD4944" w14:textId="55D60192" w:rsidR="005D5874" w:rsidRPr="005D5874" w:rsidRDefault="005D5874" w:rsidP="004F6BA6">
            <w:pPr>
              <w:pStyle w:val="rvps2"/>
              <w:shd w:val="clear" w:color="auto" w:fill="FFFFFF"/>
              <w:spacing w:before="0" w:beforeAutospacing="0" w:after="150" w:afterAutospacing="0"/>
              <w:ind w:firstLine="306"/>
              <w:jc w:val="both"/>
              <w:rPr>
                <w:color w:val="333333"/>
              </w:rPr>
            </w:pPr>
            <w:r w:rsidRPr="005D5874">
              <w:rPr>
                <w:color w:val="333333"/>
                <w:shd w:val="clear" w:color="auto" w:fill="FFFFFF"/>
              </w:rPr>
              <w:t>…</w:t>
            </w:r>
          </w:p>
          <w:p w14:paraId="759B5A70" w14:textId="75CF73A6" w:rsidR="005D5874" w:rsidRPr="005D5874" w:rsidRDefault="005D5874" w:rsidP="004F6BA6">
            <w:pPr>
              <w:pStyle w:val="rvps2"/>
              <w:shd w:val="clear" w:color="auto" w:fill="FFFFFF"/>
              <w:spacing w:before="0" w:beforeAutospacing="0" w:after="150" w:afterAutospacing="0"/>
              <w:ind w:firstLine="306"/>
              <w:jc w:val="both"/>
              <w:rPr>
                <w:color w:val="333333"/>
              </w:rPr>
            </w:pPr>
            <w:r w:rsidRPr="005D5874">
              <w:rPr>
                <w:color w:val="333333"/>
              </w:rPr>
              <w:t>71) здійснює:</w:t>
            </w:r>
          </w:p>
          <w:p w14:paraId="63E95FC4" w14:textId="77777777" w:rsidR="005D5874" w:rsidRDefault="005D5874" w:rsidP="004F6BA6">
            <w:pPr>
              <w:pStyle w:val="rvps2"/>
              <w:shd w:val="clear" w:color="auto" w:fill="FFFFFF"/>
              <w:spacing w:before="0" w:beforeAutospacing="0" w:after="150" w:afterAutospacing="0"/>
              <w:ind w:firstLine="306"/>
              <w:jc w:val="both"/>
              <w:rPr>
                <w:color w:val="333333"/>
              </w:rPr>
            </w:pPr>
            <w:bookmarkStart w:id="1" w:name="n601"/>
            <w:bookmarkEnd w:id="1"/>
            <w:r w:rsidRPr="005D5874">
              <w:rPr>
                <w:color w:val="333333"/>
              </w:rPr>
              <w:t>повноваження центрального органу виконавчої влади з нормування у будівництві;</w:t>
            </w:r>
          </w:p>
          <w:p w14:paraId="138550AA" w14:textId="7A99B018" w:rsidR="005D5874" w:rsidRPr="005D5874" w:rsidRDefault="00F7670C" w:rsidP="004F6BA6">
            <w:pPr>
              <w:pStyle w:val="rvps2"/>
              <w:shd w:val="clear" w:color="auto" w:fill="FFFFFF"/>
              <w:spacing w:before="0" w:beforeAutospacing="0" w:after="150" w:afterAutospacing="0"/>
              <w:ind w:firstLine="306"/>
              <w:jc w:val="both"/>
              <w:rPr>
                <w:b/>
                <w:bCs/>
                <w:color w:val="333333"/>
              </w:rPr>
            </w:pPr>
            <w:r>
              <w:rPr>
                <w:b/>
                <w:bCs/>
                <w:color w:val="333333"/>
              </w:rPr>
              <w:t>В</w:t>
            </w:r>
            <w:r w:rsidR="005D5874" w:rsidRPr="005D5874">
              <w:rPr>
                <w:b/>
                <w:bCs/>
                <w:color w:val="333333"/>
              </w:rPr>
              <w:t>ідсутній</w:t>
            </w:r>
          </w:p>
          <w:p w14:paraId="0B0BBD65"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bookmarkStart w:id="2" w:name="n602"/>
            <w:bookmarkEnd w:id="2"/>
            <w:r w:rsidRPr="005D5874">
              <w:rPr>
                <w:color w:val="333333"/>
              </w:rPr>
              <w:t>відповідно до законодавства містобудівний моніторинг;</w:t>
            </w:r>
          </w:p>
          <w:p w14:paraId="5C6D8157"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bookmarkStart w:id="3" w:name="n603"/>
            <w:bookmarkEnd w:id="3"/>
            <w:r w:rsidRPr="005D5874">
              <w:rPr>
                <w:color w:val="333333"/>
              </w:rPr>
              <w:t>функції контактного пункту щодо будівельної продукції;</w:t>
            </w:r>
          </w:p>
          <w:p w14:paraId="7007C28A"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bookmarkStart w:id="4" w:name="n604"/>
            <w:bookmarkEnd w:id="4"/>
            <w:r w:rsidRPr="005D5874">
              <w:rPr>
                <w:color w:val="333333"/>
              </w:rPr>
              <w:t>організаційне забезпечення з питань державної підтримки будівництва (придбання) доступного житла, формування житлового фонду соціального призначення, розгортання молодіжного житлового будівництва, кредитування індивідуальних сільських забудовників, реконструкції кварталів (мікрорайонів) застарілого житлового фонду та реалізації інфраструктурних проектів;</w:t>
            </w:r>
          </w:p>
          <w:p w14:paraId="74BF2376"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bookmarkStart w:id="5" w:name="n605"/>
            <w:bookmarkEnd w:id="5"/>
            <w:r w:rsidRPr="005D5874">
              <w:rPr>
                <w:color w:val="333333"/>
              </w:rPr>
              <w:t>оцінювання заявників, які претендують на призначення органом з визначення технічної прийнятності;</w:t>
            </w:r>
          </w:p>
          <w:p w14:paraId="09B29D91" w14:textId="0BA5E1AD" w:rsidR="005D5874" w:rsidRPr="005D5874" w:rsidRDefault="005D5874"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w:t>
            </w:r>
          </w:p>
        </w:tc>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5DB4" w14:textId="20D55F5D" w:rsidR="005D5874" w:rsidRDefault="005D5874"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p w14:paraId="1A32EC66" w14:textId="77777777" w:rsidR="005D5874" w:rsidRDefault="005D5874"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p w14:paraId="4492DD39" w14:textId="3BB28F45" w:rsidR="005D5874" w:rsidRPr="005D5874" w:rsidRDefault="005D5874"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4. Мінінфраструктури відповідно до покладених на нього завдань:</w:t>
            </w:r>
          </w:p>
          <w:p w14:paraId="1A2980B8"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r w:rsidRPr="005D5874">
              <w:rPr>
                <w:color w:val="333333"/>
                <w:shd w:val="clear" w:color="auto" w:fill="FFFFFF"/>
              </w:rPr>
              <w:t>…</w:t>
            </w:r>
          </w:p>
          <w:p w14:paraId="453BC80B"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r w:rsidRPr="005D5874">
              <w:rPr>
                <w:color w:val="333333"/>
              </w:rPr>
              <w:t>71) здійснює:</w:t>
            </w:r>
          </w:p>
          <w:p w14:paraId="65E02C07" w14:textId="77777777" w:rsidR="005D5874" w:rsidRDefault="005D5874" w:rsidP="004F6BA6">
            <w:pPr>
              <w:pStyle w:val="rvps2"/>
              <w:shd w:val="clear" w:color="auto" w:fill="FFFFFF"/>
              <w:spacing w:before="0" w:beforeAutospacing="0" w:after="150" w:afterAutospacing="0"/>
              <w:ind w:firstLine="306"/>
              <w:jc w:val="both"/>
              <w:rPr>
                <w:color w:val="333333"/>
              </w:rPr>
            </w:pPr>
            <w:r w:rsidRPr="005D5874">
              <w:rPr>
                <w:color w:val="333333"/>
              </w:rPr>
              <w:t>повноваження центрального органу виконавчої влади з нормування у будівництві;</w:t>
            </w:r>
          </w:p>
          <w:p w14:paraId="7590681F" w14:textId="77777777" w:rsidR="005D5874" w:rsidRPr="005D5874" w:rsidRDefault="005D5874" w:rsidP="004F6BA6">
            <w:pPr>
              <w:shd w:val="clear" w:color="auto" w:fill="FFFFFF"/>
              <w:spacing w:after="0" w:line="240" w:lineRule="auto"/>
              <w:ind w:firstLine="306"/>
              <w:jc w:val="both"/>
              <w:rPr>
                <w:rFonts w:ascii="Times New Roman" w:eastAsia="Times New Roman" w:hAnsi="Times New Roman" w:cs="Times New Roman"/>
                <w:b/>
                <w:bCs/>
                <w:color w:val="333333"/>
                <w:sz w:val="24"/>
                <w:szCs w:val="24"/>
              </w:rPr>
            </w:pPr>
            <w:r w:rsidRPr="005D5874">
              <w:rPr>
                <w:rFonts w:ascii="Times New Roman" w:eastAsia="Times New Roman" w:hAnsi="Times New Roman" w:cs="Times New Roman"/>
                <w:b/>
                <w:bCs/>
                <w:color w:val="333333"/>
                <w:sz w:val="24"/>
                <w:szCs w:val="24"/>
              </w:rPr>
              <w:t xml:space="preserve">відповідно до законодавства державний архітектурно-будівельний нагляд; </w:t>
            </w:r>
          </w:p>
          <w:p w14:paraId="6405E7C6"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r w:rsidRPr="005D5874">
              <w:rPr>
                <w:color w:val="333333"/>
              </w:rPr>
              <w:t>відповідно до законодавства містобудівний моніторинг;</w:t>
            </w:r>
          </w:p>
          <w:p w14:paraId="519991F6"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r w:rsidRPr="005D5874">
              <w:rPr>
                <w:color w:val="333333"/>
              </w:rPr>
              <w:t>функції контактного пункту щодо будівельної продукції;</w:t>
            </w:r>
          </w:p>
          <w:p w14:paraId="0B816DF3"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r w:rsidRPr="005D5874">
              <w:rPr>
                <w:color w:val="333333"/>
              </w:rPr>
              <w:t>організаційне забезпечення з питань державної підтримки будівництва (придбання) доступного житла, формування житлового фонду соціального призначення, розгортання молодіжного житлового будівництва, кредитування індивідуальних сільських забудовників, реконструкції кварталів (мікрорайонів) застарілого житлового фонду та реалізації інфраструктурних проектів;</w:t>
            </w:r>
          </w:p>
          <w:p w14:paraId="7F63C61C" w14:textId="77777777" w:rsidR="005D5874" w:rsidRPr="005D5874" w:rsidRDefault="005D5874" w:rsidP="004F6BA6">
            <w:pPr>
              <w:pStyle w:val="rvps2"/>
              <w:shd w:val="clear" w:color="auto" w:fill="FFFFFF"/>
              <w:spacing w:before="0" w:beforeAutospacing="0" w:after="150" w:afterAutospacing="0"/>
              <w:ind w:firstLine="306"/>
              <w:jc w:val="both"/>
              <w:rPr>
                <w:color w:val="333333"/>
              </w:rPr>
            </w:pPr>
            <w:r w:rsidRPr="005D5874">
              <w:rPr>
                <w:color w:val="333333"/>
              </w:rPr>
              <w:t>оцінювання заявників, які претендують на призначення органом з визначення технічної прийнятності;</w:t>
            </w:r>
          </w:p>
          <w:p w14:paraId="7F747003" w14:textId="31B42146" w:rsidR="005D5874" w:rsidRPr="005D5874" w:rsidRDefault="005D5874"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r w:rsidRPr="005D5874">
              <w:rPr>
                <w:rFonts w:ascii="Times New Roman" w:eastAsia="Times New Roman" w:hAnsi="Times New Roman" w:cs="Times New Roman"/>
                <w:color w:val="333333"/>
                <w:sz w:val="24"/>
                <w:szCs w:val="24"/>
              </w:rPr>
              <w:t>…</w:t>
            </w:r>
          </w:p>
          <w:p w14:paraId="24537368" w14:textId="10F4D9D9" w:rsidR="005D5874" w:rsidRPr="005D5874" w:rsidRDefault="005D5874" w:rsidP="004F6BA6">
            <w:pPr>
              <w:shd w:val="clear" w:color="auto" w:fill="FFFFFF"/>
              <w:spacing w:after="0" w:line="240" w:lineRule="auto"/>
              <w:ind w:firstLine="306"/>
              <w:jc w:val="both"/>
              <w:rPr>
                <w:rFonts w:ascii="Times New Roman" w:eastAsia="Times New Roman" w:hAnsi="Times New Roman" w:cs="Times New Roman"/>
                <w:color w:val="333333"/>
                <w:sz w:val="24"/>
                <w:szCs w:val="24"/>
              </w:rPr>
            </w:pPr>
          </w:p>
        </w:tc>
      </w:tr>
    </w:tbl>
    <w:p w14:paraId="2BABBE2A" w14:textId="77777777" w:rsidR="004F6BA6" w:rsidRDefault="004F6BA6" w:rsidP="00F7670C">
      <w:pPr>
        <w:pStyle w:val="a6"/>
        <w:rPr>
          <w:rFonts w:ascii="Times New Roman" w:hAnsi="Times New Roman" w:cs="Times New Roman"/>
          <w:sz w:val="26"/>
          <w:szCs w:val="26"/>
        </w:rPr>
      </w:pPr>
    </w:p>
    <w:p w14:paraId="60058C2D" w14:textId="68C3694E" w:rsidR="00F7670C" w:rsidRPr="00F7670C" w:rsidRDefault="00F7670C" w:rsidP="00F7670C">
      <w:pPr>
        <w:pStyle w:val="a6"/>
        <w:rPr>
          <w:rFonts w:ascii="Times New Roman" w:hAnsi="Times New Roman" w:cs="Times New Roman"/>
          <w:sz w:val="26"/>
          <w:szCs w:val="26"/>
        </w:rPr>
      </w:pPr>
      <w:r w:rsidRPr="00F7670C">
        <w:rPr>
          <w:rFonts w:ascii="Times New Roman" w:hAnsi="Times New Roman" w:cs="Times New Roman"/>
          <w:sz w:val="26"/>
          <w:szCs w:val="26"/>
        </w:rPr>
        <w:t xml:space="preserve">Віце-прем’єр-міністр з відновлення України – </w:t>
      </w:r>
    </w:p>
    <w:p w14:paraId="3FAAE5B3" w14:textId="12CD394B" w:rsidR="00F7670C" w:rsidRDefault="00F7670C" w:rsidP="00F7670C">
      <w:pPr>
        <w:pStyle w:val="a6"/>
        <w:rPr>
          <w:rFonts w:ascii="Times New Roman" w:hAnsi="Times New Roman" w:cs="Times New Roman"/>
          <w:sz w:val="26"/>
          <w:szCs w:val="26"/>
        </w:rPr>
      </w:pPr>
      <w:r w:rsidRPr="00F7670C">
        <w:rPr>
          <w:rFonts w:ascii="Times New Roman" w:hAnsi="Times New Roman" w:cs="Times New Roman"/>
          <w:sz w:val="26"/>
          <w:szCs w:val="26"/>
        </w:rPr>
        <w:t xml:space="preserve">Міністра розвитку громад територій та інфраструктури України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7670C">
        <w:rPr>
          <w:rFonts w:ascii="Times New Roman" w:hAnsi="Times New Roman" w:cs="Times New Roman"/>
          <w:sz w:val="26"/>
          <w:szCs w:val="26"/>
        </w:rPr>
        <w:t>Олександр КУБРАКОВ</w:t>
      </w:r>
    </w:p>
    <w:p w14:paraId="4F59D20A" w14:textId="39D98A59" w:rsidR="00F7670C" w:rsidRPr="00F7670C" w:rsidRDefault="00F7670C" w:rsidP="00F7670C">
      <w:pPr>
        <w:pStyle w:val="a6"/>
        <w:rPr>
          <w:rFonts w:ascii="Times New Roman" w:hAnsi="Times New Roman" w:cs="Times New Roman"/>
          <w:sz w:val="26"/>
          <w:szCs w:val="26"/>
        </w:rPr>
      </w:pPr>
      <w:r>
        <w:rPr>
          <w:rFonts w:ascii="Times New Roman" w:hAnsi="Times New Roman" w:cs="Times New Roman"/>
          <w:sz w:val="26"/>
          <w:szCs w:val="26"/>
        </w:rPr>
        <w:t>«___» _________ 2023 р.</w:t>
      </w:r>
    </w:p>
    <w:sectPr w:rsidR="00F7670C" w:rsidRPr="00F7670C" w:rsidSect="004F6BA6">
      <w:headerReference w:type="default" r:id="rId20"/>
      <w:pgSz w:w="16838" w:h="11906" w:orient="landscape"/>
      <w:pgMar w:top="567" w:right="850" w:bottom="1701" w:left="85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55761" w14:textId="77777777" w:rsidR="0074006C" w:rsidRDefault="0074006C">
      <w:pPr>
        <w:spacing w:after="0" w:line="240" w:lineRule="auto"/>
      </w:pPr>
      <w:r>
        <w:separator/>
      </w:r>
    </w:p>
  </w:endnote>
  <w:endnote w:type="continuationSeparator" w:id="0">
    <w:p w14:paraId="6E6F7209" w14:textId="77777777" w:rsidR="0074006C" w:rsidRDefault="0074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1379" w14:textId="77777777" w:rsidR="0074006C" w:rsidRDefault="0074006C">
      <w:pPr>
        <w:spacing w:after="0" w:line="240" w:lineRule="auto"/>
      </w:pPr>
      <w:r>
        <w:separator/>
      </w:r>
    </w:p>
  </w:footnote>
  <w:footnote w:type="continuationSeparator" w:id="0">
    <w:p w14:paraId="13D7C17E" w14:textId="77777777" w:rsidR="0074006C" w:rsidRDefault="0074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C80E" w14:textId="6E98FF96" w:rsidR="003C39A0" w:rsidRDefault="00F7670C">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019FE">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5B917C6E" w14:textId="77777777" w:rsidR="003C39A0" w:rsidRDefault="003C39A0">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A0"/>
    <w:rsid w:val="003019FE"/>
    <w:rsid w:val="003C39A0"/>
    <w:rsid w:val="004C0F32"/>
    <w:rsid w:val="004F6BA6"/>
    <w:rsid w:val="005D5874"/>
    <w:rsid w:val="0074006C"/>
    <w:rsid w:val="00C743A2"/>
    <w:rsid w:val="00F7670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9CC1F"/>
  <w15:docId w15:val="{42431808-E546-4204-B9DE-CDF4ED5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rsid w:val="005D587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F76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75551">
      <w:bodyDiv w:val="1"/>
      <w:marLeft w:val="0"/>
      <w:marRight w:val="0"/>
      <w:marTop w:val="0"/>
      <w:marBottom w:val="0"/>
      <w:divBdr>
        <w:top w:val="none" w:sz="0" w:space="0" w:color="auto"/>
        <w:left w:val="none" w:sz="0" w:space="0" w:color="auto"/>
        <w:bottom w:val="none" w:sz="0" w:space="0" w:color="auto"/>
        <w:right w:val="none" w:sz="0" w:space="0" w:color="auto"/>
      </w:divBdr>
    </w:div>
    <w:div w:id="206185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41-2011-%D0%B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1644-18"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41-2011-%D0%BF" TargetMode="External"/><Relationship Id="rId2" Type="http://schemas.openxmlformats.org/officeDocument/2006/relationships/settings" Target="settings.xml"/><Relationship Id="rId16" Type="http://schemas.openxmlformats.org/officeDocument/2006/relationships/hyperlink" Target="https://zakon.rada.gov.ua/laws/show/1141-2011-%D0%B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zakon.rada.gov.ua/laws/show/1952-15" TargetMode="External"/><Relationship Id="rId11" Type="http://schemas.openxmlformats.org/officeDocument/2006/relationships/hyperlink" Target="https://zakon.rada.gov.ua/laws/show/1952-15" TargetMode="External"/><Relationship Id="rId5" Type="http://schemas.openxmlformats.org/officeDocument/2006/relationships/endnotes" Target="endnote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41-2011-%D0%BF" TargetMode="External"/><Relationship Id="rId4" Type="http://schemas.openxmlformats.org/officeDocument/2006/relationships/footnotes" Target="footnote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2834</Words>
  <Characters>21963</Characters>
  <Application>Microsoft Office Word</Application>
  <DocSecurity>0</DocSecurity>
  <Lines>183</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 Marusheva</dc:creator>
  <cp:lastModifiedBy>Корнієнко Ірина Віталіївна</cp:lastModifiedBy>
  <cp:revision>2</cp:revision>
  <dcterms:created xsi:type="dcterms:W3CDTF">2023-12-13T12:35:00Z</dcterms:created>
  <dcterms:modified xsi:type="dcterms:W3CDTF">2023-12-13T12:35:00Z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f008441b2b24ac26be2ccff1f8af964cf60545e9f3341bb48b836b22001e8685</vt:lpwstr>
  </property>
</Properties>
</file>