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09CA" w:rsidRDefault="00B809CA">
      <w:pPr>
        <w:pStyle w:val="1"/>
        <w:spacing w:after="0" w:line="240" w:lineRule="auto"/>
        <w:jc w:val="center"/>
        <w:rPr>
          <w:rFonts w:ascii="Times New Roman" w:eastAsia="Times New Roman" w:hAnsi="Times New Roman"/>
          <w:b/>
          <w:color w:val="000000"/>
          <w:sz w:val="28"/>
        </w:rPr>
      </w:pPr>
      <w:r>
        <w:rPr>
          <w:rFonts w:ascii="Times New Roman" w:eastAsia="Times New Roman" w:hAnsi="Times New Roman"/>
          <w:b/>
          <w:color w:val="000000"/>
          <w:sz w:val="28"/>
        </w:rPr>
        <w:t>ПОЯСНЮВАЛЬНА ЗАПИСКА</w:t>
      </w:r>
    </w:p>
    <w:p w:rsidR="00B809CA" w:rsidRDefault="00B809CA">
      <w:pPr>
        <w:pStyle w:val="1"/>
        <w:spacing w:after="0" w:line="240" w:lineRule="auto"/>
        <w:jc w:val="center"/>
        <w:rPr>
          <w:rFonts w:ascii="Times New Roman" w:eastAsia="Times New Roman" w:hAnsi="Times New Roman"/>
          <w:b/>
          <w:color w:val="000000"/>
          <w:sz w:val="28"/>
        </w:rPr>
      </w:pPr>
      <w:r>
        <w:rPr>
          <w:rFonts w:ascii="Times New Roman" w:eastAsia="Times New Roman" w:hAnsi="Times New Roman"/>
          <w:b/>
          <w:color w:val="000000"/>
          <w:sz w:val="28"/>
        </w:rPr>
        <w:t>до проєкту наказу Міністерства розвитку громад, територій та інфраструктури України «Про затвердження Змін до Порядку проведення конкурсу та видачі дозвільних документів Європейської Конференції Міністрів Транспорту»</w:t>
      </w:r>
    </w:p>
    <w:p w:rsidR="00B809CA" w:rsidRDefault="00B809CA">
      <w:pPr>
        <w:pStyle w:val="1"/>
        <w:spacing w:after="0" w:line="240" w:lineRule="auto"/>
        <w:rPr>
          <w:rFonts w:ascii="Times New Roman" w:eastAsia="Times New Roman" w:hAnsi="Times New Roman"/>
          <w:b/>
          <w:color w:val="000000"/>
          <w:sz w:val="28"/>
        </w:rPr>
      </w:pPr>
    </w:p>
    <w:p w:rsidR="00B809CA" w:rsidRDefault="00B809CA">
      <w:pPr>
        <w:pStyle w:val="1"/>
        <w:spacing w:after="0" w:line="240" w:lineRule="auto"/>
        <w:ind w:left="709" w:hanging="142"/>
        <w:jc w:val="both"/>
        <w:rPr>
          <w:rFonts w:ascii="Times New Roman" w:eastAsia="Times New Roman" w:hAnsi="Times New Roman"/>
          <w:b/>
          <w:color w:val="000000"/>
          <w:sz w:val="28"/>
        </w:rPr>
      </w:pPr>
      <w:r>
        <w:rPr>
          <w:rFonts w:ascii="Times New Roman" w:eastAsia="Times New Roman" w:hAnsi="Times New Roman"/>
          <w:b/>
          <w:color w:val="000000"/>
          <w:sz w:val="28"/>
        </w:rPr>
        <w:t xml:space="preserve">1.  Мета </w:t>
      </w:r>
    </w:p>
    <w:p w:rsidR="00B809CA" w:rsidRDefault="00B809CA">
      <w:pPr>
        <w:pStyle w:val="1"/>
        <w:spacing w:after="0" w:line="240" w:lineRule="auto"/>
        <w:ind w:left="57" w:firstLine="510"/>
        <w:jc w:val="both"/>
        <w:rPr>
          <w:rFonts w:ascii="Times New Roman" w:eastAsia="Times New Roman" w:hAnsi="Times New Roman"/>
          <w:color w:val="000000"/>
          <w:sz w:val="28"/>
        </w:rPr>
      </w:pPr>
      <w:r>
        <w:rPr>
          <w:rFonts w:ascii="Times New Roman" w:eastAsia="Times New Roman" w:hAnsi="Times New Roman"/>
          <w:color w:val="000000"/>
          <w:sz w:val="28"/>
        </w:rPr>
        <w:t>Проєкт наказу Міністерства розвитку громад, територій та інфраструктури України «Про затвердження Змін до Порядку проведення конкурсу та видачі дозвільних документів Європейської Конференції Міністрів Транспорту» (далі – проєкт наказу) розроблено з метою удосконалення законодавчого регулювання організаційних та правових засад процедури проведення конкурсу та видачі дозвільних документів Європейської Конференції Міністрів Транспорту (далі – ЄКМТ) у частині  проведення конкурсу з розподілу дозволів ЄКМТ та використання дозволів ЄКМТ.</w:t>
      </w:r>
    </w:p>
    <w:p w:rsidR="00B809CA" w:rsidRDefault="00B809CA">
      <w:pPr>
        <w:pStyle w:val="1"/>
        <w:spacing w:after="0" w:line="240" w:lineRule="auto"/>
        <w:ind w:firstLine="567"/>
        <w:rPr>
          <w:rFonts w:ascii="Times New Roman" w:eastAsia="Times New Roman" w:hAnsi="Times New Roman"/>
          <w:color w:val="000000"/>
          <w:sz w:val="28"/>
        </w:rPr>
      </w:pPr>
    </w:p>
    <w:p w:rsidR="00B809CA" w:rsidRDefault="00B809CA">
      <w:pPr>
        <w:pStyle w:val="1"/>
        <w:spacing w:after="0" w:line="240" w:lineRule="auto"/>
        <w:ind w:firstLine="567"/>
        <w:rPr>
          <w:rFonts w:ascii="Times New Roman" w:eastAsia="Times New Roman" w:hAnsi="Times New Roman"/>
          <w:b/>
          <w:color w:val="000000"/>
          <w:sz w:val="28"/>
        </w:rPr>
      </w:pPr>
      <w:r>
        <w:rPr>
          <w:rFonts w:ascii="Times New Roman" w:eastAsia="Times New Roman" w:hAnsi="Times New Roman"/>
          <w:b/>
          <w:color w:val="000000"/>
          <w:sz w:val="28"/>
        </w:rPr>
        <w:t>2. Обґрунтування необхідності прийняття акта</w:t>
      </w:r>
    </w:p>
    <w:p w:rsidR="00B809CA" w:rsidRDefault="00B809CA">
      <w:pPr>
        <w:pStyle w:val="1"/>
        <w:spacing w:after="0" w:line="240" w:lineRule="auto"/>
        <w:ind w:firstLine="567"/>
        <w:rPr>
          <w:rFonts w:ascii="Times New Roman" w:eastAsia="Times New Roman" w:hAnsi="Times New Roman"/>
          <w:b/>
          <w:color w:val="000000"/>
          <w:sz w:val="28"/>
        </w:rPr>
      </w:pPr>
    </w:p>
    <w:p w:rsidR="00B809CA" w:rsidRDefault="00B809CA">
      <w:pPr>
        <w:pStyle w:val="1"/>
        <w:spacing w:after="0" w:line="240" w:lineRule="auto"/>
        <w:ind w:firstLine="567"/>
        <w:jc w:val="both"/>
        <w:rPr>
          <w:rFonts w:ascii="Times New Roman" w:eastAsia="Times New Roman" w:hAnsi="Times New Roman"/>
          <w:color w:val="000000"/>
          <w:sz w:val="28"/>
        </w:rPr>
      </w:pPr>
      <w:r>
        <w:rPr>
          <w:rFonts w:ascii="Times New Roman" w:eastAsia="Times New Roman" w:hAnsi="Times New Roman"/>
          <w:color w:val="000000"/>
          <w:sz w:val="28"/>
        </w:rPr>
        <w:t>Проєкт наказу розроблено відповідно до частини п’ятої статті 55 Закону України «Про автомобільний транспорт», абзацу двадцять дев’ятого підпункту 20 пункту 4 Положення про Міністерство розвитку громад, територій та інфраструктури України, затвердженого постановою Кабінету Міністрів України від 30 червня 2015 року № 460 (в редакції постанови Кабінету Міністрів України від 17 грудня 2022 р. № 1400).</w:t>
      </w:r>
    </w:p>
    <w:p w:rsidR="00B809CA" w:rsidRDefault="00B809CA">
      <w:pPr>
        <w:pStyle w:val="1"/>
        <w:spacing w:after="0" w:line="240" w:lineRule="auto"/>
        <w:ind w:firstLine="567"/>
        <w:jc w:val="both"/>
        <w:rPr>
          <w:rFonts w:ascii="Times New Roman" w:eastAsia="Times New Roman" w:hAnsi="Times New Roman"/>
          <w:color w:val="000000"/>
          <w:sz w:val="28"/>
        </w:rPr>
      </w:pPr>
      <w:r>
        <w:rPr>
          <w:rFonts w:ascii="Times New Roman" w:eastAsia="Times New Roman" w:hAnsi="Times New Roman"/>
          <w:color w:val="000000"/>
          <w:sz w:val="28"/>
        </w:rPr>
        <w:t>Питання, які визначають процедуру розподілу, перерозподілу, оформлення та видачі дозволів ЄКМТ регулюються Порядком проведення конкурсу та видачі дозвільних документів Європейської Конференції Міністрів Транспорту, затвердженим наказом Міністерства транспорту України від 20 серпня 2004 року № 757, зареєстрованим в Міністерстві юстиції України 31 серпня 2004 року за № 1075/9675 (далі – Порядок).</w:t>
      </w:r>
    </w:p>
    <w:p w:rsidR="00B809CA" w:rsidRDefault="00B809CA">
      <w:pPr>
        <w:pStyle w:val="1"/>
        <w:spacing w:after="0" w:line="240" w:lineRule="auto"/>
        <w:ind w:firstLine="567"/>
        <w:jc w:val="both"/>
        <w:rPr>
          <w:rFonts w:ascii="Times New Roman" w:eastAsia="Times New Roman" w:hAnsi="Times New Roman"/>
          <w:color w:val="000000"/>
          <w:sz w:val="28"/>
        </w:rPr>
      </w:pPr>
      <w:r>
        <w:rPr>
          <w:rFonts w:ascii="Times New Roman" w:eastAsia="Times New Roman" w:hAnsi="Times New Roman"/>
          <w:color w:val="000000"/>
          <w:sz w:val="28"/>
        </w:rPr>
        <w:t xml:space="preserve">Через повномасштабне вторгнення росії на територію України та у зв’язку із зростанням попиту та потреби на автомобільні перевезення, відповідно постанови Кабінету Міністрів України від 25 березня 2022 року № 368 </w:t>
      </w:r>
      <w:r>
        <w:rPr>
          <w:rFonts w:ascii="Times New Roman" w:eastAsia="Times New Roman" w:hAnsi="Times New Roman"/>
          <w:color w:val="000000"/>
          <w:sz w:val="28"/>
        </w:rPr>
        <w:br/>
        <w:t>«Про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ліцензії на період дії воєнного стану видавались за спрощеною процедурою.</w:t>
      </w:r>
    </w:p>
    <w:p w:rsidR="00B809CA" w:rsidRDefault="00B809CA">
      <w:pPr>
        <w:pStyle w:val="1"/>
        <w:spacing w:after="0" w:line="240" w:lineRule="auto"/>
        <w:ind w:firstLine="567"/>
        <w:jc w:val="both"/>
        <w:rPr>
          <w:rFonts w:ascii="Times New Roman" w:eastAsia="Times New Roman" w:hAnsi="Times New Roman"/>
          <w:color w:val="000000"/>
          <w:sz w:val="28"/>
        </w:rPr>
      </w:pPr>
      <w:r>
        <w:rPr>
          <w:rFonts w:ascii="Times New Roman" w:eastAsia="Times New Roman" w:hAnsi="Times New Roman"/>
          <w:color w:val="000000"/>
          <w:sz w:val="28"/>
        </w:rPr>
        <w:t>З 31 травня 2022 року по 01 червня 2024 року видано близько 15 тис. відповідних ліцензій, що становить 50 % від загальної кількості чинних ліцензій на здійснення міжнародних перевезень.</w:t>
      </w:r>
    </w:p>
    <w:p w:rsidR="00B809CA" w:rsidRDefault="00B809CA">
      <w:pPr>
        <w:pStyle w:val="1"/>
        <w:spacing w:after="0" w:line="240" w:lineRule="auto"/>
        <w:ind w:firstLine="567"/>
        <w:jc w:val="both"/>
        <w:rPr>
          <w:rFonts w:ascii="Times New Roman" w:eastAsia="Times New Roman" w:hAnsi="Times New Roman"/>
          <w:color w:val="000000"/>
          <w:sz w:val="28"/>
        </w:rPr>
      </w:pPr>
      <w:r>
        <w:rPr>
          <w:rFonts w:ascii="Times New Roman" w:eastAsia="Times New Roman" w:hAnsi="Times New Roman"/>
          <w:color w:val="000000"/>
          <w:sz w:val="28"/>
        </w:rPr>
        <w:t>Відповідно до Порядку право на участь у конкурсі з розподілу дозволів ЄКМТ мають право автомобільні перевізники, які мають, зокрема, чинну ліцензію на право здійснення міжнародних автомобільних перевезень та  провадять таку господарську діяльність не менше 2-х років.</w:t>
      </w:r>
      <w:bookmarkStart w:id="0" w:name="_GoBack"/>
      <w:bookmarkEnd w:id="0"/>
    </w:p>
    <w:p w:rsidR="00B809CA" w:rsidRDefault="00B809CA">
      <w:pPr>
        <w:pStyle w:val="1"/>
        <w:spacing w:after="0" w:line="240" w:lineRule="auto"/>
        <w:ind w:firstLine="567"/>
        <w:jc w:val="both"/>
        <w:rPr>
          <w:rFonts w:ascii="Times New Roman" w:eastAsia="Times New Roman" w:hAnsi="Times New Roman"/>
          <w:color w:val="000000"/>
          <w:sz w:val="28"/>
        </w:rPr>
      </w:pPr>
      <w:r>
        <w:rPr>
          <w:rFonts w:ascii="Times New Roman" w:eastAsia="Times New Roman" w:hAnsi="Times New Roman"/>
          <w:color w:val="000000"/>
          <w:sz w:val="28"/>
        </w:rPr>
        <w:lastRenderedPageBreak/>
        <w:t>Згідно із постановою Кабінету Міністрів України від 18 червня 2024 року № 712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можливість отримання ліцензій на право здійснення міжнародних перевезень вантажів за спрощеною процедурою скасовується, а ліцензіати, які вже отримали ліцензії на період дії воєнного стану,</w:t>
      </w:r>
      <w:r>
        <w:t xml:space="preserve"> </w:t>
      </w:r>
      <w:r>
        <w:rPr>
          <w:rFonts w:ascii="Times New Roman" w:eastAsia="Times New Roman" w:hAnsi="Times New Roman"/>
          <w:color w:val="000000"/>
          <w:sz w:val="28"/>
        </w:rPr>
        <w:t>після закінчення строку, на який вони були видані, залишаються чинними у разі подання такими ліцензіатами до органу ліцензування документів та відомостей, визначених пунктом 7 Ліцензійних умов, та за умови відповідності ліцензіатів вимогам Ліцензійних умов.</w:t>
      </w:r>
    </w:p>
    <w:p w:rsidR="00B809CA" w:rsidRDefault="00B809CA">
      <w:pPr>
        <w:pStyle w:val="1"/>
        <w:spacing w:after="0" w:line="240" w:lineRule="auto"/>
        <w:ind w:firstLine="567"/>
        <w:jc w:val="both"/>
        <w:rPr>
          <w:rFonts w:ascii="Times New Roman" w:eastAsia="Times New Roman" w:hAnsi="Times New Roman"/>
          <w:color w:val="000000"/>
          <w:sz w:val="28"/>
        </w:rPr>
      </w:pPr>
      <w:r>
        <w:rPr>
          <w:rFonts w:ascii="Times New Roman" w:eastAsia="Times New Roman" w:hAnsi="Times New Roman"/>
          <w:color w:val="000000"/>
          <w:sz w:val="28"/>
        </w:rPr>
        <w:t xml:space="preserve">Слід звернути увагу, що Порядок розроблено, зокрема, відповідно до  вимог Хартії Якості міжнародних автомобільних вантажних перевезень в системі багатосторонньої квоти ЄКМТ, підписаної міністрами транспорту країн - членів МТФ 28 травня 2015 року в м. Лейпциг (далі - Хартія Якості). </w:t>
      </w:r>
    </w:p>
    <w:p w:rsidR="00B809CA" w:rsidRDefault="00B809CA">
      <w:pPr>
        <w:pStyle w:val="1"/>
        <w:spacing w:after="0" w:line="240" w:lineRule="auto"/>
        <w:ind w:firstLine="567"/>
        <w:jc w:val="both"/>
        <w:rPr>
          <w:rFonts w:ascii="Times New Roman" w:eastAsia="Times New Roman" w:hAnsi="Times New Roman"/>
          <w:color w:val="000000"/>
          <w:sz w:val="28"/>
        </w:rPr>
      </w:pPr>
      <w:r>
        <w:rPr>
          <w:rFonts w:ascii="Times New Roman" w:eastAsia="Times New Roman" w:hAnsi="Times New Roman"/>
          <w:color w:val="000000"/>
          <w:sz w:val="28"/>
        </w:rPr>
        <w:t>Хартією якості встановлено ряд вимог, які необхідно забезпечити автомобільним перевізникам, які здійснюють перевезення за дозволами ЄКМТ. Ліцензія на період дії воєнного стану видавалась на підставі лише заяви на отримання ліцензії та відомостей про транспортні засоби.</w:t>
      </w:r>
    </w:p>
    <w:p w:rsidR="008972EB" w:rsidRDefault="008972EB" w:rsidP="008972EB">
      <w:pPr>
        <w:pStyle w:val="1"/>
        <w:spacing w:after="0" w:line="240" w:lineRule="auto"/>
        <w:jc w:val="both"/>
        <w:rPr>
          <w:rFonts w:ascii="Times New Roman" w:eastAsia="Times New Roman" w:hAnsi="Times New Roman"/>
          <w:color w:val="000000"/>
          <w:sz w:val="28"/>
        </w:rPr>
      </w:pPr>
    </w:p>
    <w:p w:rsidR="00B809CA" w:rsidRDefault="00B809CA">
      <w:pPr>
        <w:pStyle w:val="1"/>
        <w:spacing w:after="0" w:line="240" w:lineRule="auto"/>
        <w:ind w:left="57" w:firstLine="510"/>
        <w:jc w:val="both"/>
        <w:rPr>
          <w:rFonts w:ascii="Times New Roman" w:eastAsia="Times New Roman" w:hAnsi="Times New Roman"/>
          <w:b/>
          <w:color w:val="000000"/>
          <w:sz w:val="28"/>
        </w:rPr>
      </w:pPr>
      <w:r>
        <w:rPr>
          <w:rFonts w:ascii="Times New Roman" w:eastAsia="Times New Roman" w:hAnsi="Times New Roman"/>
          <w:b/>
          <w:color w:val="000000"/>
          <w:sz w:val="28"/>
        </w:rPr>
        <w:t>3. Основні положення проекту акта</w:t>
      </w:r>
    </w:p>
    <w:p w:rsidR="00B809CA" w:rsidRDefault="00B809CA">
      <w:pPr>
        <w:pStyle w:val="1"/>
        <w:spacing w:after="0" w:line="240" w:lineRule="auto"/>
        <w:ind w:firstLine="567"/>
        <w:jc w:val="both"/>
        <w:rPr>
          <w:rFonts w:ascii="Times New Roman" w:eastAsia="Times New Roman" w:hAnsi="Times New Roman"/>
          <w:color w:val="000000"/>
          <w:sz w:val="28"/>
        </w:rPr>
      </w:pPr>
      <w:r>
        <w:rPr>
          <w:rFonts w:ascii="Times New Roman" w:eastAsia="Times New Roman" w:hAnsi="Times New Roman"/>
          <w:color w:val="000000"/>
          <w:sz w:val="28"/>
        </w:rPr>
        <w:t>Проєктом наказу пропонується врегулювати положення Порядку, а саме:</w:t>
      </w:r>
    </w:p>
    <w:p w:rsidR="00B809CA" w:rsidRDefault="00B809CA">
      <w:pPr>
        <w:pStyle w:val="1"/>
        <w:numPr>
          <w:ilvl w:val="0"/>
          <w:numId w:val="8"/>
        </w:numPr>
        <w:spacing w:after="0" w:line="240" w:lineRule="auto"/>
        <w:ind w:left="0" w:firstLine="567"/>
        <w:jc w:val="both"/>
        <w:rPr>
          <w:rFonts w:ascii="Times New Roman" w:eastAsia="Times New Roman" w:hAnsi="Times New Roman"/>
          <w:color w:val="000000"/>
          <w:sz w:val="28"/>
        </w:rPr>
      </w:pPr>
      <w:r>
        <w:rPr>
          <w:rFonts w:ascii="Times New Roman" w:eastAsia="Times New Roman" w:hAnsi="Times New Roman"/>
          <w:color w:val="000000"/>
          <w:sz w:val="28"/>
        </w:rPr>
        <w:t>виключити можливість права участі у конкурсі з розподілу дозволів ЄКМТ автомобільним перевізниками, які отримали ліцензію на період дії воєнного стану в Україні, та не оновили відомості відповідно до Ліцензійних умов;</w:t>
      </w:r>
    </w:p>
    <w:p w:rsidR="00B809CA" w:rsidRDefault="00B809CA">
      <w:pPr>
        <w:pStyle w:val="1"/>
        <w:numPr>
          <w:ilvl w:val="0"/>
          <w:numId w:val="8"/>
        </w:numPr>
        <w:spacing w:after="0" w:line="240" w:lineRule="auto"/>
        <w:ind w:left="0" w:firstLine="567"/>
        <w:jc w:val="both"/>
        <w:rPr>
          <w:rFonts w:ascii="Times New Roman" w:eastAsia="Times New Roman" w:hAnsi="Times New Roman"/>
          <w:color w:val="000000"/>
          <w:sz w:val="28"/>
        </w:rPr>
      </w:pPr>
      <w:r>
        <w:rPr>
          <w:rFonts w:ascii="Times New Roman" w:eastAsia="Times New Roman" w:hAnsi="Times New Roman"/>
          <w:color w:val="000000"/>
          <w:sz w:val="28"/>
        </w:rPr>
        <w:t>конкретизувати положення Порядку щодо використання дозволів ЄКМТ та щодо процедури звітування про їх використання.</w:t>
      </w:r>
    </w:p>
    <w:p w:rsidR="00B809CA" w:rsidRDefault="00B809CA">
      <w:pPr>
        <w:pStyle w:val="1"/>
        <w:spacing w:after="0" w:line="240" w:lineRule="auto"/>
        <w:ind w:left="567"/>
        <w:jc w:val="both"/>
        <w:rPr>
          <w:rFonts w:ascii="Times New Roman" w:eastAsia="Times New Roman" w:hAnsi="Times New Roman"/>
          <w:color w:val="000000"/>
          <w:sz w:val="28"/>
        </w:rPr>
      </w:pPr>
    </w:p>
    <w:p w:rsidR="00B809CA" w:rsidRDefault="00B809CA">
      <w:pPr>
        <w:pStyle w:val="1"/>
        <w:spacing w:after="0" w:line="240" w:lineRule="auto"/>
        <w:ind w:firstLine="567"/>
        <w:jc w:val="both"/>
        <w:rPr>
          <w:rFonts w:ascii="Times New Roman" w:eastAsia="Times New Roman" w:hAnsi="Times New Roman"/>
          <w:b/>
          <w:color w:val="000000"/>
          <w:sz w:val="28"/>
        </w:rPr>
      </w:pPr>
      <w:r>
        <w:rPr>
          <w:rFonts w:ascii="Times New Roman" w:eastAsia="Times New Roman" w:hAnsi="Times New Roman"/>
          <w:b/>
          <w:color w:val="000000"/>
          <w:sz w:val="28"/>
        </w:rPr>
        <w:t xml:space="preserve">4. Правові аспекти </w:t>
      </w:r>
    </w:p>
    <w:p w:rsidR="00B809CA" w:rsidRDefault="00B809CA">
      <w:pPr>
        <w:pStyle w:val="ListParagraph"/>
        <w:ind w:left="57" w:firstLine="709"/>
        <w:jc w:val="both"/>
        <w:rPr>
          <w:color w:val="000000"/>
          <w:sz w:val="28"/>
        </w:rPr>
      </w:pPr>
      <w:r>
        <w:rPr>
          <w:color w:val="000000"/>
          <w:sz w:val="28"/>
        </w:rPr>
        <w:t>У цій сфері суспільних відносин діють:</w:t>
      </w:r>
    </w:p>
    <w:p w:rsidR="00B809CA" w:rsidRDefault="00B809CA">
      <w:pPr>
        <w:pStyle w:val="ListParagraph"/>
        <w:ind w:left="57" w:firstLine="709"/>
        <w:jc w:val="both"/>
        <w:rPr>
          <w:color w:val="000000"/>
          <w:sz w:val="28"/>
        </w:rPr>
      </w:pPr>
      <w:r>
        <w:rPr>
          <w:color w:val="000000"/>
          <w:sz w:val="28"/>
        </w:rPr>
        <w:t>Закон України «Про автомобільний транспорт»;</w:t>
      </w:r>
    </w:p>
    <w:p w:rsidR="00B809CA" w:rsidRDefault="00B809CA">
      <w:pPr>
        <w:pStyle w:val="ListParagraph"/>
        <w:ind w:left="57" w:firstLine="709"/>
        <w:jc w:val="both"/>
        <w:rPr>
          <w:color w:val="000000"/>
          <w:sz w:val="28"/>
        </w:rPr>
      </w:pPr>
      <w:r>
        <w:rPr>
          <w:color w:val="000000"/>
          <w:sz w:val="28"/>
        </w:rPr>
        <w:t>Положення про Міністерство</w:t>
      </w:r>
      <w:r w:rsidR="0072259F">
        <w:rPr>
          <w:color w:val="000000"/>
          <w:sz w:val="28"/>
        </w:rPr>
        <w:t xml:space="preserve"> розвитку громад, територій та </w:t>
      </w:r>
      <w:r>
        <w:rPr>
          <w:color w:val="000000"/>
          <w:sz w:val="28"/>
        </w:rPr>
        <w:t xml:space="preserve"> інфраструктури України, затверджене постановою Кабінету Міністрів України від 30 червня 2015 року № 460 (в редакції постанови Кабінету Міністрів України від 17 грудня 2022 р. № 1400);</w:t>
      </w:r>
    </w:p>
    <w:p w:rsidR="00B809CA" w:rsidRDefault="00B809CA">
      <w:pPr>
        <w:pStyle w:val="ListParagraph"/>
        <w:ind w:left="57" w:firstLine="709"/>
        <w:jc w:val="both"/>
        <w:rPr>
          <w:color w:val="000000"/>
          <w:sz w:val="28"/>
        </w:rPr>
      </w:pPr>
      <w:r>
        <w:rPr>
          <w:color w:val="000000"/>
          <w:sz w:val="28"/>
        </w:rPr>
        <w:t xml:space="preserve">Хартія Якості; </w:t>
      </w:r>
    </w:p>
    <w:p w:rsidR="00B809CA" w:rsidRDefault="00B809CA">
      <w:pPr>
        <w:pStyle w:val="ListParagraph"/>
        <w:ind w:left="57" w:firstLine="709"/>
        <w:jc w:val="both"/>
        <w:rPr>
          <w:color w:val="000000"/>
          <w:sz w:val="28"/>
        </w:rPr>
      </w:pPr>
      <w:r>
        <w:rPr>
          <w:color w:val="000000"/>
          <w:sz w:val="28"/>
        </w:rPr>
        <w:t>Керівництво користувача багатосторонньої квоти дозволів ЄКМТ;</w:t>
      </w:r>
    </w:p>
    <w:p w:rsidR="00B809CA" w:rsidRDefault="00B809CA">
      <w:pPr>
        <w:pStyle w:val="ListParagraph"/>
        <w:ind w:left="57" w:firstLine="709"/>
        <w:jc w:val="both"/>
        <w:rPr>
          <w:color w:val="000000"/>
          <w:sz w:val="28"/>
        </w:rPr>
      </w:pPr>
    </w:p>
    <w:p w:rsidR="00B809CA" w:rsidRDefault="00B809CA">
      <w:pPr>
        <w:pStyle w:val="ListParagraph"/>
        <w:spacing w:after="120"/>
        <w:ind w:left="57" w:firstLine="510"/>
        <w:jc w:val="both"/>
        <w:rPr>
          <w:b/>
          <w:color w:val="000000"/>
          <w:sz w:val="28"/>
        </w:rPr>
      </w:pPr>
      <w:r>
        <w:rPr>
          <w:b/>
          <w:color w:val="000000"/>
          <w:sz w:val="28"/>
        </w:rPr>
        <w:t>5. Фінансово-економічне обґрунтування</w:t>
      </w:r>
    </w:p>
    <w:p w:rsidR="00B809CA" w:rsidRDefault="00B809CA">
      <w:pPr>
        <w:pStyle w:val="ListParagraph"/>
        <w:spacing w:before="120" w:after="120"/>
        <w:ind w:left="57" w:firstLine="510"/>
        <w:jc w:val="both"/>
        <w:rPr>
          <w:color w:val="000000"/>
          <w:sz w:val="28"/>
        </w:rPr>
      </w:pPr>
      <w:r>
        <w:rPr>
          <w:color w:val="000000"/>
          <w:sz w:val="28"/>
        </w:rPr>
        <w:t>Реалізація проєкту наказу не потребує додаткового фінансування із державного чи місцевих бюджетів.</w:t>
      </w:r>
    </w:p>
    <w:p w:rsidR="00B809CA" w:rsidRDefault="00B809CA" w:rsidP="008972EB">
      <w:pPr>
        <w:pStyle w:val="ListParagraph"/>
        <w:spacing w:before="120" w:after="120"/>
        <w:ind w:left="0"/>
        <w:jc w:val="both"/>
        <w:rPr>
          <w:color w:val="000000"/>
          <w:sz w:val="28"/>
        </w:rPr>
      </w:pPr>
    </w:p>
    <w:p w:rsidR="00B809CA" w:rsidRDefault="00B809CA">
      <w:pPr>
        <w:pStyle w:val="1"/>
        <w:spacing w:after="0" w:line="240" w:lineRule="auto"/>
        <w:ind w:left="57" w:firstLine="510"/>
        <w:jc w:val="both"/>
        <w:rPr>
          <w:rFonts w:ascii="Times New Roman" w:eastAsia="Times New Roman" w:hAnsi="Times New Roman"/>
          <w:b/>
          <w:color w:val="000000"/>
          <w:sz w:val="28"/>
        </w:rPr>
      </w:pPr>
      <w:r>
        <w:rPr>
          <w:rFonts w:ascii="Times New Roman" w:eastAsia="Times New Roman" w:hAnsi="Times New Roman"/>
          <w:b/>
          <w:color w:val="000000"/>
          <w:sz w:val="28"/>
        </w:rPr>
        <w:t xml:space="preserve">6. Позиція заінтересованих сторін </w:t>
      </w:r>
    </w:p>
    <w:p w:rsidR="00B809CA" w:rsidRDefault="00B809CA">
      <w:pPr>
        <w:pStyle w:val="1"/>
        <w:spacing w:after="0" w:line="240" w:lineRule="auto"/>
        <w:ind w:left="57" w:firstLine="510"/>
        <w:jc w:val="both"/>
        <w:rPr>
          <w:rFonts w:ascii="Times New Roman" w:eastAsia="Times New Roman" w:hAnsi="Times New Roman"/>
          <w:color w:val="000000"/>
          <w:sz w:val="28"/>
        </w:rPr>
      </w:pPr>
      <w:r>
        <w:rPr>
          <w:rFonts w:ascii="Times New Roman" w:eastAsia="Times New Roman" w:hAnsi="Times New Roman"/>
          <w:color w:val="000000"/>
          <w:sz w:val="28"/>
        </w:rPr>
        <w:lastRenderedPageBreak/>
        <w:t xml:space="preserve">Проєкт наказу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тому не потребує погодження з уповноваженими представниками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 </w:t>
      </w:r>
    </w:p>
    <w:p w:rsidR="00B809CA" w:rsidRDefault="00B809CA">
      <w:pPr>
        <w:pStyle w:val="1"/>
        <w:spacing w:after="0" w:line="240" w:lineRule="auto"/>
        <w:ind w:left="57" w:firstLine="510"/>
        <w:jc w:val="both"/>
        <w:rPr>
          <w:rFonts w:ascii="Times New Roman" w:eastAsia="Times New Roman" w:hAnsi="Times New Roman"/>
          <w:color w:val="000000"/>
          <w:sz w:val="28"/>
        </w:rPr>
      </w:pPr>
      <w:r>
        <w:rPr>
          <w:rFonts w:ascii="Times New Roman" w:eastAsia="Times New Roman" w:hAnsi="Times New Roman"/>
          <w:color w:val="000000"/>
          <w:sz w:val="28"/>
        </w:rPr>
        <w:t xml:space="preserve">Проєкт наказу не стосується сфери наукової та науково-технічної діяльності, тому не потребує розгляду Науковим комітетом Національної ради з питань розвитку і технологій. </w:t>
      </w:r>
    </w:p>
    <w:p w:rsidR="00B809CA" w:rsidRDefault="00B809CA">
      <w:pPr>
        <w:pStyle w:val="1"/>
        <w:spacing w:after="0" w:line="240" w:lineRule="auto"/>
        <w:ind w:left="57" w:firstLine="510"/>
        <w:jc w:val="both"/>
        <w:rPr>
          <w:rFonts w:ascii="Times New Roman" w:eastAsia="Times New Roman" w:hAnsi="Times New Roman"/>
          <w:color w:val="000000"/>
          <w:sz w:val="28"/>
        </w:rPr>
      </w:pPr>
    </w:p>
    <w:p w:rsidR="00B809CA" w:rsidRDefault="00B809CA">
      <w:pPr>
        <w:pStyle w:val="1"/>
        <w:spacing w:after="0" w:line="240" w:lineRule="auto"/>
        <w:ind w:left="57" w:firstLine="510"/>
        <w:jc w:val="both"/>
        <w:rPr>
          <w:rFonts w:ascii="Times New Roman" w:eastAsia="Times New Roman" w:hAnsi="Times New Roman"/>
          <w:b/>
          <w:color w:val="000000"/>
          <w:sz w:val="28"/>
          <w:shd w:val="clear" w:color="auto" w:fill="FFFFFF"/>
        </w:rPr>
      </w:pPr>
      <w:r>
        <w:rPr>
          <w:rFonts w:ascii="Times New Roman" w:eastAsia="Times New Roman" w:hAnsi="Times New Roman"/>
          <w:b/>
          <w:color w:val="000000"/>
          <w:sz w:val="28"/>
          <w:shd w:val="clear" w:color="auto" w:fill="FFFFFF"/>
        </w:rPr>
        <w:t>7. Оцінка відповідності</w:t>
      </w:r>
    </w:p>
    <w:p w:rsidR="00B809CA" w:rsidRDefault="00B809CA">
      <w:pPr>
        <w:pStyle w:val="1"/>
        <w:spacing w:after="0" w:line="240" w:lineRule="auto"/>
        <w:ind w:left="57" w:firstLine="510"/>
        <w:jc w:val="both"/>
        <w:rPr>
          <w:rFonts w:ascii="Times New Roman" w:eastAsia="Times New Roman" w:hAnsi="Times New Roman"/>
          <w:color w:val="000000"/>
          <w:sz w:val="28"/>
        </w:rPr>
      </w:pPr>
      <w:r>
        <w:rPr>
          <w:rFonts w:ascii="Times New Roman" w:eastAsia="Times New Roman" w:hAnsi="Times New Roman"/>
          <w:color w:val="000000"/>
          <w:sz w:val="28"/>
        </w:rPr>
        <w:t>У проєкті акта відсутні положення, що:</w:t>
      </w:r>
    </w:p>
    <w:p w:rsidR="00B809CA" w:rsidRDefault="00B809CA">
      <w:pPr>
        <w:pStyle w:val="1"/>
        <w:numPr>
          <w:ilvl w:val="0"/>
          <w:numId w:val="7"/>
        </w:numPr>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 xml:space="preserve">стосуються зобов’язань України у сфері європейської інтеграції; </w:t>
      </w:r>
    </w:p>
    <w:p w:rsidR="00B809CA" w:rsidRDefault="00B809CA">
      <w:pPr>
        <w:pStyle w:val="1"/>
        <w:numPr>
          <w:ilvl w:val="0"/>
          <w:numId w:val="7"/>
        </w:numPr>
        <w:spacing w:after="0" w:line="240" w:lineRule="auto"/>
        <w:ind w:left="57" w:firstLine="510"/>
        <w:jc w:val="both"/>
        <w:rPr>
          <w:rFonts w:ascii="Times New Roman" w:eastAsia="Times New Roman" w:hAnsi="Times New Roman"/>
          <w:b/>
          <w:color w:val="000000"/>
          <w:sz w:val="28"/>
          <w:shd w:val="clear" w:color="auto" w:fill="FFFFFF"/>
        </w:rPr>
      </w:pPr>
      <w:r>
        <w:rPr>
          <w:rFonts w:ascii="Times New Roman" w:eastAsia="Times New Roman" w:hAnsi="Times New Roman"/>
          <w:color w:val="000000"/>
          <w:sz w:val="28"/>
        </w:rPr>
        <w:t>стосуються прав та свобод, гарантованих Конвенцією про захист прав людини і основоположних свобод,;</w:t>
      </w:r>
    </w:p>
    <w:p w:rsidR="00B809CA" w:rsidRDefault="00B809CA">
      <w:pPr>
        <w:pStyle w:val="1"/>
        <w:numPr>
          <w:ilvl w:val="0"/>
          <w:numId w:val="7"/>
        </w:numPr>
        <w:spacing w:after="0" w:line="240" w:lineRule="auto"/>
        <w:ind w:left="57" w:firstLine="510"/>
        <w:jc w:val="both"/>
        <w:rPr>
          <w:rFonts w:ascii="Times New Roman" w:eastAsia="Times New Roman" w:hAnsi="Times New Roman"/>
          <w:b/>
          <w:color w:val="000000"/>
          <w:sz w:val="28"/>
          <w:shd w:val="clear" w:color="auto" w:fill="FFFFFF"/>
        </w:rPr>
      </w:pPr>
      <w:r>
        <w:rPr>
          <w:rFonts w:ascii="Times New Roman" w:eastAsia="Times New Roman" w:hAnsi="Times New Roman"/>
          <w:color w:val="000000"/>
          <w:sz w:val="28"/>
        </w:rPr>
        <w:t xml:space="preserve">впливають на забезпечення рівних прав та можливостей жінок і чоловіків; </w:t>
      </w:r>
    </w:p>
    <w:p w:rsidR="00B809CA" w:rsidRDefault="00B809CA">
      <w:pPr>
        <w:pStyle w:val="1"/>
        <w:numPr>
          <w:ilvl w:val="0"/>
          <w:numId w:val="7"/>
        </w:numPr>
        <w:spacing w:after="0" w:line="240" w:lineRule="auto"/>
        <w:ind w:left="57" w:firstLine="510"/>
        <w:jc w:val="both"/>
        <w:rPr>
          <w:rFonts w:ascii="Times New Roman" w:eastAsia="Times New Roman" w:hAnsi="Times New Roman"/>
          <w:b/>
          <w:color w:val="000000"/>
          <w:sz w:val="28"/>
          <w:shd w:val="clear" w:color="auto" w:fill="FFFFFF"/>
        </w:rPr>
      </w:pPr>
      <w:r>
        <w:rPr>
          <w:rFonts w:ascii="Times New Roman" w:eastAsia="Times New Roman" w:hAnsi="Times New Roman"/>
          <w:color w:val="000000"/>
          <w:sz w:val="28"/>
        </w:rPr>
        <w:t xml:space="preserve"> містять ризики вчинення корупційних правопорушень та правопорушень пов’язаних з корупцією;</w:t>
      </w:r>
    </w:p>
    <w:p w:rsidR="00B809CA" w:rsidRDefault="00B809CA">
      <w:pPr>
        <w:pStyle w:val="1"/>
        <w:numPr>
          <w:ilvl w:val="0"/>
          <w:numId w:val="7"/>
        </w:numPr>
        <w:spacing w:after="0" w:line="240" w:lineRule="auto"/>
        <w:ind w:left="57" w:firstLine="510"/>
        <w:jc w:val="both"/>
        <w:rPr>
          <w:rFonts w:ascii="Times New Roman" w:eastAsia="Times New Roman" w:hAnsi="Times New Roman"/>
          <w:color w:val="000000"/>
          <w:sz w:val="28"/>
          <w:shd w:val="clear" w:color="auto" w:fill="FFFFFF"/>
        </w:rPr>
      </w:pPr>
      <w:r>
        <w:rPr>
          <w:rFonts w:ascii="Times New Roman" w:eastAsia="Times New Roman" w:hAnsi="Times New Roman"/>
          <w:color w:val="000000"/>
          <w:sz w:val="28"/>
        </w:rPr>
        <w:t xml:space="preserve"> створюють підстави для дискримінації.</w:t>
      </w:r>
    </w:p>
    <w:p w:rsidR="00B809CA" w:rsidRDefault="00B809CA">
      <w:pPr>
        <w:pStyle w:val="1"/>
        <w:spacing w:after="0" w:line="240" w:lineRule="auto"/>
        <w:ind w:firstLine="567"/>
        <w:jc w:val="both"/>
        <w:rPr>
          <w:rFonts w:ascii="Times New Roman" w:eastAsia="Times New Roman" w:hAnsi="Times New Roman"/>
          <w:color w:val="000000"/>
          <w:sz w:val="28"/>
          <w:shd w:val="clear" w:color="auto" w:fill="FFFFFF"/>
        </w:rPr>
      </w:pPr>
      <w:r>
        <w:rPr>
          <w:rFonts w:ascii="Times New Roman" w:eastAsia="Times New Roman" w:hAnsi="Times New Roman"/>
          <w:color w:val="000000"/>
          <w:sz w:val="28"/>
          <w:shd w:val="clear" w:color="auto" w:fill="FFFFFF"/>
        </w:rPr>
        <w:t>Громадська антикорупційна, громадська антидискримінаційна та громадська гендерно-правова експертизи не проводились.</w:t>
      </w:r>
    </w:p>
    <w:p w:rsidR="00B809CA" w:rsidRDefault="00B809CA">
      <w:pPr>
        <w:pStyle w:val="1"/>
        <w:spacing w:after="0" w:line="240" w:lineRule="auto"/>
        <w:ind w:firstLine="567"/>
        <w:jc w:val="both"/>
        <w:rPr>
          <w:rFonts w:ascii="Times New Roman" w:eastAsia="Times New Roman" w:hAnsi="Times New Roman"/>
          <w:b/>
          <w:color w:val="000000"/>
          <w:sz w:val="28"/>
          <w:shd w:val="clear" w:color="auto" w:fill="FFFFFF"/>
        </w:rPr>
      </w:pPr>
      <w:bookmarkStart w:id="1" w:name="n3502"/>
      <w:bookmarkStart w:id="2" w:name="n3504"/>
      <w:bookmarkStart w:id="3" w:name="n3506"/>
      <w:bookmarkStart w:id="4" w:name="n3507"/>
      <w:bookmarkStart w:id="5" w:name="n3508"/>
      <w:bookmarkStart w:id="6" w:name="n3522"/>
      <w:bookmarkStart w:id="7" w:name="n3505"/>
      <w:bookmarkStart w:id="8" w:name="n3503"/>
      <w:bookmarkEnd w:id="1"/>
      <w:bookmarkEnd w:id="2"/>
      <w:bookmarkEnd w:id="3"/>
      <w:bookmarkEnd w:id="4"/>
      <w:bookmarkEnd w:id="5"/>
      <w:bookmarkEnd w:id="6"/>
      <w:bookmarkEnd w:id="7"/>
      <w:bookmarkEnd w:id="8"/>
    </w:p>
    <w:p w:rsidR="00B809CA" w:rsidRDefault="00B809CA">
      <w:pPr>
        <w:pStyle w:val="a4"/>
        <w:spacing w:before="0"/>
        <w:ind w:left="57" w:firstLine="510"/>
        <w:jc w:val="both"/>
        <w:rPr>
          <w:rFonts w:ascii="Times New Roman" w:eastAsia="Times New Roman" w:hAnsi="Times New Roman"/>
          <w:b/>
          <w:color w:val="000000"/>
          <w:sz w:val="28"/>
        </w:rPr>
      </w:pPr>
      <w:r>
        <w:rPr>
          <w:rFonts w:ascii="Times New Roman" w:eastAsia="Times New Roman" w:hAnsi="Times New Roman"/>
          <w:b/>
          <w:color w:val="000000"/>
          <w:sz w:val="28"/>
        </w:rPr>
        <w:t>8. Прогноз результатів</w:t>
      </w:r>
    </w:p>
    <w:p w:rsidR="00B809CA" w:rsidRDefault="00B809CA">
      <w:pPr>
        <w:pStyle w:val="1"/>
        <w:spacing w:after="0" w:line="240" w:lineRule="auto"/>
        <w:ind w:left="57" w:firstLine="510"/>
        <w:jc w:val="both"/>
        <w:rPr>
          <w:rFonts w:ascii="Times New Roman" w:eastAsia="Times New Roman" w:hAnsi="Times New Roman"/>
          <w:color w:val="000000"/>
          <w:sz w:val="28"/>
          <w:shd w:val="clear" w:color="auto" w:fill="FFFFFF"/>
        </w:rPr>
      </w:pPr>
      <w:r>
        <w:rPr>
          <w:rFonts w:ascii="Times New Roman" w:eastAsia="Times New Roman" w:hAnsi="Times New Roman"/>
          <w:color w:val="000000"/>
          <w:sz w:val="28"/>
          <w:shd w:val="clear" w:color="auto" w:fill="FFFFFF"/>
        </w:rPr>
        <w:t>Прийняття акта забезпечить актуалізацію положень Порядку із врахуванням вимог, пов’язаних із участю України в міжнародних відносинах.</w:t>
      </w:r>
    </w:p>
    <w:p w:rsidR="00B809CA" w:rsidRDefault="00B809CA">
      <w:pPr>
        <w:pStyle w:val="1"/>
        <w:spacing w:after="0" w:line="240" w:lineRule="auto"/>
        <w:ind w:left="57" w:firstLine="510"/>
        <w:jc w:val="both"/>
        <w:rPr>
          <w:rFonts w:ascii="Times New Roman" w:eastAsia="Times New Roman" w:hAnsi="Times New Roman"/>
          <w:color w:val="000000"/>
          <w:sz w:val="28"/>
          <w:shd w:val="clear" w:color="auto" w:fill="FFFFFF"/>
        </w:rPr>
      </w:pPr>
      <w:r>
        <w:rPr>
          <w:rFonts w:ascii="Times New Roman" w:eastAsia="Times New Roman" w:hAnsi="Times New Roman"/>
          <w:color w:val="000000"/>
          <w:sz w:val="28"/>
          <w:shd w:val="clear" w:color="auto" w:fill="FFFFFF"/>
        </w:rPr>
        <w:t>Реалізація акта не матиме впливу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rsidR="00B809CA" w:rsidRDefault="008972EB" w:rsidP="008972EB">
      <w:pPr>
        <w:pStyle w:val="1"/>
        <w:tabs>
          <w:tab w:val="left" w:pos="4335"/>
        </w:tabs>
        <w:spacing w:after="0" w:line="240" w:lineRule="auto"/>
        <w:ind w:firstLine="708"/>
        <w:jc w:val="both"/>
        <w:rPr>
          <w:rFonts w:ascii="Times New Roman" w:eastAsia="Times New Roman" w:hAnsi="Times New Roman"/>
          <w:color w:val="000000"/>
          <w:sz w:val="28"/>
        </w:rPr>
      </w:pPr>
      <w:r>
        <w:rPr>
          <w:rFonts w:ascii="Times New Roman" w:eastAsia="Times New Roman" w:hAnsi="Times New Roman"/>
          <w:color w:val="000000"/>
          <w:sz w:val="28"/>
        </w:rPr>
        <w:tab/>
      </w:r>
    </w:p>
    <w:p w:rsidR="00B809CA" w:rsidRDefault="00B809CA">
      <w:pPr>
        <w:pStyle w:val="1"/>
        <w:spacing w:after="0" w:line="240" w:lineRule="auto"/>
        <w:rPr>
          <w:rFonts w:ascii="Times New Roman" w:eastAsia="Times New Roman" w:hAnsi="Times New Roman"/>
          <w:color w:val="000000"/>
          <w:sz w:val="28"/>
        </w:rPr>
      </w:pPr>
      <w:r>
        <w:rPr>
          <w:rFonts w:ascii="Times New Roman" w:eastAsia="Times New Roman" w:hAnsi="Times New Roman"/>
          <w:color w:val="000000"/>
          <w:sz w:val="28"/>
        </w:rPr>
        <w:t>Виконувач обов’язків Міністра</w:t>
      </w:r>
    </w:p>
    <w:p w:rsidR="00B809CA" w:rsidRDefault="00B809CA">
      <w:pPr>
        <w:pStyle w:val="1"/>
        <w:spacing w:after="0" w:line="240" w:lineRule="auto"/>
        <w:rPr>
          <w:rFonts w:ascii="Times New Roman" w:eastAsia="Times New Roman" w:hAnsi="Times New Roman"/>
          <w:color w:val="000000"/>
          <w:sz w:val="28"/>
        </w:rPr>
      </w:pPr>
      <w:r>
        <w:rPr>
          <w:rFonts w:ascii="Times New Roman" w:eastAsia="Times New Roman" w:hAnsi="Times New Roman"/>
          <w:color w:val="000000"/>
          <w:sz w:val="28"/>
        </w:rPr>
        <w:t xml:space="preserve">розвитку громад, територій </w:t>
      </w:r>
    </w:p>
    <w:p w:rsidR="00B809CA" w:rsidRDefault="00B809CA">
      <w:pPr>
        <w:pStyle w:val="1"/>
        <w:spacing w:after="0" w:line="240" w:lineRule="auto"/>
        <w:rPr>
          <w:rFonts w:ascii="Times New Roman" w:eastAsia="Times New Roman" w:hAnsi="Times New Roman"/>
          <w:color w:val="000000"/>
          <w:sz w:val="28"/>
        </w:rPr>
      </w:pPr>
      <w:r>
        <w:rPr>
          <w:rFonts w:ascii="Times New Roman" w:eastAsia="Times New Roman" w:hAnsi="Times New Roman"/>
          <w:color w:val="000000"/>
          <w:sz w:val="28"/>
        </w:rPr>
        <w:t xml:space="preserve">та інфраструктури України </w:t>
      </w:r>
      <w:r>
        <w:rPr>
          <w:rFonts w:ascii="Times New Roman" w:eastAsia="Times New Roman" w:hAnsi="Times New Roman"/>
          <w:color w:val="000000"/>
          <w:sz w:val="28"/>
        </w:rPr>
        <w:tab/>
      </w:r>
      <w:r>
        <w:rPr>
          <w:rFonts w:ascii="Times New Roman" w:eastAsia="Times New Roman" w:hAnsi="Times New Roman"/>
          <w:color w:val="000000"/>
          <w:sz w:val="28"/>
        </w:rPr>
        <w:tab/>
      </w:r>
      <w:r>
        <w:rPr>
          <w:rFonts w:ascii="Times New Roman" w:eastAsia="Times New Roman" w:hAnsi="Times New Roman"/>
          <w:color w:val="000000"/>
          <w:sz w:val="28"/>
        </w:rPr>
        <w:tab/>
      </w:r>
      <w:r>
        <w:rPr>
          <w:rFonts w:ascii="Times New Roman" w:eastAsia="Times New Roman" w:hAnsi="Times New Roman"/>
          <w:color w:val="000000"/>
          <w:sz w:val="28"/>
        </w:rPr>
        <w:tab/>
      </w:r>
      <w:r>
        <w:rPr>
          <w:rFonts w:ascii="Times New Roman" w:eastAsia="Times New Roman" w:hAnsi="Times New Roman"/>
          <w:color w:val="000000"/>
          <w:sz w:val="28"/>
        </w:rPr>
        <w:tab/>
        <w:t xml:space="preserve">          Василь ШКУРАКОВ</w:t>
      </w:r>
    </w:p>
    <w:p w:rsidR="00B809CA" w:rsidRDefault="00B809CA">
      <w:pPr>
        <w:pStyle w:val="1"/>
        <w:spacing w:after="0"/>
        <w:rPr>
          <w:rFonts w:ascii="Times New Roman" w:eastAsia="Times New Roman" w:hAnsi="Times New Roman"/>
          <w:color w:val="000000"/>
          <w:sz w:val="28"/>
        </w:rPr>
      </w:pPr>
    </w:p>
    <w:p w:rsidR="00B809CA" w:rsidRDefault="00B809CA">
      <w:pPr>
        <w:pStyle w:val="1"/>
        <w:rPr>
          <w:rFonts w:ascii="Times New Roman" w:eastAsia="Times New Roman" w:hAnsi="Times New Roman"/>
          <w:color w:val="000000"/>
          <w:sz w:val="28"/>
        </w:rPr>
      </w:pPr>
      <w:r>
        <w:rPr>
          <w:rFonts w:ascii="Times New Roman" w:eastAsia="Times New Roman" w:hAnsi="Times New Roman"/>
          <w:color w:val="000000"/>
          <w:sz w:val="28"/>
        </w:rPr>
        <w:t>“____” ____________ 20__ р.</w:t>
      </w:r>
    </w:p>
    <w:sectPr w:rsidR="00B809CA" w:rsidSect="008972EB">
      <w:headerReference w:type="even" r:id="rId8"/>
      <w:headerReference w:type="default" r:id="rId9"/>
      <w:pgSz w:w="11906" w:h="16838"/>
      <w:pgMar w:top="851" w:right="567" w:bottom="1134" w:left="164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9CA" w:rsidRDefault="00B809CA">
      <w:pPr>
        <w:pStyle w:val="1"/>
      </w:pPr>
    </w:p>
  </w:endnote>
  <w:endnote w:type="continuationSeparator" w:id="0">
    <w:p w:rsidR="00B809CA" w:rsidRDefault="00B809CA">
      <w:pPr>
        <w:pStyle w:val="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charset w:val="CC"/>
    <w:family w:val="auto"/>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9CA" w:rsidRDefault="00B809CA">
      <w:pPr>
        <w:pStyle w:val="1"/>
      </w:pPr>
    </w:p>
  </w:footnote>
  <w:footnote w:type="continuationSeparator" w:id="0">
    <w:p w:rsidR="00B809CA" w:rsidRDefault="00B809CA">
      <w:pPr>
        <w:pStyle w:val="1"/>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9CA" w:rsidRDefault="00B809CA">
    <w:pPr>
      <w:pStyle w:val="10"/>
      <w:framePr w:wrap="around" w:vAnchor="text" w:hAnchor="margin" w:xAlign="center" w:y="1"/>
    </w:pPr>
    <w:r>
      <w:fldChar w:fldCharType="begin"/>
    </w:r>
    <w:r>
      <w:instrText xml:space="preserve">PAGE  </w:instrText>
    </w:r>
    <w:r>
      <w:fldChar w:fldCharType="separate"/>
    </w:r>
    <w:r>
      <w:t>#</w:t>
    </w:r>
    <w:r>
      <w:fldChar w:fldCharType="end"/>
    </w:r>
  </w:p>
  <w:p w:rsidR="00B809CA" w:rsidRDefault="00B809CA">
    <w:pPr>
      <w:pStyle w:val="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9CA" w:rsidRDefault="00B809CA">
    <w:pPr>
      <w:pStyle w:val="10"/>
      <w:framePr w:wrap="around" w:vAnchor="text" w:hAnchor="margin" w:xAlign="center" w:y="1"/>
      <w:rPr>
        <w:rFonts w:ascii="Times New Roman" w:eastAsia="Times New Roman" w:hAnsi="Times New Roman"/>
      </w:rPr>
    </w:pPr>
  </w:p>
  <w:p w:rsidR="00B809CA" w:rsidRDefault="00B809CA">
    <w:pPr>
      <w:pStyle w:val="10"/>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fldChar w:fldCharType="begin"/>
    </w:r>
    <w:r>
      <w:rPr>
        <w:rFonts w:ascii="Times New Roman" w:eastAsia="Times New Roman" w:hAnsi="Times New Roman"/>
      </w:rPr>
      <w:instrText xml:space="preserve"> PAGE </w:instrText>
    </w:r>
    <w:r>
      <w:rPr>
        <w:rFonts w:ascii="Times New Roman" w:eastAsia="Times New Roman" w:hAnsi="Times New Roman"/>
      </w:rPr>
      <w:fldChar w:fldCharType="separate"/>
    </w:r>
    <w:r w:rsidR="008972EB">
      <w:rPr>
        <w:rFonts w:ascii="Times New Roman" w:eastAsia="Times New Roman" w:hAnsi="Times New Roman"/>
        <w:noProof/>
      </w:rPr>
      <w:t>3</w:t>
    </w:r>
    <w:r>
      <w:rPr>
        <w:rFonts w:ascii="Times New Roman" w:eastAsia="Times New Roman" w:hAnsi="Times New Roman"/>
      </w:rPr>
      <w:fldChar w:fldCharType="end"/>
    </w:r>
    <w:r>
      <w:rPr>
        <w:rFonts w:ascii="Times New Roman" w:eastAsia="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D2C8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3230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E61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7E21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0ED8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BC87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6E52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2A43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E27B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AE75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D087A"/>
    <w:multiLevelType w:val="multilevel"/>
    <w:tmpl w:val="037B359D"/>
    <w:lvl w:ilvl="0">
      <w:start w:val="3"/>
      <w:numFmt w:val="bullet"/>
      <w:lvlText w:val="-"/>
      <w:lvlJc w:val="left"/>
      <w:pPr>
        <w:ind w:left="927" w:hanging="360"/>
      </w:pPr>
      <w:rPr>
        <w:rFonts w:ascii="Times New Roman" w:eastAsia="Times New Roman" w:hAnsi="Times New Roman"/>
      </w:rPr>
    </w:lvl>
    <w:lvl w:ilvl="1">
      <w:start w:val="1"/>
      <w:numFmt w:val="bullet"/>
      <w:lvlText w:val="o"/>
      <w:lvlJc w:val="left"/>
      <w:pPr>
        <w:ind w:left="1647" w:hanging="360"/>
      </w:pPr>
      <w:rPr>
        <w:rFonts w:ascii="Courier New" w:eastAsia="Courier New" w:hAnsi="Courier New"/>
      </w:rPr>
    </w:lvl>
    <w:lvl w:ilvl="2">
      <w:start w:val="1"/>
      <w:numFmt w:val="bullet"/>
      <w:lvlText w:val=""/>
      <w:lvlJc w:val="left"/>
      <w:pPr>
        <w:ind w:left="2367" w:hanging="360"/>
      </w:pPr>
      <w:rPr>
        <w:rFonts w:ascii="Wingdings" w:eastAsia="Wingdings" w:hAnsi="Wingdings"/>
      </w:rPr>
    </w:lvl>
    <w:lvl w:ilvl="3">
      <w:start w:val="1"/>
      <w:numFmt w:val="bullet"/>
      <w:lvlText w:val=""/>
      <w:lvlJc w:val="left"/>
      <w:pPr>
        <w:ind w:left="3087" w:hanging="360"/>
      </w:pPr>
      <w:rPr>
        <w:rFonts w:ascii="Symbol" w:eastAsia="Symbol" w:hAnsi="Symbol"/>
      </w:rPr>
    </w:lvl>
    <w:lvl w:ilvl="4">
      <w:start w:val="1"/>
      <w:numFmt w:val="bullet"/>
      <w:lvlText w:val="o"/>
      <w:lvlJc w:val="left"/>
      <w:pPr>
        <w:ind w:left="3807" w:hanging="360"/>
      </w:pPr>
      <w:rPr>
        <w:rFonts w:ascii="Courier New" w:eastAsia="Courier New" w:hAnsi="Courier New"/>
      </w:rPr>
    </w:lvl>
    <w:lvl w:ilvl="5">
      <w:start w:val="1"/>
      <w:numFmt w:val="bullet"/>
      <w:lvlText w:val=""/>
      <w:lvlJc w:val="left"/>
      <w:pPr>
        <w:ind w:left="4527" w:hanging="360"/>
      </w:pPr>
      <w:rPr>
        <w:rFonts w:ascii="Wingdings" w:eastAsia="Wingdings" w:hAnsi="Wingdings"/>
      </w:rPr>
    </w:lvl>
    <w:lvl w:ilvl="6">
      <w:start w:val="1"/>
      <w:numFmt w:val="bullet"/>
      <w:lvlText w:val=""/>
      <w:lvlJc w:val="left"/>
      <w:pPr>
        <w:ind w:left="5247" w:hanging="360"/>
      </w:pPr>
      <w:rPr>
        <w:rFonts w:ascii="Symbol" w:eastAsia="Symbol" w:hAnsi="Symbol"/>
      </w:rPr>
    </w:lvl>
    <w:lvl w:ilvl="7">
      <w:start w:val="1"/>
      <w:numFmt w:val="bullet"/>
      <w:lvlText w:val="o"/>
      <w:lvlJc w:val="left"/>
      <w:pPr>
        <w:ind w:left="5967" w:hanging="360"/>
      </w:pPr>
      <w:rPr>
        <w:rFonts w:ascii="Courier New" w:eastAsia="Courier New" w:hAnsi="Courier New"/>
      </w:rPr>
    </w:lvl>
    <w:lvl w:ilvl="8">
      <w:start w:val="1"/>
      <w:numFmt w:val="bullet"/>
      <w:lvlText w:val=""/>
      <w:lvlJc w:val="left"/>
      <w:pPr>
        <w:ind w:left="6687" w:hanging="360"/>
      </w:pPr>
      <w:rPr>
        <w:rFonts w:ascii="Wingdings" w:eastAsia="Wingdings" w:hAnsi="Wingdings"/>
      </w:rPr>
    </w:lvl>
  </w:abstractNum>
  <w:abstractNum w:abstractNumId="11" w15:restartNumberingAfterBreak="0">
    <w:nsid w:val="042B12FA"/>
    <w:multiLevelType w:val="multilevel"/>
    <w:tmpl w:val="019F2BC8"/>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12D35CDC"/>
    <w:multiLevelType w:val="multilevel"/>
    <w:tmpl w:val="02C3006B"/>
    <w:lvl w:ilvl="0">
      <w:start w:val="5"/>
      <w:numFmt w:val="decimal"/>
      <w:lvlText w:val="%1."/>
      <w:lvlJc w:val="left"/>
      <w:pPr>
        <w:tabs>
          <w:tab w:val="num" w:pos="720"/>
        </w:tabs>
        <w:ind w:left="720" w:hanging="360"/>
      </w:pPr>
      <w:rPr>
        <w:b/>
      </w:rPr>
    </w:lvl>
    <w:lvl w:ilvl="1">
      <w:start w:val="5"/>
      <w:numFmt w:val="bullet"/>
      <w:lvlText w:val="-"/>
      <w:lvlJc w:val="left"/>
      <w:pPr>
        <w:tabs>
          <w:tab w:val="num" w:pos="1440"/>
        </w:tabs>
        <w:ind w:left="1440" w:hanging="360"/>
      </w:pPr>
      <w:rPr>
        <w:rFonts w:ascii="Times New Roman" w:eastAsia="Times New Roman" w:hAnsi="Times New Roman"/>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A747C26"/>
    <w:multiLevelType w:val="multilevel"/>
    <w:tmpl w:val="02AFB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E2A3474"/>
    <w:multiLevelType w:val="multilevel"/>
    <w:tmpl w:val="02EDF17D"/>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748430FD"/>
    <w:multiLevelType w:val="multilevel"/>
    <w:tmpl w:val="014E2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8FB08CC"/>
    <w:multiLevelType w:val="multilevel"/>
    <w:tmpl w:val="017EF8EF"/>
    <w:lvl w:ilvl="0">
      <w:start w:val="7"/>
      <w:numFmt w:val="bullet"/>
      <w:lvlText w:val="-"/>
      <w:lvlJc w:val="left"/>
      <w:pPr>
        <w:ind w:left="927" w:hanging="360"/>
      </w:pPr>
      <w:rPr>
        <w:rFonts w:ascii="Times New Roman" w:eastAsia="Times New Roman" w:hAnsi="Times New Roman"/>
        <w:b w:val="0"/>
      </w:rPr>
    </w:lvl>
    <w:lvl w:ilvl="1">
      <w:start w:val="1"/>
      <w:numFmt w:val="bullet"/>
      <w:lvlText w:val="o"/>
      <w:lvlJc w:val="left"/>
      <w:pPr>
        <w:ind w:left="1647" w:hanging="360"/>
      </w:pPr>
      <w:rPr>
        <w:rFonts w:ascii="Courier New" w:eastAsia="Courier New" w:hAnsi="Courier New"/>
      </w:rPr>
    </w:lvl>
    <w:lvl w:ilvl="2">
      <w:start w:val="1"/>
      <w:numFmt w:val="bullet"/>
      <w:lvlText w:val=""/>
      <w:lvlJc w:val="left"/>
      <w:pPr>
        <w:ind w:left="2367" w:hanging="360"/>
      </w:pPr>
      <w:rPr>
        <w:rFonts w:ascii="Wingdings" w:eastAsia="Wingdings" w:hAnsi="Wingdings"/>
      </w:rPr>
    </w:lvl>
    <w:lvl w:ilvl="3">
      <w:start w:val="1"/>
      <w:numFmt w:val="bullet"/>
      <w:lvlText w:val=""/>
      <w:lvlJc w:val="left"/>
      <w:pPr>
        <w:ind w:left="3087" w:hanging="360"/>
      </w:pPr>
      <w:rPr>
        <w:rFonts w:ascii="Symbol" w:eastAsia="Symbol" w:hAnsi="Symbol"/>
      </w:rPr>
    </w:lvl>
    <w:lvl w:ilvl="4">
      <w:start w:val="1"/>
      <w:numFmt w:val="bullet"/>
      <w:lvlText w:val="o"/>
      <w:lvlJc w:val="left"/>
      <w:pPr>
        <w:ind w:left="3807" w:hanging="360"/>
      </w:pPr>
      <w:rPr>
        <w:rFonts w:ascii="Courier New" w:eastAsia="Courier New" w:hAnsi="Courier New"/>
      </w:rPr>
    </w:lvl>
    <w:lvl w:ilvl="5">
      <w:start w:val="1"/>
      <w:numFmt w:val="bullet"/>
      <w:lvlText w:val=""/>
      <w:lvlJc w:val="left"/>
      <w:pPr>
        <w:ind w:left="4527" w:hanging="360"/>
      </w:pPr>
      <w:rPr>
        <w:rFonts w:ascii="Wingdings" w:eastAsia="Wingdings" w:hAnsi="Wingdings"/>
      </w:rPr>
    </w:lvl>
    <w:lvl w:ilvl="6">
      <w:start w:val="1"/>
      <w:numFmt w:val="bullet"/>
      <w:lvlText w:val=""/>
      <w:lvlJc w:val="left"/>
      <w:pPr>
        <w:ind w:left="5247" w:hanging="360"/>
      </w:pPr>
      <w:rPr>
        <w:rFonts w:ascii="Symbol" w:eastAsia="Symbol" w:hAnsi="Symbol"/>
      </w:rPr>
    </w:lvl>
    <w:lvl w:ilvl="7">
      <w:start w:val="1"/>
      <w:numFmt w:val="bullet"/>
      <w:lvlText w:val="o"/>
      <w:lvlJc w:val="left"/>
      <w:pPr>
        <w:ind w:left="5967" w:hanging="360"/>
      </w:pPr>
      <w:rPr>
        <w:rFonts w:ascii="Courier New" w:eastAsia="Courier New" w:hAnsi="Courier New"/>
      </w:rPr>
    </w:lvl>
    <w:lvl w:ilvl="8">
      <w:start w:val="1"/>
      <w:numFmt w:val="bullet"/>
      <w:lvlText w:val=""/>
      <w:lvlJc w:val="left"/>
      <w:pPr>
        <w:ind w:left="6687" w:hanging="360"/>
      </w:pPr>
      <w:rPr>
        <w:rFonts w:ascii="Wingdings" w:eastAsia="Wingdings" w:hAnsi="Wingdings"/>
      </w:rPr>
    </w:lvl>
  </w:abstractNum>
  <w:abstractNum w:abstractNumId="17" w15:restartNumberingAfterBreak="0">
    <w:nsid w:val="79C13A7A"/>
    <w:multiLevelType w:val="multilevel"/>
    <w:tmpl w:val="01CF624D"/>
    <w:lvl w:ilvl="0">
      <w:start w:val="1"/>
      <w:numFmt w:val="decimal"/>
      <w:lvlText w:val="%1."/>
      <w:lvlJc w:val="left"/>
      <w:pPr>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5"/>
  </w:num>
  <w:num w:numId="3">
    <w:abstractNumId w:val="13"/>
  </w:num>
  <w:num w:numId="4">
    <w:abstractNumId w:val="14"/>
  </w:num>
  <w:num w:numId="5">
    <w:abstractNumId w:val="12"/>
  </w:num>
  <w:num w:numId="6">
    <w:abstractNumId w:val="11"/>
  </w:num>
  <w:num w:numId="7">
    <w:abstractNumId w:val="1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spaceForUL/>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9F"/>
    <w:rsid w:val="0072259F"/>
    <w:rsid w:val="008972EB"/>
    <w:rsid w:val="00B80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33AD676"/>
  <w15:chartTrackingRefBased/>
  <w15:docId w15:val="{99D88AC8-BDBE-4E92-A132-778BE09E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qFormat="1"/>
    <w:lsdException w:name="footnote text" w:uiPriority="9" w:qFormat="1"/>
    <w:lsdException w:name="annotation text" w:uiPriority="9" w:qFormat="1"/>
    <w:lsdException w:name="header" w:uiPriority="9" w:qFormat="1"/>
    <w:lsdException w:name="footer" w:uiPriority="9" w:qFormat="1"/>
    <w:lsdException w:name="index heading" w:uiPriority="9" w:qFormat="1"/>
    <w:lsdException w:name="caption" w:semiHidden="1" w:uiPriority="9" w:unhideWhenUsed="1" w:qFormat="1"/>
    <w:lsdException w:name="table of figures" w:uiPriority="9" w:qFormat="1"/>
    <w:lsdException w:name="envelope address" w:uiPriority="9" w:qFormat="1"/>
    <w:lsdException w:name="envelope return" w:uiPriority="9" w:qFormat="1"/>
    <w:lsdException w:name="footnote reference" w:uiPriority="9" w:qFormat="1"/>
    <w:lsdException w:name="annotation reference" w:uiPriority="9" w:qFormat="1"/>
    <w:lsdException w:name="line number" w:uiPriority="9" w:qFormat="1"/>
    <w:lsdException w:name="page number" w:uiPriority="9" w:qFormat="1"/>
    <w:lsdException w:name="endnote reference" w:uiPriority="9" w:qFormat="1"/>
    <w:lsdException w:name="endnote text" w:uiPriority="9" w:qFormat="1"/>
    <w:lsdException w:name="table of authorities" w:uiPriority="9" w:qFormat="1"/>
    <w:lsdException w:name="macro" w:uiPriority="9" w:qFormat="1"/>
    <w:lsdException w:name="toa heading" w:uiPriority="9" w:qFormat="1"/>
    <w:lsdException w:name="List" w:uiPriority="9" w:qFormat="1"/>
    <w:lsdException w:name="List Bullet" w:uiPriority="9" w:qFormat="1"/>
    <w:lsdException w:name="List Number" w:uiPriority="9" w:qFormat="1"/>
    <w:lsdException w:name="List 2" w:uiPriority="9" w:qFormat="1"/>
    <w:lsdException w:name="List 3" w:uiPriority="9" w:qFormat="1"/>
    <w:lsdException w:name="List 4" w:uiPriority="9" w:qFormat="1"/>
    <w:lsdException w:name="List 5" w:uiPriority="9" w:qFormat="1"/>
    <w:lsdException w:name="List Bullet 2" w:uiPriority="9" w:qFormat="1"/>
    <w:lsdException w:name="List Bullet 3" w:uiPriority="9" w:qFormat="1"/>
    <w:lsdException w:name="List Bullet 4" w:uiPriority="9" w:qFormat="1"/>
    <w:lsdException w:name="List Bullet 5" w:uiPriority="9" w:qFormat="1"/>
    <w:lsdException w:name="List Number 2" w:uiPriority="9" w:qFormat="1"/>
    <w:lsdException w:name="List Number 3" w:uiPriority="9" w:qFormat="1"/>
    <w:lsdException w:name="List Number 4" w:uiPriority="9" w:qFormat="1"/>
    <w:lsdException w:name="List Number 5" w:uiPriority="9"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il"/>
        <w:left w:val="nil"/>
        <w:bottom w:val="nil"/>
        <w:right w:val="nil"/>
        <w:between w:val="nil"/>
      </w:pBdr>
    </w:pPr>
    <w:rPr>
      <w:sz w:val="22"/>
      <w:lang w:val="uk-UA" w:eastAsia="uk-UA"/>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next w:val="a"/>
  </w:style>
  <w:style w:type="paragraph" w:customStyle="1" w:styleId="1">
    <w:name w:val="Обычный1"/>
    <w:qFormat/>
    <w:pPr>
      <w:pBdr>
        <w:top w:val="nil"/>
        <w:left w:val="nil"/>
        <w:bottom w:val="nil"/>
        <w:right w:val="nil"/>
        <w:between w:val="nil"/>
      </w:pBdr>
      <w:spacing w:after="200" w:line="276" w:lineRule="auto"/>
    </w:pPr>
    <w:rPr>
      <w:rFonts w:ascii="Calibri" w:eastAsia="Calibri" w:hAnsi="Calibri"/>
      <w:sz w:val="22"/>
      <w:lang w:val="uk-UA" w:eastAsia="uk-UA"/>
    </w:rPr>
  </w:style>
  <w:style w:type="paragraph" w:customStyle="1" w:styleId="11">
    <w:name w:val="Заголовок 11"/>
    <w:basedOn w:val="1"/>
    <w:next w:val="1"/>
    <w:qFormat/>
    <w:pPr>
      <w:keepNext/>
      <w:spacing w:before="240" w:after="60"/>
      <w:outlineLvl w:val="0"/>
    </w:pPr>
    <w:rPr>
      <w:rFonts w:ascii="Calibri Light" w:eastAsia="Calibri Light" w:hAnsi="Calibri Light"/>
      <w:b/>
      <w:kern w:val="32"/>
      <w:sz w:val="32"/>
    </w:rPr>
  </w:style>
  <w:style w:type="paragraph" w:customStyle="1" w:styleId="21">
    <w:name w:val="Заголовок 21"/>
    <w:basedOn w:val="1"/>
    <w:qFormat/>
    <w:pPr>
      <w:spacing w:before="100" w:beforeAutospacing="1" w:after="100" w:afterAutospacing="1" w:line="240" w:lineRule="auto"/>
      <w:outlineLvl w:val="1"/>
    </w:pPr>
    <w:rPr>
      <w:rFonts w:ascii="Times New Roman" w:eastAsia="Times New Roman" w:hAnsi="Times New Roman"/>
      <w:b/>
      <w:sz w:val="36"/>
    </w:rPr>
  </w:style>
  <w:style w:type="paragraph" w:customStyle="1" w:styleId="31">
    <w:name w:val="Основной текст с отступом 31"/>
    <w:basedOn w:val="1"/>
    <w:pPr>
      <w:spacing w:after="0" w:line="240" w:lineRule="auto"/>
      <w:ind w:firstLine="567"/>
      <w:jc w:val="both"/>
    </w:pPr>
    <w:rPr>
      <w:rFonts w:ascii="Times New Roman" w:eastAsia="Times New Roman" w:hAnsi="Times New Roman"/>
      <w:b/>
      <w:sz w:val="28"/>
    </w:rPr>
  </w:style>
  <w:style w:type="paragraph" w:customStyle="1" w:styleId="ListParagraph">
    <w:name w:val="List Paragraph"/>
    <w:basedOn w:val="1"/>
    <w:pPr>
      <w:spacing w:after="0" w:line="240" w:lineRule="auto"/>
      <w:ind w:left="720"/>
      <w:contextualSpacing/>
    </w:pPr>
    <w:rPr>
      <w:rFonts w:ascii="Times New Roman" w:eastAsia="Times New Roman" w:hAnsi="Times New Roman"/>
      <w:sz w:val="24"/>
    </w:rPr>
  </w:style>
  <w:style w:type="paragraph" w:customStyle="1" w:styleId="10">
    <w:name w:val="Верхний колонтитул1"/>
    <w:basedOn w:val="1"/>
    <w:pPr>
      <w:tabs>
        <w:tab w:val="center" w:pos="4677"/>
        <w:tab w:val="right" w:pos="9355"/>
      </w:tabs>
    </w:pPr>
  </w:style>
  <w:style w:type="paragraph" w:customStyle="1" w:styleId="12">
    <w:name w:val="Нижний колонтитул1"/>
    <w:basedOn w:val="1"/>
    <w:pPr>
      <w:tabs>
        <w:tab w:val="center" w:pos="4677"/>
        <w:tab w:val="right" w:pos="9355"/>
      </w:tabs>
    </w:pPr>
  </w:style>
  <w:style w:type="paragraph" w:styleId="a3">
    <w:name w:val="Normal (Web)"/>
    <w:basedOn w:val="1"/>
    <w:pPr>
      <w:spacing w:before="100" w:beforeAutospacing="1" w:after="100" w:afterAutospacing="1" w:line="240" w:lineRule="auto"/>
    </w:pPr>
    <w:rPr>
      <w:rFonts w:ascii="Times New Roman" w:eastAsia="Times New Roman" w:hAnsi="Times New Roman"/>
      <w:sz w:val="24"/>
    </w:rPr>
  </w:style>
  <w:style w:type="paragraph" w:customStyle="1" w:styleId="rvps6">
    <w:name w:val="rvps6"/>
    <w:basedOn w:val="1"/>
    <w:pPr>
      <w:spacing w:before="285" w:after="428" w:line="240" w:lineRule="auto"/>
      <w:ind w:left="428" w:right="428"/>
      <w:jc w:val="center"/>
    </w:pPr>
    <w:rPr>
      <w:rFonts w:ascii="Times New Roman" w:eastAsia="Times New Roman" w:hAnsi="Times New Roman"/>
      <w:sz w:val="24"/>
    </w:rPr>
  </w:style>
  <w:style w:type="paragraph" w:customStyle="1" w:styleId="a4">
    <w:name w:val="Нормальний текст"/>
    <w:basedOn w:val="1"/>
    <w:pPr>
      <w:spacing w:before="120" w:after="0" w:line="240" w:lineRule="auto"/>
      <w:ind w:firstLine="567"/>
    </w:pPr>
    <w:rPr>
      <w:rFonts w:ascii="Antiqua" w:eastAsia="Antiqua" w:hAnsi="Antiqua"/>
      <w:sz w:val="26"/>
    </w:rPr>
  </w:style>
  <w:style w:type="paragraph" w:customStyle="1" w:styleId="13">
    <w:name w:val="Основной текст с отступом1"/>
    <w:basedOn w:val="1"/>
    <w:pPr>
      <w:spacing w:after="120"/>
      <w:ind w:left="283"/>
    </w:pPr>
  </w:style>
  <w:style w:type="paragraph" w:customStyle="1" w:styleId="HTML">
    <w:name w:val="Стандартный HTML"/>
    <w:aliases w:val="Знак Знак, Знак2, Знак2 Знак,Знак2,Знак2 Знак"/>
    <w:basedOn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paragraph" w:customStyle="1" w:styleId="rvps2">
    <w:name w:val="rvps2"/>
    <w:basedOn w:val="1"/>
    <w:pPr>
      <w:spacing w:before="100" w:beforeAutospacing="1" w:after="100" w:afterAutospacing="1" w:line="240" w:lineRule="auto"/>
    </w:pPr>
    <w:rPr>
      <w:rFonts w:ascii="Times New Roman" w:eastAsia="Times New Roman" w:hAnsi="Times New Roman"/>
      <w:sz w:val="24"/>
    </w:rPr>
  </w:style>
  <w:style w:type="paragraph" w:styleId="a5">
    <w:name w:val="Balloon Text"/>
    <w:basedOn w:val="1"/>
    <w:pPr>
      <w:spacing w:after="0" w:line="240" w:lineRule="auto"/>
    </w:pPr>
    <w:rPr>
      <w:rFonts w:ascii="Segoe UI" w:eastAsia="Segoe UI" w:hAnsi="Segoe UI"/>
      <w:sz w:val="18"/>
    </w:rPr>
  </w:style>
  <w:style w:type="paragraph" w:customStyle="1" w:styleId="14">
    <w:name w:val="Текст примечания1"/>
    <w:basedOn w:val="1"/>
    <w:rPr>
      <w:sz w:val="20"/>
    </w:rPr>
  </w:style>
  <w:style w:type="paragraph" w:styleId="a6">
    <w:name w:val="annotation subject"/>
    <w:basedOn w:val="14"/>
    <w:next w:val="14"/>
    <w:rPr>
      <w:b/>
    </w:rPr>
  </w:style>
  <w:style w:type="paragraph" w:customStyle="1" w:styleId="footnotetext">
    <w:name w:val="footnote text"/>
    <w:next w:val="a"/>
    <w:pPr>
      <w:pBdr>
        <w:top w:val="nil"/>
        <w:left w:val="nil"/>
        <w:bottom w:val="nil"/>
        <w:right w:val="nil"/>
        <w:between w:val="nil"/>
      </w:pBdr>
    </w:pPr>
    <w:rPr>
      <w:lang w:val="uk-UA" w:eastAsia="uk-UA"/>
    </w:rPr>
  </w:style>
  <w:style w:type="paragraph" w:customStyle="1" w:styleId="endnotetext">
    <w:name w:val="endnote text"/>
    <w:next w:val="a"/>
    <w:pPr>
      <w:pBdr>
        <w:top w:val="nil"/>
        <w:left w:val="nil"/>
        <w:bottom w:val="nil"/>
        <w:right w:val="nil"/>
        <w:between w:val="nil"/>
      </w:pBdr>
    </w:pPr>
    <w:rPr>
      <w:lang w:val="uk-UA" w:eastAsia="uk-UA"/>
    </w:rPr>
  </w:style>
  <w:style w:type="character" w:customStyle="1" w:styleId="LineNumber">
    <w:name w:val="Line Number"/>
  </w:style>
  <w:style w:type="character" w:customStyle="1" w:styleId="Hyperlink">
    <w:name w:val="Hyperlink"/>
    <w:rPr>
      <w:color w:val="0000FF"/>
      <w:u w:val="single"/>
    </w:rPr>
  </w:style>
  <w:style w:type="character" w:customStyle="1" w:styleId="3">
    <w:name w:val="Основной текст с отступом 3 Знак"/>
    <w:link w:val="31"/>
    <w:rPr>
      <w:b/>
      <w:sz w:val="28"/>
      <w:lang w:val="uk-UA"/>
    </w:rPr>
  </w:style>
  <w:style w:type="character" w:customStyle="1" w:styleId="2">
    <w:name w:val="Заголовок 2 Знак"/>
    <w:link w:val="21"/>
    <w:rPr>
      <w:b/>
      <w:sz w:val="36"/>
    </w:rPr>
  </w:style>
  <w:style w:type="character" w:customStyle="1" w:styleId="FontStyle">
    <w:name w:val="Font Style"/>
    <w:rPr>
      <w:rFonts w:ascii="Courier New" w:eastAsia="Courier New" w:hAnsi="Courier New"/>
      <w:color w:val="000000"/>
      <w:sz w:val="20"/>
    </w:rPr>
  </w:style>
  <w:style w:type="character" w:customStyle="1" w:styleId="a7">
    <w:name w:val="Основной текст с отступом Знак"/>
    <w:link w:val="13"/>
    <w:rPr>
      <w:rFonts w:ascii="Calibri" w:eastAsia="Calibri" w:hAnsi="Calibri"/>
      <w:sz w:val="22"/>
    </w:rPr>
  </w:style>
  <w:style w:type="character" w:customStyle="1" w:styleId="15">
    <w:name w:val="Гиперссылка1"/>
    <w:rPr>
      <w:color w:val="195374"/>
      <w:u w:val="single"/>
    </w:rPr>
  </w:style>
  <w:style w:type="character" w:customStyle="1" w:styleId="HTML0">
    <w:name w:val="Стандартный HTML Знак"/>
    <w:aliases w:val="Знак Знак Знак, Знак2 Знак1, Знак2 Знак Знак,Знак2 Знак1,Знак2 Знак Знак"/>
    <w:link w:val="HTML"/>
    <w:rPr>
      <w:rFonts w:ascii="Courier New" w:eastAsia="Courier New" w:hAnsi="Courier New"/>
    </w:rPr>
  </w:style>
  <w:style w:type="character" w:customStyle="1" w:styleId="a8">
    <w:name w:val="Текст выноски Знак"/>
    <w:link w:val="a5"/>
    <w:rPr>
      <w:rFonts w:ascii="Segoe UI" w:eastAsia="Segoe UI" w:hAnsi="Segoe UI"/>
      <w:sz w:val="18"/>
    </w:rPr>
  </w:style>
  <w:style w:type="character" w:customStyle="1" w:styleId="16">
    <w:name w:val="Знак примечания1"/>
    <w:rPr>
      <w:sz w:val="16"/>
    </w:rPr>
  </w:style>
  <w:style w:type="character" w:customStyle="1" w:styleId="a9">
    <w:name w:val="Текст примечания Знак"/>
    <w:link w:val="14"/>
    <w:rPr>
      <w:rFonts w:ascii="Calibri" w:eastAsia="Calibri" w:hAnsi="Calibri"/>
      <w:lang w:val="uk-UA"/>
    </w:rPr>
  </w:style>
  <w:style w:type="character" w:customStyle="1" w:styleId="aa">
    <w:name w:val="Тема примечания Знак"/>
    <w:link w:val="a6"/>
    <w:rPr>
      <w:rFonts w:ascii="Calibri" w:eastAsia="Calibri" w:hAnsi="Calibri"/>
      <w:b/>
      <w:lang w:val="uk-UA"/>
    </w:rPr>
  </w:style>
  <w:style w:type="character" w:customStyle="1" w:styleId="17">
    <w:name w:val="Заголовок 1 Знак"/>
    <w:link w:val="11"/>
    <w:rPr>
      <w:rFonts w:ascii="Calibri Light" w:eastAsia="Calibri Light" w:hAnsi="Calibri Light"/>
      <w:b/>
      <w:kern w:val="32"/>
      <w:sz w:val="32"/>
    </w:rPr>
  </w:style>
  <w:style w:type="character" w:customStyle="1" w:styleId="footnotereference">
    <w:name w:val="footnote reference"/>
    <w:rPr>
      <w:vertAlign w:val="superscript"/>
    </w:rPr>
  </w:style>
  <w:style w:type="character" w:customStyle="1" w:styleId="FootnoteTextChar">
    <w:name w:val="Footnote Text Char"/>
    <w:link w:val="footnotetext"/>
    <w:rPr>
      <w:sz w:val="20"/>
    </w:rPr>
  </w:style>
  <w:style w:type="character" w:customStyle="1" w:styleId="endnotereference">
    <w:name w:val="endnote reference"/>
    <w:rPr>
      <w:vertAlign w:val="superscript"/>
    </w:rPr>
  </w:style>
  <w:style w:type="character" w:customStyle="1" w:styleId="EndnoteTextChar">
    <w:name w:val="Endnote Text Char"/>
    <w:link w:val="endnotetext"/>
    <w:rPr>
      <w:sz w:val="20"/>
    </w:rPr>
  </w:style>
  <w:style w:type="table" w:customStyle="1" w:styleId="NormalTable">
    <w:name w:val="Normal Table"/>
    <w:rPr>
      <w:lang w:val="uk-UA" w:eastAsia="uk-UA"/>
    </w:rPr>
    <w:tblPr>
      <w:tblInd w:w="0" w:type="dxa"/>
      <w:tblCellMar>
        <w:top w:w="0" w:type="dxa"/>
        <w:left w:w="108" w:type="dxa"/>
        <w:bottom w:w="0" w:type="dxa"/>
        <w:right w:w="108" w:type="dxa"/>
      </w:tblCellMar>
    </w:tblPr>
  </w:style>
  <w:style w:type="table" w:customStyle="1" w:styleId="TableSimple1">
    <w:name w:val="Table Simple 1"/>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Normal Table"/>
    <w:rPr>
      <w:lang w:val="uk-UA" w:eastAsia="uk-UA"/>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752DD-C692-4879-84EA-834C393B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6191</Characters>
  <Application>Microsoft Office Word</Application>
  <DocSecurity>0</DocSecurity>
  <Lines>51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UTI</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Nika</dc:creator>
  <cp:keywords/>
  <cp:lastModifiedBy>Боярунець А. В.</cp:lastModifiedBy>
  <cp:revision>2</cp:revision>
  <cp:lastPrinted>2015-10-20T09:45:00Z</cp:lastPrinted>
  <dcterms:created xsi:type="dcterms:W3CDTF">2024-08-09T09:06:00Z</dcterms:created>
  <dcterms:modified xsi:type="dcterms:W3CDTF">2024-08-09T09:06:00Z</dcterms:modified>
</cp:coreProperties>
</file>